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1BC8EB">
      <w:pPr>
        <w:pStyle w:val="46"/>
        <w:wordWrap w:val="0"/>
        <w:adjustRightInd w:val="0"/>
        <w:snapToGrid w:val="0"/>
        <w:spacing w:line="360" w:lineRule="auto"/>
        <w:jc w:val="center"/>
        <w:rPr>
          <w:rFonts w:hint="eastAsia" w:ascii="方正小标宋简体" w:hAnsi="方正小标宋简体" w:eastAsia="方正小标宋简体" w:cs="方正小标宋简体"/>
          <w:b w:val="0"/>
          <w:bCs/>
          <w:snapToGrid w:val="0"/>
          <w:color w:val="auto"/>
          <w:kern w:val="0"/>
          <w:sz w:val="52"/>
          <w:szCs w:val="52"/>
          <w:highlight w:val="none"/>
        </w:rPr>
      </w:pPr>
      <w:r>
        <w:rPr>
          <w:rFonts w:hint="eastAsia" w:ascii="方正小标宋简体" w:hAnsi="方正小标宋简体" w:eastAsia="方正小标宋简体" w:cs="方正小标宋简体"/>
          <w:b w:val="0"/>
          <w:bCs/>
          <w:snapToGrid w:val="0"/>
          <w:color w:val="auto"/>
          <w:kern w:val="0"/>
          <w:sz w:val="52"/>
          <w:szCs w:val="52"/>
          <w:highlight w:val="none"/>
          <w:lang w:eastAsia="zh-CN"/>
        </w:rPr>
        <w:t>浈江区黄金村客运站场分布式屋顶光伏项目、浈江区南郊六公里力士通站场分布式屋顶光伏项目工程施工</w:t>
      </w:r>
    </w:p>
    <w:p w14:paraId="3D8AB29E">
      <w:pPr>
        <w:pStyle w:val="46"/>
        <w:wordWrap w:val="0"/>
        <w:adjustRightInd w:val="0"/>
        <w:snapToGrid w:val="0"/>
        <w:spacing w:line="360" w:lineRule="auto"/>
        <w:jc w:val="center"/>
        <w:rPr>
          <w:rFonts w:hint="eastAsia" w:eastAsia="宋体"/>
          <w:b/>
          <w:bCs/>
          <w:snapToGrid w:val="0"/>
          <w:color w:val="auto"/>
          <w:kern w:val="0"/>
          <w:sz w:val="72"/>
          <w:szCs w:val="72"/>
          <w:highlight w:val="none"/>
          <w14:shadow w14:blurRad="50800" w14:dist="38100" w14:dir="2700000" w14:sx="100000" w14:sy="100000" w14:kx="0" w14:ky="0" w14:algn="tl">
            <w14:srgbClr w14:val="000000">
              <w14:alpha w14:val="60000"/>
            </w14:srgbClr>
          </w14:shadow>
        </w:rPr>
      </w:pPr>
    </w:p>
    <w:p w14:paraId="1A9A95CD">
      <w:pPr>
        <w:pStyle w:val="46"/>
        <w:wordWrap w:val="0"/>
        <w:adjustRightInd w:val="0"/>
        <w:snapToGrid w:val="0"/>
        <w:spacing w:line="360" w:lineRule="auto"/>
        <w:jc w:val="center"/>
        <w:rPr>
          <w:rFonts w:hint="eastAsia" w:eastAsia="宋体"/>
          <w:b/>
          <w:bCs/>
          <w:snapToGrid w:val="0"/>
          <w:color w:val="auto"/>
          <w:kern w:val="0"/>
          <w:sz w:val="48"/>
          <w:szCs w:val="48"/>
          <w:highlight w:val="none"/>
          <w:lang w:eastAsia="zh-CN"/>
        </w:rPr>
      </w:pPr>
      <w:r>
        <w:rPr>
          <w:rFonts w:hint="eastAsia" w:eastAsia="宋体"/>
          <w:b/>
          <w:bCs/>
          <w:snapToGrid w:val="0"/>
          <w:color w:val="auto"/>
          <w:kern w:val="0"/>
          <w:sz w:val="72"/>
          <w:szCs w:val="72"/>
          <w:highlight w:val="none"/>
          <w14:shadow w14:blurRad="50800" w14:dist="38100" w14:dir="2700000" w14:sx="100000" w14:sy="100000" w14:kx="0" w14:ky="0" w14:algn="tl">
            <w14:srgbClr w14:val="000000">
              <w14:alpha w14:val="60000"/>
            </w14:srgbClr>
          </w14:shadow>
        </w:rPr>
        <w:t>招标文件</w:t>
      </w:r>
    </w:p>
    <w:p w14:paraId="40110371">
      <w:pPr>
        <w:wordWrap w:val="0"/>
        <w:adjustRightInd w:val="0"/>
        <w:snapToGrid w:val="0"/>
        <w:jc w:val="center"/>
        <w:rPr>
          <w:rFonts w:ascii="Times New Roman"/>
          <w:b/>
          <w:bCs/>
          <w:snapToGrid w:val="0"/>
          <w:color w:val="auto"/>
          <w:kern w:val="0"/>
          <w:sz w:val="48"/>
          <w:szCs w:val="48"/>
          <w:highlight w:val="none"/>
        </w:rPr>
      </w:pPr>
    </w:p>
    <w:p w14:paraId="16E52563">
      <w:pPr>
        <w:pStyle w:val="4"/>
        <w:rPr>
          <w:color w:val="auto"/>
          <w:highlight w:val="none"/>
        </w:rPr>
      </w:pPr>
    </w:p>
    <w:tbl>
      <w:tblPr>
        <w:tblStyle w:val="15"/>
        <w:tblW w:w="0" w:type="auto"/>
        <w:tblInd w:w="-100" w:type="dxa"/>
        <w:tblLayout w:type="fixed"/>
        <w:tblCellMar>
          <w:top w:w="0" w:type="dxa"/>
          <w:left w:w="0" w:type="dxa"/>
          <w:bottom w:w="0" w:type="dxa"/>
          <w:right w:w="0" w:type="dxa"/>
        </w:tblCellMar>
      </w:tblPr>
      <w:tblGrid>
        <w:gridCol w:w="4708"/>
        <w:gridCol w:w="5020"/>
      </w:tblGrid>
      <w:tr w14:paraId="4C5CB6E2">
        <w:tblPrEx>
          <w:tblCellMar>
            <w:top w:w="0" w:type="dxa"/>
            <w:left w:w="0" w:type="dxa"/>
            <w:bottom w:w="0" w:type="dxa"/>
            <w:right w:w="0" w:type="dxa"/>
          </w:tblCellMar>
        </w:tblPrEx>
        <w:trPr>
          <w:trHeight w:val="1023" w:hRule="atLeast"/>
        </w:trPr>
        <w:tc>
          <w:tcPr>
            <w:tcW w:w="4708" w:type="dxa"/>
            <w:noWrap w:val="0"/>
            <w:vAlign w:val="center"/>
          </w:tcPr>
          <w:p w14:paraId="66C275AA">
            <w:pPr>
              <w:pStyle w:val="47"/>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w:t>
            </w:r>
            <w:r>
              <w:rPr>
                <w:rFonts w:ascii="Times New Roman"/>
                <w:snapToGrid w:val="0"/>
                <w:color w:val="auto"/>
                <w:kern w:val="0"/>
                <w:sz w:val="28"/>
                <w:highlight w:val="none"/>
              </w:rPr>
              <w:t xml:space="preserve"> </w:t>
            </w:r>
            <w:r>
              <w:rPr>
                <w:rFonts w:hint="eastAsia" w:ascii="Times New Roman"/>
                <w:snapToGrid w:val="0"/>
                <w:color w:val="auto"/>
                <w:kern w:val="0"/>
                <w:sz w:val="28"/>
                <w:highlight w:val="none"/>
              </w:rPr>
              <w:t xml:space="preserve">    标</w:t>
            </w:r>
            <w:r>
              <w:rPr>
                <w:rFonts w:ascii="Times New Roman"/>
                <w:snapToGrid w:val="0"/>
                <w:color w:val="auto"/>
                <w:kern w:val="0"/>
                <w:sz w:val="28"/>
                <w:highlight w:val="none"/>
              </w:rPr>
              <w:t xml:space="preserve"> </w:t>
            </w:r>
            <w:r>
              <w:rPr>
                <w:rFonts w:hint="eastAsia" w:ascii="Times New Roman"/>
                <w:snapToGrid w:val="0"/>
                <w:color w:val="auto"/>
                <w:kern w:val="0"/>
                <w:sz w:val="28"/>
                <w:highlight w:val="none"/>
              </w:rPr>
              <w:t xml:space="preserve">    人（盖单位章）：</w:t>
            </w:r>
          </w:p>
        </w:tc>
        <w:tc>
          <w:tcPr>
            <w:tcW w:w="5020" w:type="dxa"/>
            <w:noWrap w:val="0"/>
            <w:vAlign w:val="center"/>
          </w:tcPr>
          <w:p w14:paraId="75903C3E">
            <w:pPr>
              <w:pStyle w:val="47"/>
              <w:wordWrap w:val="0"/>
              <w:adjustRightInd w:val="0"/>
              <w:snapToGrid w:val="0"/>
              <w:spacing w:line="240" w:lineRule="auto"/>
              <w:rPr>
                <w:rFonts w:hint="eastAsia" w:ascii="Times New Roman" w:eastAsia="宋体"/>
                <w:snapToGrid w:val="0"/>
                <w:color w:val="auto"/>
                <w:kern w:val="0"/>
                <w:sz w:val="28"/>
                <w:szCs w:val="28"/>
                <w:highlight w:val="none"/>
                <w:lang w:eastAsia="zh-CN"/>
              </w:rPr>
            </w:pPr>
            <w:r>
              <w:rPr>
                <w:rFonts w:hint="eastAsia" w:ascii="Times New Roman"/>
                <w:snapToGrid w:val="0"/>
                <w:color w:val="auto"/>
                <w:kern w:val="0"/>
                <w:sz w:val="28"/>
                <w:szCs w:val="28"/>
                <w:highlight w:val="none"/>
                <w:lang w:eastAsia="zh-CN"/>
              </w:rPr>
              <w:t>粤北能源投资（广东）有限公司</w:t>
            </w:r>
          </w:p>
        </w:tc>
      </w:tr>
      <w:tr w14:paraId="2F6AE0BF">
        <w:tblPrEx>
          <w:tblCellMar>
            <w:top w:w="0" w:type="dxa"/>
            <w:left w:w="0" w:type="dxa"/>
            <w:bottom w:w="0" w:type="dxa"/>
            <w:right w:w="0" w:type="dxa"/>
          </w:tblCellMar>
        </w:tblPrEx>
        <w:trPr>
          <w:trHeight w:val="1038" w:hRule="atLeast"/>
        </w:trPr>
        <w:tc>
          <w:tcPr>
            <w:tcW w:w="4708" w:type="dxa"/>
            <w:noWrap w:val="0"/>
            <w:vAlign w:val="center"/>
          </w:tcPr>
          <w:p w14:paraId="0193B345">
            <w:pPr>
              <w:pStyle w:val="47"/>
              <w:wordWrap w:val="0"/>
              <w:adjustRightInd w:val="0"/>
              <w:snapToGrid w:val="0"/>
              <w:spacing w:line="240" w:lineRule="auto"/>
              <w:jc w:val="distribute"/>
              <w:rPr>
                <w:rFonts w:hint="eastAsia" w:ascii="Times New Roman"/>
                <w:snapToGrid w:val="0"/>
                <w:color w:val="auto"/>
                <w:kern w:val="0"/>
                <w:sz w:val="28"/>
                <w:highlight w:val="none"/>
              </w:rPr>
            </w:pPr>
          </w:p>
          <w:p w14:paraId="56F65F8A">
            <w:pPr>
              <w:pStyle w:val="47"/>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招标人工作领导小组负责人（签字）：</w:t>
            </w:r>
          </w:p>
        </w:tc>
        <w:tc>
          <w:tcPr>
            <w:tcW w:w="5020" w:type="dxa"/>
            <w:noWrap w:val="0"/>
            <w:vAlign w:val="center"/>
          </w:tcPr>
          <w:p w14:paraId="7D0F69F3">
            <w:pPr>
              <w:pStyle w:val="47"/>
              <w:wordWrap w:val="0"/>
              <w:adjustRightInd w:val="0"/>
              <w:snapToGrid w:val="0"/>
              <w:spacing w:line="240" w:lineRule="auto"/>
              <w:rPr>
                <w:rFonts w:hint="eastAsia" w:ascii="Times New Roman"/>
                <w:snapToGrid w:val="0"/>
                <w:color w:val="auto"/>
                <w:kern w:val="0"/>
                <w:sz w:val="28"/>
                <w:szCs w:val="28"/>
                <w:highlight w:val="none"/>
              </w:rPr>
            </w:pPr>
          </w:p>
        </w:tc>
      </w:tr>
      <w:tr w14:paraId="314F9075">
        <w:tblPrEx>
          <w:tblCellMar>
            <w:top w:w="0" w:type="dxa"/>
            <w:left w:w="0" w:type="dxa"/>
            <w:bottom w:w="0" w:type="dxa"/>
            <w:right w:w="0" w:type="dxa"/>
          </w:tblCellMar>
        </w:tblPrEx>
        <w:trPr>
          <w:trHeight w:val="1063" w:hRule="atLeast"/>
        </w:trPr>
        <w:tc>
          <w:tcPr>
            <w:tcW w:w="4708" w:type="dxa"/>
            <w:noWrap w:val="0"/>
            <w:vAlign w:val="center"/>
          </w:tcPr>
          <w:p w14:paraId="63899277">
            <w:pPr>
              <w:pStyle w:val="47"/>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 标 代 理 机 构 （盖单位章）：</w:t>
            </w:r>
          </w:p>
        </w:tc>
        <w:tc>
          <w:tcPr>
            <w:tcW w:w="5020" w:type="dxa"/>
            <w:noWrap w:val="0"/>
            <w:vAlign w:val="center"/>
          </w:tcPr>
          <w:p w14:paraId="5622AD07">
            <w:pPr>
              <w:pStyle w:val="47"/>
              <w:wordWrap w:val="0"/>
              <w:adjustRightInd w:val="0"/>
              <w:snapToGrid w:val="0"/>
              <w:spacing w:line="240" w:lineRule="auto"/>
              <w:rPr>
                <w:rFonts w:hint="eastAsia" w:ascii="Times New Roman" w:eastAsia="宋体"/>
                <w:snapToGrid w:val="0"/>
                <w:color w:val="auto"/>
                <w:kern w:val="0"/>
                <w:sz w:val="28"/>
                <w:szCs w:val="28"/>
                <w:highlight w:val="none"/>
                <w:lang w:eastAsia="zh-CN"/>
              </w:rPr>
            </w:pPr>
            <w:r>
              <w:rPr>
                <w:rFonts w:hint="eastAsia" w:ascii="Times New Roman"/>
                <w:snapToGrid w:val="0"/>
                <w:color w:val="auto"/>
                <w:kern w:val="0"/>
                <w:sz w:val="28"/>
                <w:szCs w:val="28"/>
                <w:highlight w:val="none"/>
                <w:lang w:eastAsia="zh-CN"/>
              </w:rPr>
              <w:t>韶关市建韶工程造价咨询有限公司</w:t>
            </w:r>
          </w:p>
        </w:tc>
      </w:tr>
      <w:tr w14:paraId="51EC31A4">
        <w:tblPrEx>
          <w:tblCellMar>
            <w:top w:w="0" w:type="dxa"/>
            <w:left w:w="0" w:type="dxa"/>
            <w:bottom w:w="0" w:type="dxa"/>
            <w:right w:w="0" w:type="dxa"/>
          </w:tblCellMar>
        </w:tblPrEx>
        <w:trPr>
          <w:trHeight w:val="1082" w:hRule="atLeast"/>
        </w:trPr>
        <w:tc>
          <w:tcPr>
            <w:tcW w:w="4708" w:type="dxa"/>
            <w:noWrap w:val="0"/>
            <w:vAlign w:val="center"/>
          </w:tcPr>
          <w:p w14:paraId="27DC3180">
            <w:pPr>
              <w:pStyle w:val="47"/>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招标文件编制人（签字）：</w:t>
            </w:r>
          </w:p>
        </w:tc>
        <w:tc>
          <w:tcPr>
            <w:tcW w:w="5020" w:type="dxa"/>
            <w:noWrap w:val="0"/>
            <w:vAlign w:val="center"/>
          </w:tcPr>
          <w:p w14:paraId="029007C5">
            <w:pPr>
              <w:pStyle w:val="47"/>
              <w:wordWrap w:val="0"/>
              <w:adjustRightInd w:val="0"/>
              <w:snapToGrid w:val="0"/>
              <w:spacing w:line="240" w:lineRule="auto"/>
              <w:rPr>
                <w:rFonts w:hint="eastAsia" w:ascii="Times New Roman"/>
                <w:snapToGrid w:val="0"/>
                <w:color w:val="auto"/>
                <w:kern w:val="0"/>
                <w:sz w:val="28"/>
                <w:szCs w:val="28"/>
                <w:highlight w:val="none"/>
              </w:rPr>
            </w:pPr>
          </w:p>
        </w:tc>
      </w:tr>
      <w:tr w14:paraId="1DB11C11">
        <w:tblPrEx>
          <w:tblCellMar>
            <w:top w:w="0" w:type="dxa"/>
            <w:left w:w="0" w:type="dxa"/>
            <w:bottom w:w="0" w:type="dxa"/>
            <w:right w:w="0" w:type="dxa"/>
          </w:tblCellMar>
        </w:tblPrEx>
        <w:trPr>
          <w:trHeight w:val="1058" w:hRule="atLeast"/>
        </w:trPr>
        <w:tc>
          <w:tcPr>
            <w:tcW w:w="4708" w:type="dxa"/>
            <w:noWrap w:val="0"/>
            <w:vAlign w:val="center"/>
          </w:tcPr>
          <w:p w14:paraId="54B553D7">
            <w:pPr>
              <w:pStyle w:val="47"/>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招标代理机构项目负责人（签字）：</w:t>
            </w:r>
          </w:p>
        </w:tc>
        <w:tc>
          <w:tcPr>
            <w:tcW w:w="5020" w:type="dxa"/>
            <w:noWrap w:val="0"/>
            <w:vAlign w:val="center"/>
          </w:tcPr>
          <w:p w14:paraId="524E8C71">
            <w:pPr>
              <w:pStyle w:val="47"/>
              <w:wordWrap w:val="0"/>
              <w:adjustRightInd w:val="0"/>
              <w:snapToGrid w:val="0"/>
              <w:spacing w:line="240" w:lineRule="auto"/>
              <w:rPr>
                <w:rFonts w:hint="eastAsia" w:ascii="Times New Roman"/>
                <w:snapToGrid w:val="0"/>
                <w:color w:val="auto"/>
                <w:kern w:val="0"/>
                <w:sz w:val="28"/>
                <w:szCs w:val="28"/>
                <w:highlight w:val="none"/>
              </w:rPr>
            </w:pPr>
          </w:p>
        </w:tc>
      </w:tr>
      <w:tr w14:paraId="596D51CF">
        <w:tblPrEx>
          <w:tblCellMar>
            <w:top w:w="0" w:type="dxa"/>
            <w:left w:w="0" w:type="dxa"/>
            <w:bottom w:w="0" w:type="dxa"/>
            <w:right w:w="0" w:type="dxa"/>
          </w:tblCellMar>
        </w:tblPrEx>
        <w:trPr>
          <w:trHeight w:val="892" w:hRule="atLeast"/>
        </w:trPr>
        <w:tc>
          <w:tcPr>
            <w:tcW w:w="4708" w:type="dxa"/>
            <w:noWrap w:val="0"/>
            <w:vAlign w:val="center"/>
          </w:tcPr>
          <w:p w14:paraId="0691A97D">
            <w:pPr>
              <w:pStyle w:val="47"/>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招标文件编制日期：</w:t>
            </w:r>
          </w:p>
        </w:tc>
        <w:tc>
          <w:tcPr>
            <w:tcW w:w="5020" w:type="dxa"/>
            <w:noWrap w:val="0"/>
            <w:vAlign w:val="center"/>
          </w:tcPr>
          <w:p w14:paraId="485580C4">
            <w:pPr>
              <w:pStyle w:val="47"/>
              <w:wordWrap w:val="0"/>
              <w:adjustRightInd w:val="0"/>
              <w:snapToGrid w:val="0"/>
              <w:spacing w:line="240" w:lineRule="auto"/>
              <w:rPr>
                <w:rFonts w:ascii="Times New Roman"/>
                <w:snapToGrid w:val="0"/>
                <w:color w:val="auto"/>
                <w:kern w:val="0"/>
                <w:sz w:val="28"/>
                <w:highlight w:val="none"/>
              </w:rPr>
            </w:pPr>
            <w:r>
              <w:rPr>
                <w:rFonts w:hint="eastAsia" w:ascii="Times New Roman"/>
                <w:snapToGrid w:val="0"/>
                <w:color w:val="auto"/>
                <w:kern w:val="0"/>
                <w:sz w:val="28"/>
                <w:highlight w:val="none"/>
              </w:rPr>
              <w:t xml:space="preserve">       202</w:t>
            </w:r>
            <w:r>
              <w:rPr>
                <w:rFonts w:hint="eastAsia" w:ascii="Times New Roman"/>
                <w:snapToGrid w:val="0"/>
                <w:color w:val="auto"/>
                <w:kern w:val="0"/>
                <w:sz w:val="28"/>
                <w:highlight w:val="none"/>
                <w:lang w:val="en-US" w:eastAsia="zh-CN"/>
              </w:rPr>
              <w:t>5</w:t>
            </w:r>
            <w:r>
              <w:rPr>
                <w:rFonts w:hint="eastAsia" w:ascii="Times New Roman"/>
                <w:snapToGrid w:val="0"/>
                <w:color w:val="auto"/>
                <w:kern w:val="0"/>
                <w:sz w:val="28"/>
                <w:highlight w:val="none"/>
              </w:rPr>
              <w:t>年</w:t>
            </w:r>
            <w:r>
              <w:rPr>
                <w:rFonts w:hint="eastAsia" w:ascii="Times New Roman"/>
                <w:snapToGrid w:val="0"/>
                <w:color w:val="auto"/>
                <w:kern w:val="0"/>
                <w:sz w:val="28"/>
                <w:highlight w:val="none"/>
                <w:lang w:val="en-US" w:eastAsia="zh-CN"/>
              </w:rPr>
              <w:t>12</w:t>
            </w:r>
            <w:r>
              <w:rPr>
                <w:rFonts w:hint="eastAsia" w:ascii="Times New Roman"/>
                <w:snapToGrid w:val="0"/>
                <w:color w:val="auto"/>
                <w:kern w:val="0"/>
                <w:sz w:val="28"/>
                <w:highlight w:val="none"/>
              </w:rPr>
              <w:t>月</w:t>
            </w:r>
          </w:p>
        </w:tc>
      </w:tr>
    </w:tbl>
    <w:p w14:paraId="564F62F7">
      <w:pPr>
        <w:pStyle w:val="2"/>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sectPr>
          <w:headerReference r:id="rId3" w:type="default"/>
          <w:pgSz w:w="11906" w:h="16839"/>
          <w:pgMar w:top="1660" w:right="1080" w:bottom="1440" w:left="1080" w:header="1200" w:footer="0" w:gutter="0"/>
          <w:pgBorders>
            <w:top w:val="none" w:sz="0" w:space="0"/>
            <w:left w:val="none" w:sz="0" w:space="0"/>
            <w:bottom w:val="none" w:sz="0" w:space="0"/>
            <w:right w:val="none" w:sz="0" w:space="0"/>
          </w:pgBorders>
          <w:pgNumType w:start="1"/>
          <w:cols w:space="720" w:num="1"/>
        </w:sectPr>
      </w:pPr>
    </w:p>
    <w:p w14:paraId="42019161">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highlight w:val="none"/>
        </w:rPr>
      </w:pPr>
    </w:p>
    <w:p w14:paraId="57B7C14A">
      <w:pPr>
        <w:keepNext w:val="0"/>
        <w:keepLines w:val="0"/>
        <w:pageBreakBefore w:val="0"/>
        <w:widowControl w:val="0"/>
        <w:kinsoku/>
        <w:wordWrap w:val="0"/>
        <w:overflowPunct/>
        <w:topLinePunct/>
        <w:autoSpaceDE/>
        <w:autoSpaceDN/>
        <w:bidi w:val="0"/>
        <w:adjustRightInd w:val="0"/>
        <w:snapToGrid w:val="0"/>
        <w:spacing w:line="360" w:lineRule="auto"/>
        <w:ind w:right="84" w:rightChars="40"/>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目录</w:t>
      </w:r>
    </w:p>
    <w:p w14:paraId="5EFAB9D4">
      <w:pPr>
        <w:pStyle w:val="10"/>
        <w:tabs>
          <w:tab w:val="right" w:leader="dot" w:pos="9746"/>
        </w:tabs>
        <w:spacing w:line="360" w:lineRule="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TOC \o "1-3" \h \u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_Toc6565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3"/>
          <w:szCs w:val="24"/>
          <w:highlight w:val="none"/>
        </w:rPr>
        <w:t>第一章</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投标人须知</w:t>
      </w:r>
      <w:r>
        <w:rPr>
          <w:color w:val="auto"/>
          <w:highlight w:val="none"/>
        </w:rPr>
        <w:tab/>
      </w:r>
      <w:r>
        <w:rPr>
          <w:color w:val="auto"/>
          <w:highlight w:val="none"/>
        </w:rPr>
        <w:fldChar w:fldCharType="begin"/>
      </w:r>
      <w:r>
        <w:rPr>
          <w:color w:val="auto"/>
          <w:highlight w:val="none"/>
        </w:rPr>
        <w:instrText xml:space="preserve"> PAGEREF _Toc6565 \h </w:instrText>
      </w:r>
      <w:r>
        <w:rPr>
          <w:color w:val="auto"/>
          <w:highlight w:val="none"/>
        </w:rPr>
        <w:fldChar w:fldCharType="separate"/>
      </w:r>
      <w:r>
        <w:rPr>
          <w:color w:val="auto"/>
          <w:highlight w:val="none"/>
        </w:rPr>
        <w:t>3</w:t>
      </w:r>
      <w:r>
        <w:rPr>
          <w:color w:val="auto"/>
          <w:highlight w:val="none"/>
        </w:rPr>
        <w:fldChar w:fldCharType="end"/>
      </w:r>
      <w:r>
        <w:rPr>
          <w:rFonts w:hint="eastAsia" w:ascii="宋体" w:hAnsi="宋体" w:eastAsia="宋体" w:cs="宋体"/>
          <w:color w:val="auto"/>
          <w:szCs w:val="21"/>
          <w:highlight w:val="none"/>
        </w:rPr>
        <w:fldChar w:fldCharType="end"/>
      </w:r>
    </w:p>
    <w:p w14:paraId="3357F06C">
      <w:pPr>
        <w:pStyle w:val="11"/>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_Toc15144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3"/>
          <w:szCs w:val="24"/>
          <w:highlight w:val="none"/>
        </w:rPr>
        <w:t>第一节</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_Toc15144 \h </w:instrText>
      </w:r>
      <w:r>
        <w:rPr>
          <w:color w:val="auto"/>
          <w:highlight w:val="none"/>
        </w:rPr>
        <w:fldChar w:fldCharType="separate"/>
      </w:r>
      <w:r>
        <w:rPr>
          <w:color w:val="auto"/>
          <w:highlight w:val="none"/>
        </w:rPr>
        <w:t>3</w:t>
      </w:r>
      <w:r>
        <w:rPr>
          <w:color w:val="auto"/>
          <w:highlight w:val="none"/>
        </w:rPr>
        <w:fldChar w:fldCharType="end"/>
      </w:r>
      <w:r>
        <w:rPr>
          <w:rFonts w:hint="eastAsia" w:ascii="宋体" w:hAnsi="宋体" w:eastAsia="宋体" w:cs="宋体"/>
          <w:color w:val="auto"/>
          <w:szCs w:val="21"/>
          <w:highlight w:val="none"/>
        </w:rPr>
        <w:fldChar w:fldCharType="end"/>
      </w:r>
    </w:p>
    <w:p w14:paraId="3814F5E5">
      <w:pPr>
        <w:pStyle w:val="11"/>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_Toc8870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3"/>
          <w:szCs w:val="24"/>
          <w:highlight w:val="none"/>
        </w:rPr>
        <w:t>第二节 重要事项时间地点一览表</w:t>
      </w:r>
      <w:r>
        <w:rPr>
          <w:color w:val="auto"/>
          <w:highlight w:val="none"/>
        </w:rPr>
        <w:tab/>
      </w:r>
      <w:r>
        <w:rPr>
          <w:color w:val="auto"/>
          <w:highlight w:val="none"/>
        </w:rPr>
        <w:fldChar w:fldCharType="begin"/>
      </w:r>
      <w:r>
        <w:rPr>
          <w:color w:val="auto"/>
          <w:highlight w:val="none"/>
        </w:rPr>
        <w:instrText xml:space="preserve"> PAGEREF _Toc8870 \h </w:instrText>
      </w:r>
      <w:r>
        <w:rPr>
          <w:color w:val="auto"/>
          <w:highlight w:val="none"/>
        </w:rPr>
        <w:fldChar w:fldCharType="separate"/>
      </w:r>
      <w:r>
        <w:rPr>
          <w:color w:val="auto"/>
          <w:highlight w:val="none"/>
        </w:rPr>
        <w:t>10</w:t>
      </w:r>
      <w:r>
        <w:rPr>
          <w:color w:val="auto"/>
          <w:highlight w:val="none"/>
        </w:rPr>
        <w:fldChar w:fldCharType="end"/>
      </w:r>
      <w:r>
        <w:rPr>
          <w:rFonts w:hint="eastAsia" w:ascii="宋体" w:hAnsi="宋体" w:eastAsia="宋体" w:cs="宋体"/>
          <w:color w:val="auto"/>
          <w:szCs w:val="21"/>
          <w:highlight w:val="none"/>
        </w:rPr>
        <w:fldChar w:fldCharType="end"/>
      </w:r>
    </w:p>
    <w:p w14:paraId="6D00B5E4">
      <w:pPr>
        <w:pStyle w:val="11"/>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_Toc15564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3"/>
          <w:szCs w:val="24"/>
          <w:highlight w:val="none"/>
        </w:rPr>
        <w:t>第三节</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投标人须知正文</w:t>
      </w:r>
      <w:r>
        <w:rPr>
          <w:color w:val="auto"/>
          <w:highlight w:val="none"/>
        </w:rPr>
        <w:tab/>
      </w:r>
      <w:r>
        <w:rPr>
          <w:color w:val="auto"/>
          <w:highlight w:val="none"/>
        </w:rPr>
        <w:fldChar w:fldCharType="begin"/>
      </w:r>
      <w:r>
        <w:rPr>
          <w:color w:val="auto"/>
          <w:highlight w:val="none"/>
        </w:rPr>
        <w:instrText xml:space="preserve"> PAGEREF _Toc15564 \h </w:instrText>
      </w:r>
      <w:r>
        <w:rPr>
          <w:color w:val="auto"/>
          <w:highlight w:val="none"/>
        </w:rPr>
        <w:fldChar w:fldCharType="separate"/>
      </w:r>
      <w:r>
        <w:rPr>
          <w:color w:val="auto"/>
          <w:highlight w:val="none"/>
        </w:rPr>
        <w:t>11</w:t>
      </w:r>
      <w:r>
        <w:rPr>
          <w:color w:val="auto"/>
          <w:highlight w:val="none"/>
        </w:rPr>
        <w:fldChar w:fldCharType="end"/>
      </w:r>
      <w:r>
        <w:rPr>
          <w:rFonts w:hint="eastAsia" w:ascii="宋体" w:hAnsi="宋体" w:eastAsia="宋体" w:cs="宋体"/>
          <w:color w:val="auto"/>
          <w:szCs w:val="21"/>
          <w:highlight w:val="none"/>
        </w:rPr>
        <w:fldChar w:fldCharType="end"/>
      </w:r>
    </w:p>
    <w:p w14:paraId="6D65A1AA">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_Toc7786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1</w:t>
      </w:r>
      <w:r>
        <w:rPr>
          <w:rFonts w:hint="eastAsia" w:ascii="宋体" w:hAnsi="宋体" w:eastAsia="宋体" w:cs="宋体"/>
          <w:bCs/>
          <w:color w:val="auto"/>
          <w:spacing w:val="-23"/>
          <w:szCs w:val="24"/>
          <w:highlight w:val="none"/>
        </w:rPr>
        <w:t xml:space="preserve"> </w:t>
      </w:r>
      <w:r>
        <w:rPr>
          <w:rFonts w:hint="eastAsia" w:ascii="宋体" w:hAnsi="宋体" w:eastAsia="宋体" w:cs="宋体"/>
          <w:bCs/>
          <w:color w:val="auto"/>
          <w:spacing w:val="-4"/>
          <w:szCs w:val="24"/>
          <w:highlight w:val="none"/>
        </w:rPr>
        <w:t>．项目概况、招标范围和标段划分、投标费用等</w:t>
      </w:r>
      <w:r>
        <w:rPr>
          <w:color w:val="auto"/>
          <w:highlight w:val="none"/>
        </w:rPr>
        <w:tab/>
      </w:r>
      <w:r>
        <w:rPr>
          <w:color w:val="auto"/>
          <w:highlight w:val="none"/>
        </w:rPr>
        <w:fldChar w:fldCharType="begin"/>
      </w:r>
      <w:r>
        <w:rPr>
          <w:color w:val="auto"/>
          <w:highlight w:val="none"/>
        </w:rPr>
        <w:instrText xml:space="preserve"> PAGEREF _Toc7786 \h </w:instrText>
      </w:r>
      <w:r>
        <w:rPr>
          <w:color w:val="auto"/>
          <w:highlight w:val="none"/>
        </w:rPr>
        <w:fldChar w:fldCharType="separate"/>
      </w:r>
      <w:r>
        <w:rPr>
          <w:color w:val="auto"/>
          <w:highlight w:val="none"/>
        </w:rPr>
        <w:t>11</w:t>
      </w:r>
      <w:r>
        <w:rPr>
          <w:color w:val="auto"/>
          <w:highlight w:val="none"/>
        </w:rPr>
        <w:fldChar w:fldCharType="end"/>
      </w:r>
      <w:r>
        <w:rPr>
          <w:rFonts w:hint="eastAsia" w:ascii="宋体" w:hAnsi="宋体" w:eastAsia="宋体" w:cs="宋体"/>
          <w:color w:val="auto"/>
          <w:szCs w:val="21"/>
          <w:highlight w:val="none"/>
        </w:rPr>
        <w:fldChar w:fldCharType="end"/>
      </w:r>
    </w:p>
    <w:p w14:paraId="6C67218F">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_Toc17294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lang w:eastAsia="zh-CN"/>
        </w:rPr>
        <w:t>2.投标人</w:t>
      </w:r>
      <w:r>
        <w:rPr>
          <w:rFonts w:hint="eastAsia" w:ascii="宋体" w:hAnsi="宋体" w:eastAsia="宋体" w:cs="宋体"/>
          <w:bCs/>
          <w:color w:val="auto"/>
          <w:spacing w:val="-4"/>
          <w:szCs w:val="24"/>
          <w:highlight w:val="none"/>
        </w:rPr>
        <w:t>资质要求</w:t>
      </w:r>
      <w:r>
        <w:rPr>
          <w:color w:val="auto"/>
          <w:highlight w:val="none"/>
        </w:rPr>
        <w:tab/>
      </w:r>
      <w:r>
        <w:rPr>
          <w:color w:val="auto"/>
          <w:highlight w:val="none"/>
        </w:rPr>
        <w:fldChar w:fldCharType="begin"/>
      </w:r>
      <w:r>
        <w:rPr>
          <w:color w:val="auto"/>
          <w:highlight w:val="none"/>
        </w:rPr>
        <w:instrText xml:space="preserve"> PAGEREF _Toc17294 \h </w:instrText>
      </w:r>
      <w:r>
        <w:rPr>
          <w:color w:val="auto"/>
          <w:highlight w:val="none"/>
        </w:rPr>
        <w:fldChar w:fldCharType="separate"/>
      </w:r>
      <w:r>
        <w:rPr>
          <w:color w:val="auto"/>
          <w:highlight w:val="none"/>
        </w:rPr>
        <w:t>11</w:t>
      </w:r>
      <w:r>
        <w:rPr>
          <w:color w:val="auto"/>
          <w:highlight w:val="none"/>
        </w:rPr>
        <w:fldChar w:fldCharType="end"/>
      </w:r>
      <w:r>
        <w:rPr>
          <w:rFonts w:hint="eastAsia" w:ascii="宋体" w:hAnsi="宋体" w:eastAsia="宋体" w:cs="宋体"/>
          <w:color w:val="auto"/>
          <w:szCs w:val="21"/>
          <w:highlight w:val="none"/>
        </w:rPr>
        <w:fldChar w:fldCharType="end"/>
      </w:r>
    </w:p>
    <w:p w14:paraId="5A7F00BC">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_Toc10137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lang w:eastAsia="zh-CN"/>
        </w:rPr>
        <w:t>3.</w:t>
      </w:r>
      <w:r>
        <w:rPr>
          <w:rFonts w:hint="eastAsia" w:ascii="宋体" w:hAnsi="宋体" w:eastAsia="宋体" w:cs="宋体"/>
          <w:bCs/>
          <w:color w:val="auto"/>
          <w:spacing w:val="-4"/>
          <w:szCs w:val="24"/>
          <w:highlight w:val="none"/>
        </w:rPr>
        <w:t>招标文件的获取</w:t>
      </w:r>
      <w:r>
        <w:rPr>
          <w:color w:val="auto"/>
          <w:highlight w:val="none"/>
        </w:rPr>
        <w:tab/>
      </w:r>
      <w:r>
        <w:rPr>
          <w:color w:val="auto"/>
          <w:highlight w:val="none"/>
        </w:rPr>
        <w:fldChar w:fldCharType="begin"/>
      </w:r>
      <w:r>
        <w:rPr>
          <w:color w:val="auto"/>
          <w:highlight w:val="none"/>
        </w:rPr>
        <w:instrText xml:space="preserve"> PAGEREF _Toc10137 \h </w:instrText>
      </w:r>
      <w:r>
        <w:rPr>
          <w:color w:val="auto"/>
          <w:highlight w:val="none"/>
        </w:rPr>
        <w:fldChar w:fldCharType="separate"/>
      </w:r>
      <w:r>
        <w:rPr>
          <w:color w:val="auto"/>
          <w:highlight w:val="none"/>
        </w:rPr>
        <w:t>13</w:t>
      </w:r>
      <w:r>
        <w:rPr>
          <w:color w:val="auto"/>
          <w:highlight w:val="none"/>
        </w:rPr>
        <w:fldChar w:fldCharType="end"/>
      </w:r>
      <w:r>
        <w:rPr>
          <w:rFonts w:hint="eastAsia" w:ascii="宋体" w:hAnsi="宋体" w:eastAsia="宋体" w:cs="宋体"/>
          <w:color w:val="auto"/>
          <w:szCs w:val="21"/>
          <w:highlight w:val="none"/>
        </w:rPr>
        <w:fldChar w:fldCharType="end"/>
      </w:r>
    </w:p>
    <w:p w14:paraId="4D975076">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_Toc11460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8"/>
          <w:szCs w:val="24"/>
          <w:highlight w:val="none"/>
        </w:rPr>
        <w:t>4</w:t>
      </w:r>
      <w:r>
        <w:rPr>
          <w:rFonts w:hint="eastAsia" w:ascii="宋体" w:hAnsi="宋体" w:eastAsia="宋体" w:cs="宋体"/>
          <w:bCs/>
          <w:color w:val="auto"/>
          <w:spacing w:val="-8"/>
          <w:szCs w:val="24"/>
          <w:highlight w:val="none"/>
          <w:lang w:val="en-US" w:eastAsia="zh-CN"/>
        </w:rPr>
        <w:t xml:space="preserve"> </w:t>
      </w:r>
      <w:r>
        <w:rPr>
          <w:rFonts w:hint="eastAsia" w:ascii="宋体" w:hAnsi="宋体" w:eastAsia="宋体" w:cs="宋体"/>
          <w:bCs/>
          <w:color w:val="auto"/>
          <w:spacing w:val="-8"/>
          <w:szCs w:val="24"/>
          <w:highlight w:val="none"/>
        </w:rPr>
        <w:t>．工期要求</w:t>
      </w:r>
      <w:r>
        <w:rPr>
          <w:color w:val="auto"/>
          <w:highlight w:val="none"/>
        </w:rPr>
        <w:tab/>
      </w:r>
      <w:r>
        <w:rPr>
          <w:color w:val="auto"/>
          <w:highlight w:val="none"/>
        </w:rPr>
        <w:fldChar w:fldCharType="begin"/>
      </w:r>
      <w:r>
        <w:rPr>
          <w:color w:val="auto"/>
          <w:highlight w:val="none"/>
        </w:rPr>
        <w:instrText xml:space="preserve"> PAGEREF _Toc11460 \h </w:instrText>
      </w:r>
      <w:r>
        <w:rPr>
          <w:color w:val="auto"/>
          <w:highlight w:val="none"/>
        </w:rPr>
        <w:fldChar w:fldCharType="separate"/>
      </w:r>
      <w:r>
        <w:rPr>
          <w:color w:val="auto"/>
          <w:highlight w:val="none"/>
        </w:rPr>
        <w:t>15</w:t>
      </w:r>
      <w:r>
        <w:rPr>
          <w:color w:val="auto"/>
          <w:highlight w:val="none"/>
        </w:rPr>
        <w:fldChar w:fldCharType="end"/>
      </w:r>
      <w:r>
        <w:rPr>
          <w:rFonts w:hint="eastAsia" w:ascii="宋体" w:hAnsi="宋体" w:eastAsia="宋体" w:cs="宋体"/>
          <w:color w:val="auto"/>
          <w:szCs w:val="21"/>
          <w:highlight w:val="none"/>
        </w:rPr>
        <w:fldChar w:fldCharType="end"/>
      </w:r>
    </w:p>
    <w:p w14:paraId="465EA513">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_Toc18003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5"/>
          <w:szCs w:val="24"/>
          <w:highlight w:val="none"/>
        </w:rPr>
        <w:t>5</w:t>
      </w:r>
      <w:r>
        <w:rPr>
          <w:rFonts w:hint="eastAsia" w:ascii="宋体" w:hAnsi="宋体" w:eastAsia="宋体" w:cs="宋体"/>
          <w:bCs/>
          <w:color w:val="auto"/>
          <w:spacing w:val="-5"/>
          <w:szCs w:val="24"/>
          <w:highlight w:val="none"/>
          <w:lang w:val="en-US" w:eastAsia="zh-CN"/>
        </w:rPr>
        <w:t xml:space="preserve"> </w:t>
      </w:r>
      <w:r>
        <w:rPr>
          <w:rFonts w:hint="eastAsia" w:ascii="宋体" w:hAnsi="宋体" w:eastAsia="宋体" w:cs="宋体"/>
          <w:bCs/>
          <w:color w:val="auto"/>
          <w:spacing w:val="-5"/>
          <w:szCs w:val="24"/>
          <w:highlight w:val="none"/>
        </w:rPr>
        <w:t>．质量标准和材料、机械要求</w:t>
      </w:r>
      <w:r>
        <w:rPr>
          <w:color w:val="auto"/>
          <w:highlight w:val="none"/>
        </w:rPr>
        <w:tab/>
      </w:r>
      <w:r>
        <w:rPr>
          <w:color w:val="auto"/>
          <w:highlight w:val="none"/>
        </w:rPr>
        <w:fldChar w:fldCharType="begin"/>
      </w:r>
      <w:r>
        <w:rPr>
          <w:color w:val="auto"/>
          <w:highlight w:val="none"/>
        </w:rPr>
        <w:instrText xml:space="preserve"> PAGEREF _Toc18003 \h </w:instrText>
      </w:r>
      <w:r>
        <w:rPr>
          <w:color w:val="auto"/>
          <w:highlight w:val="none"/>
        </w:rPr>
        <w:fldChar w:fldCharType="separate"/>
      </w:r>
      <w:r>
        <w:rPr>
          <w:color w:val="auto"/>
          <w:highlight w:val="none"/>
        </w:rPr>
        <w:t>15</w:t>
      </w:r>
      <w:r>
        <w:rPr>
          <w:color w:val="auto"/>
          <w:highlight w:val="none"/>
        </w:rPr>
        <w:fldChar w:fldCharType="end"/>
      </w:r>
      <w:r>
        <w:rPr>
          <w:rFonts w:hint="eastAsia" w:ascii="宋体" w:hAnsi="宋体" w:eastAsia="宋体" w:cs="宋体"/>
          <w:color w:val="auto"/>
          <w:szCs w:val="21"/>
          <w:highlight w:val="none"/>
        </w:rPr>
        <w:fldChar w:fldCharType="end"/>
      </w:r>
    </w:p>
    <w:p w14:paraId="78158045">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_Toc1955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6"/>
          <w:szCs w:val="24"/>
          <w:highlight w:val="none"/>
        </w:rPr>
        <w:t>6</w:t>
      </w:r>
      <w:r>
        <w:rPr>
          <w:rFonts w:hint="eastAsia" w:ascii="宋体" w:hAnsi="宋体" w:eastAsia="宋体" w:cs="宋体"/>
          <w:bCs/>
          <w:color w:val="auto"/>
          <w:spacing w:val="-20"/>
          <w:szCs w:val="24"/>
          <w:highlight w:val="none"/>
        </w:rPr>
        <w:t xml:space="preserve"> </w:t>
      </w:r>
      <w:r>
        <w:rPr>
          <w:rFonts w:hint="eastAsia" w:ascii="宋体" w:hAnsi="宋体" w:eastAsia="宋体" w:cs="宋体"/>
          <w:bCs/>
          <w:color w:val="auto"/>
          <w:spacing w:val="-6"/>
          <w:szCs w:val="24"/>
          <w:highlight w:val="none"/>
        </w:rPr>
        <w:t>．施工条件及现场踏勘</w:t>
      </w:r>
      <w:r>
        <w:rPr>
          <w:color w:val="auto"/>
          <w:highlight w:val="none"/>
        </w:rPr>
        <w:tab/>
      </w:r>
      <w:r>
        <w:rPr>
          <w:color w:val="auto"/>
          <w:highlight w:val="none"/>
        </w:rPr>
        <w:fldChar w:fldCharType="begin"/>
      </w:r>
      <w:r>
        <w:rPr>
          <w:color w:val="auto"/>
          <w:highlight w:val="none"/>
        </w:rPr>
        <w:instrText xml:space="preserve"> PAGEREF _Toc1955 \h </w:instrText>
      </w:r>
      <w:r>
        <w:rPr>
          <w:color w:val="auto"/>
          <w:highlight w:val="none"/>
        </w:rPr>
        <w:fldChar w:fldCharType="separate"/>
      </w:r>
      <w:r>
        <w:rPr>
          <w:color w:val="auto"/>
          <w:highlight w:val="none"/>
        </w:rPr>
        <w:t>16</w:t>
      </w:r>
      <w:r>
        <w:rPr>
          <w:color w:val="auto"/>
          <w:highlight w:val="none"/>
        </w:rPr>
        <w:fldChar w:fldCharType="end"/>
      </w:r>
      <w:r>
        <w:rPr>
          <w:rFonts w:hint="eastAsia" w:ascii="宋体" w:hAnsi="宋体" w:eastAsia="宋体" w:cs="宋体"/>
          <w:color w:val="auto"/>
          <w:szCs w:val="21"/>
          <w:highlight w:val="none"/>
        </w:rPr>
        <w:fldChar w:fldCharType="end"/>
      </w:r>
    </w:p>
    <w:p w14:paraId="7A5F3285">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_Toc15911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5"/>
          <w:szCs w:val="24"/>
          <w:highlight w:val="none"/>
        </w:rPr>
        <w:t>7</w:t>
      </w:r>
      <w:r>
        <w:rPr>
          <w:rFonts w:hint="eastAsia" w:ascii="宋体" w:hAnsi="宋体" w:eastAsia="宋体" w:cs="宋体"/>
          <w:bCs/>
          <w:color w:val="auto"/>
          <w:spacing w:val="-28"/>
          <w:szCs w:val="24"/>
          <w:highlight w:val="none"/>
        </w:rPr>
        <w:t xml:space="preserve"> </w:t>
      </w:r>
      <w:r>
        <w:rPr>
          <w:rFonts w:hint="eastAsia" w:ascii="宋体" w:hAnsi="宋体" w:eastAsia="宋体" w:cs="宋体"/>
          <w:bCs/>
          <w:color w:val="auto"/>
          <w:spacing w:val="-5"/>
          <w:szCs w:val="24"/>
          <w:highlight w:val="none"/>
        </w:rPr>
        <w:t>．招标文件的提问和答疑</w:t>
      </w:r>
      <w:r>
        <w:rPr>
          <w:color w:val="auto"/>
          <w:highlight w:val="none"/>
        </w:rPr>
        <w:tab/>
      </w:r>
      <w:r>
        <w:rPr>
          <w:color w:val="auto"/>
          <w:highlight w:val="none"/>
        </w:rPr>
        <w:fldChar w:fldCharType="begin"/>
      </w:r>
      <w:r>
        <w:rPr>
          <w:color w:val="auto"/>
          <w:highlight w:val="none"/>
        </w:rPr>
        <w:instrText xml:space="preserve"> PAGEREF _Toc15911 \h </w:instrText>
      </w:r>
      <w:r>
        <w:rPr>
          <w:color w:val="auto"/>
          <w:highlight w:val="none"/>
        </w:rPr>
        <w:fldChar w:fldCharType="separate"/>
      </w:r>
      <w:r>
        <w:rPr>
          <w:color w:val="auto"/>
          <w:highlight w:val="none"/>
        </w:rPr>
        <w:t>16</w:t>
      </w:r>
      <w:r>
        <w:rPr>
          <w:color w:val="auto"/>
          <w:highlight w:val="none"/>
        </w:rPr>
        <w:fldChar w:fldCharType="end"/>
      </w:r>
      <w:r>
        <w:rPr>
          <w:rFonts w:hint="eastAsia" w:ascii="宋体" w:hAnsi="宋体" w:eastAsia="宋体" w:cs="宋体"/>
          <w:color w:val="auto"/>
          <w:szCs w:val="21"/>
          <w:highlight w:val="none"/>
        </w:rPr>
        <w:fldChar w:fldCharType="end"/>
      </w:r>
    </w:p>
    <w:p w14:paraId="72967486">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_Toc32237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5"/>
          <w:szCs w:val="24"/>
          <w:highlight w:val="none"/>
        </w:rPr>
        <w:t>8</w:t>
      </w:r>
      <w:r>
        <w:rPr>
          <w:rFonts w:hint="eastAsia" w:ascii="宋体" w:hAnsi="宋体" w:eastAsia="宋体" w:cs="宋体"/>
          <w:bCs/>
          <w:color w:val="auto"/>
          <w:spacing w:val="-23"/>
          <w:szCs w:val="24"/>
          <w:highlight w:val="none"/>
        </w:rPr>
        <w:t xml:space="preserve"> </w:t>
      </w:r>
      <w:r>
        <w:rPr>
          <w:rFonts w:hint="eastAsia" w:ascii="宋体" w:hAnsi="宋体" w:eastAsia="宋体" w:cs="宋体"/>
          <w:bCs/>
          <w:color w:val="auto"/>
          <w:spacing w:val="-5"/>
          <w:szCs w:val="24"/>
          <w:highlight w:val="none"/>
        </w:rPr>
        <w:t>．</w:t>
      </w:r>
      <w:r>
        <w:rPr>
          <w:rFonts w:hint="eastAsia" w:ascii="宋体" w:hAnsi="宋体" w:eastAsia="宋体" w:cs="宋体"/>
          <w:bCs/>
          <w:color w:val="auto"/>
          <w:spacing w:val="-1"/>
          <w:szCs w:val="24"/>
          <w:highlight w:val="none"/>
          <w:lang w:val="en-US" w:eastAsia="zh-CN"/>
        </w:rPr>
        <w:t>最高投标限价</w:t>
      </w:r>
      <w:r>
        <w:rPr>
          <w:color w:val="auto"/>
          <w:highlight w:val="none"/>
        </w:rPr>
        <w:tab/>
      </w:r>
      <w:r>
        <w:rPr>
          <w:color w:val="auto"/>
          <w:highlight w:val="none"/>
        </w:rPr>
        <w:fldChar w:fldCharType="begin"/>
      </w:r>
      <w:r>
        <w:rPr>
          <w:color w:val="auto"/>
          <w:highlight w:val="none"/>
        </w:rPr>
        <w:instrText xml:space="preserve"> PAGEREF _Toc32237 \h </w:instrText>
      </w:r>
      <w:r>
        <w:rPr>
          <w:color w:val="auto"/>
          <w:highlight w:val="none"/>
        </w:rPr>
        <w:fldChar w:fldCharType="separate"/>
      </w:r>
      <w:r>
        <w:rPr>
          <w:color w:val="auto"/>
          <w:highlight w:val="none"/>
        </w:rPr>
        <w:t>16</w:t>
      </w:r>
      <w:r>
        <w:rPr>
          <w:color w:val="auto"/>
          <w:highlight w:val="none"/>
        </w:rPr>
        <w:fldChar w:fldCharType="end"/>
      </w:r>
      <w:r>
        <w:rPr>
          <w:rFonts w:hint="eastAsia" w:ascii="宋体" w:hAnsi="宋体" w:eastAsia="宋体" w:cs="宋体"/>
          <w:color w:val="auto"/>
          <w:szCs w:val="21"/>
          <w:highlight w:val="none"/>
        </w:rPr>
        <w:fldChar w:fldCharType="end"/>
      </w:r>
    </w:p>
    <w:p w14:paraId="737500BD">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_Toc23704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8"/>
          <w:szCs w:val="24"/>
          <w:highlight w:val="none"/>
        </w:rPr>
        <w:t>9</w:t>
      </w:r>
      <w:r>
        <w:rPr>
          <w:rFonts w:hint="eastAsia" w:ascii="宋体" w:hAnsi="宋体" w:eastAsia="宋体" w:cs="宋体"/>
          <w:bCs/>
          <w:color w:val="auto"/>
          <w:spacing w:val="-29"/>
          <w:szCs w:val="24"/>
          <w:highlight w:val="none"/>
        </w:rPr>
        <w:t xml:space="preserve"> </w:t>
      </w:r>
      <w:r>
        <w:rPr>
          <w:rFonts w:hint="eastAsia" w:ascii="宋体" w:hAnsi="宋体" w:eastAsia="宋体" w:cs="宋体"/>
          <w:bCs/>
          <w:color w:val="auto"/>
          <w:spacing w:val="-8"/>
          <w:szCs w:val="24"/>
          <w:highlight w:val="none"/>
        </w:rPr>
        <w:t>．投标报价</w:t>
      </w:r>
      <w:r>
        <w:rPr>
          <w:color w:val="auto"/>
          <w:highlight w:val="none"/>
        </w:rPr>
        <w:tab/>
      </w:r>
      <w:r>
        <w:rPr>
          <w:color w:val="auto"/>
          <w:highlight w:val="none"/>
        </w:rPr>
        <w:fldChar w:fldCharType="begin"/>
      </w:r>
      <w:r>
        <w:rPr>
          <w:color w:val="auto"/>
          <w:highlight w:val="none"/>
        </w:rPr>
        <w:instrText xml:space="preserve"> PAGEREF _Toc23704 \h </w:instrText>
      </w:r>
      <w:r>
        <w:rPr>
          <w:color w:val="auto"/>
          <w:highlight w:val="none"/>
        </w:rPr>
        <w:fldChar w:fldCharType="separate"/>
      </w:r>
      <w:r>
        <w:rPr>
          <w:color w:val="auto"/>
          <w:highlight w:val="none"/>
        </w:rPr>
        <w:t>18</w:t>
      </w:r>
      <w:r>
        <w:rPr>
          <w:color w:val="auto"/>
          <w:highlight w:val="none"/>
        </w:rPr>
        <w:fldChar w:fldCharType="end"/>
      </w:r>
      <w:r>
        <w:rPr>
          <w:rFonts w:hint="eastAsia" w:ascii="宋体" w:hAnsi="宋体" w:eastAsia="宋体" w:cs="宋体"/>
          <w:color w:val="auto"/>
          <w:szCs w:val="21"/>
          <w:highlight w:val="none"/>
        </w:rPr>
        <w:fldChar w:fldCharType="end"/>
      </w:r>
    </w:p>
    <w:p w14:paraId="32E2ABF0">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_Toc20179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6"/>
          <w:szCs w:val="24"/>
          <w:highlight w:val="none"/>
        </w:rPr>
        <w:t>10</w:t>
      </w:r>
      <w:r>
        <w:rPr>
          <w:rFonts w:hint="eastAsia" w:ascii="宋体" w:hAnsi="宋体" w:eastAsia="宋体" w:cs="宋体"/>
          <w:bCs/>
          <w:color w:val="auto"/>
          <w:spacing w:val="-21"/>
          <w:szCs w:val="24"/>
          <w:highlight w:val="none"/>
        </w:rPr>
        <w:t xml:space="preserve"> </w:t>
      </w:r>
      <w:r>
        <w:rPr>
          <w:rFonts w:hint="eastAsia" w:ascii="宋体" w:hAnsi="宋体" w:eastAsia="宋体" w:cs="宋体"/>
          <w:bCs/>
          <w:color w:val="auto"/>
          <w:spacing w:val="-6"/>
          <w:szCs w:val="24"/>
          <w:highlight w:val="none"/>
        </w:rPr>
        <w:t>．投标文件的编制要求</w:t>
      </w:r>
      <w:r>
        <w:rPr>
          <w:color w:val="auto"/>
          <w:highlight w:val="none"/>
        </w:rPr>
        <w:tab/>
      </w:r>
      <w:r>
        <w:rPr>
          <w:color w:val="auto"/>
          <w:highlight w:val="none"/>
        </w:rPr>
        <w:fldChar w:fldCharType="begin"/>
      </w:r>
      <w:r>
        <w:rPr>
          <w:color w:val="auto"/>
          <w:highlight w:val="none"/>
        </w:rPr>
        <w:instrText xml:space="preserve"> PAGEREF _Toc20179 \h </w:instrText>
      </w:r>
      <w:r>
        <w:rPr>
          <w:color w:val="auto"/>
          <w:highlight w:val="none"/>
        </w:rPr>
        <w:fldChar w:fldCharType="separate"/>
      </w:r>
      <w:r>
        <w:rPr>
          <w:color w:val="auto"/>
          <w:highlight w:val="none"/>
        </w:rPr>
        <w:t>19</w:t>
      </w:r>
      <w:r>
        <w:rPr>
          <w:color w:val="auto"/>
          <w:highlight w:val="none"/>
        </w:rPr>
        <w:fldChar w:fldCharType="end"/>
      </w:r>
      <w:r>
        <w:rPr>
          <w:rFonts w:hint="eastAsia" w:ascii="宋体" w:hAnsi="宋体" w:eastAsia="宋体" w:cs="宋体"/>
          <w:color w:val="auto"/>
          <w:szCs w:val="21"/>
          <w:highlight w:val="none"/>
        </w:rPr>
        <w:fldChar w:fldCharType="end"/>
      </w:r>
    </w:p>
    <w:p w14:paraId="5C739E62">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_Toc21729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9"/>
          <w:szCs w:val="24"/>
          <w:highlight w:val="none"/>
        </w:rPr>
        <w:t>11.</w:t>
      </w:r>
      <w:r>
        <w:rPr>
          <w:rFonts w:hint="eastAsia" w:ascii="宋体" w:hAnsi="宋体" w:eastAsia="宋体" w:cs="宋体"/>
          <w:bCs/>
          <w:color w:val="auto"/>
          <w:spacing w:val="20"/>
          <w:szCs w:val="24"/>
          <w:highlight w:val="none"/>
        </w:rPr>
        <w:t xml:space="preserve"> </w:t>
      </w:r>
      <w:r>
        <w:rPr>
          <w:rFonts w:hint="eastAsia" w:ascii="宋体" w:hAnsi="宋体" w:eastAsia="宋体" w:cs="宋体"/>
          <w:color w:val="auto"/>
          <w:spacing w:val="-9"/>
          <w:szCs w:val="24"/>
          <w:highlight w:val="none"/>
        </w:rPr>
        <w:t>电子投标：</w:t>
      </w:r>
      <w:r>
        <w:rPr>
          <w:color w:val="auto"/>
          <w:highlight w:val="none"/>
        </w:rPr>
        <w:tab/>
      </w:r>
      <w:r>
        <w:rPr>
          <w:color w:val="auto"/>
          <w:highlight w:val="none"/>
        </w:rPr>
        <w:fldChar w:fldCharType="begin"/>
      </w:r>
      <w:r>
        <w:rPr>
          <w:color w:val="auto"/>
          <w:highlight w:val="none"/>
        </w:rPr>
        <w:instrText xml:space="preserve"> PAGEREF _Toc21729 \h </w:instrText>
      </w:r>
      <w:r>
        <w:rPr>
          <w:color w:val="auto"/>
          <w:highlight w:val="none"/>
        </w:rPr>
        <w:fldChar w:fldCharType="separate"/>
      </w:r>
      <w:r>
        <w:rPr>
          <w:color w:val="auto"/>
          <w:highlight w:val="none"/>
        </w:rPr>
        <w:t>23</w:t>
      </w:r>
      <w:r>
        <w:rPr>
          <w:color w:val="auto"/>
          <w:highlight w:val="none"/>
        </w:rPr>
        <w:fldChar w:fldCharType="end"/>
      </w:r>
      <w:r>
        <w:rPr>
          <w:rFonts w:hint="eastAsia" w:ascii="宋体" w:hAnsi="宋体" w:eastAsia="宋体" w:cs="宋体"/>
          <w:color w:val="auto"/>
          <w:szCs w:val="21"/>
          <w:highlight w:val="none"/>
        </w:rPr>
        <w:fldChar w:fldCharType="end"/>
      </w:r>
    </w:p>
    <w:p w14:paraId="432F7FEF">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_Toc22059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9"/>
          <w:szCs w:val="24"/>
          <w:highlight w:val="none"/>
          <w:lang w:val="en-US" w:eastAsia="zh-CN"/>
        </w:rPr>
        <w:t>12.</w:t>
      </w:r>
      <w:r>
        <w:rPr>
          <w:rFonts w:hint="eastAsia" w:ascii="宋体" w:hAnsi="宋体" w:eastAsia="宋体" w:cs="宋体"/>
          <w:bCs/>
          <w:color w:val="auto"/>
          <w:spacing w:val="22"/>
          <w:w w:val="101"/>
          <w:szCs w:val="24"/>
          <w:highlight w:val="none"/>
        </w:rPr>
        <w:t xml:space="preserve"> </w:t>
      </w:r>
      <w:r>
        <w:rPr>
          <w:rFonts w:hint="eastAsia" w:ascii="宋体" w:hAnsi="宋体" w:eastAsia="宋体" w:cs="宋体"/>
          <w:bCs/>
          <w:color w:val="auto"/>
          <w:spacing w:val="-4"/>
          <w:szCs w:val="24"/>
          <w:highlight w:val="none"/>
        </w:rPr>
        <w:t>电子投标及投标解密失败及突发情况的补救方案</w:t>
      </w:r>
      <w:r>
        <w:rPr>
          <w:color w:val="auto"/>
          <w:highlight w:val="none"/>
        </w:rPr>
        <w:tab/>
      </w:r>
      <w:r>
        <w:rPr>
          <w:color w:val="auto"/>
          <w:highlight w:val="none"/>
        </w:rPr>
        <w:fldChar w:fldCharType="begin"/>
      </w:r>
      <w:r>
        <w:rPr>
          <w:color w:val="auto"/>
          <w:highlight w:val="none"/>
        </w:rPr>
        <w:instrText xml:space="preserve"> PAGEREF _Toc22059 \h </w:instrText>
      </w:r>
      <w:r>
        <w:rPr>
          <w:color w:val="auto"/>
          <w:highlight w:val="none"/>
        </w:rPr>
        <w:fldChar w:fldCharType="separate"/>
      </w:r>
      <w:r>
        <w:rPr>
          <w:color w:val="auto"/>
          <w:highlight w:val="none"/>
        </w:rPr>
        <w:t>23</w:t>
      </w:r>
      <w:r>
        <w:rPr>
          <w:color w:val="auto"/>
          <w:highlight w:val="none"/>
        </w:rPr>
        <w:fldChar w:fldCharType="end"/>
      </w:r>
      <w:r>
        <w:rPr>
          <w:rFonts w:hint="eastAsia" w:ascii="宋体" w:hAnsi="宋体" w:eastAsia="宋体" w:cs="宋体"/>
          <w:color w:val="auto"/>
          <w:szCs w:val="21"/>
          <w:highlight w:val="none"/>
        </w:rPr>
        <w:fldChar w:fldCharType="end"/>
      </w:r>
    </w:p>
    <w:p w14:paraId="30CA2A29">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_Toc23264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7"/>
          <w:szCs w:val="24"/>
          <w:highlight w:val="none"/>
        </w:rPr>
        <w:t>13</w:t>
      </w:r>
      <w:r>
        <w:rPr>
          <w:rFonts w:hint="eastAsia" w:ascii="宋体" w:hAnsi="宋体" w:eastAsia="宋体" w:cs="宋体"/>
          <w:bCs/>
          <w:color w:val="auto"/>
          <w:spacing w:val="-23"/>
          <w:szCs w:val="24"/>
          <w:highlight w:val="none"/>
        </w:rPr>
        <w:t xml:space="preserve"> </w:t>
      </w:r>
      <w:r>
        <w:rPr>
          <w:rFonts w:hint="eastAsia" w:ascii="宋体" w:hAnsi="宋体" w:eastAsia="宋体" w:cs="宋体"/>
          <w:bCs/>
          <w:color w:val="auto"/>
          <w:spacing w:val="-7"/>
          <w:szCs w:val="24"/>
          <w:highlight w:val="none"/>
        </w:rPr>
        <w:t>．投标文件的提交</w:t>
      </w:r>
      <w:r>
        <w:rPr>
          <w:color w:val="auto"/>
          <w:highlight w:val="none"/>
        </w:rPr>
        <w:tab/>
      </w:r>
      <w:r>
        <w:rPr>
          <w:color w:val="auto"/>
          <w:highlight w:val="none"/>
        </w:rPr>
        <w:fldChar w:fldCharType="begin"/>
      </w:r>
      <w:r>
        <w:rPr>
          <w:color w:val="auto"/>
          <w:highlight w:val="none"/>
        </w:rPr>
        <w:instrText xml:space="preserve"> PAGEREF _Toc23264 \h </w:instrText>
      </w:r>
      <w:r>
        <w:rPr>
          <w:color w:val="auto"/>
          <w:highlight w:val="none"/>
        </w:rPr>
        <w:fldChar w:fldCharType="separate"/>
      </w:r>
      <w:r>
        <w:rPr>
          <w:color w:val="auto"/>
          <w:highlight w:val="none"/>
        </w:rPr>
        <w:t>24</w:t>
      </w:r>
      <w:r>
        <w:rPr>
          <w:color w:val="auto"/>
          <w:highlight w:val="none"/>
        </w:rPr>
        <w:fldChar w:fldCharType="end"/>
      </w:r>
      <w:r>
        <w:rPr>
          <w:rFonts w:hint="eastAsia" w:ascii="宋体" w:hAnsi="宋体" w:eastAsia="宋体" w:cs="宋体"/>
          <w:color w:val="auto"/>
          <w:szCs w:val="21"/>
          <w:highlight w:val="none"/>
        </w:rPr>
        <w:fldChar w:fldCharType="end"/>
      </w:r>
    </w:p>
    <w:p w14:paraId="1242E10E">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_Toc10803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11"/>
          <w:szCs w:val="24"/>
          <w:highlight w:val="none"/>
        </w:rPr>
        <w:t>14</w:t>
      </w:r>
      <w:r>
        <w:rPr>
          <w:rFonts w:hint="eastAsia" w:ascii="宋体" w:hAnsi="宋体" w:eastAsia="宋体" w:cs="宋体"/>
          <w:bCs/>
          <w:color w:val="auto"/>
          <w:spacing w:val="-28"/>
          <w:szCs w:val="24"/>
          <w:highlight w:val="none"/>
        </w:rPr>
        <w:t xml:space="preserve"> </w:t>
      </w:r>
      <w:r>
        <w:rPr>
          <w:rFonts w:hint="eastAsia" w:ascii="宋体" w:hAnsi="宋体" w:eastAsia="宋体" w:cs="宋体"/>
          <w:bCs/>
          <w:color w:val="auto"/>
          <w:spacing w:val="-11"/>
          <w:szCs w:val="24"/>
          <w:highlight w:val="none"/>
        </w:rPr>
        <w:t>．开标</w:t>
      </w:r>
      <w:r>
        <w:rPr>
          <w:color w:val="auto"/>
          <w:highlight w:val="none"/>
        </w:rPr>
        <w:tab/>
      </w:r>
      <w:r>
        <w:rPr>
          <w:color w:val="auto"/>
          <w:highlight w:val="none"/>
        </w:rPr>
        <w:fldChar w:fldCharType="begin"/>
      </w:r>
      <w:r>
        <w:rPr>
          <w:color w:val="auto"/>
          <w:highlight w:val="none"/>
        </w:rPr>
        <w:instrText xml:space="preserve"> PAGEREF _Toc10803 \h </w:instrText>
      </w:r>
      <w:r>
        <w:rPr>
          <w:color w:val="auto"/>
          <w:highlight w:val="none"/>
        </w:rPr>
        <w:fldChar w:fldCharType="separate"/>
      </w:r>
      <w:r>
        <w:rPr>
          <w:color w:val="auto"/>
          <w:highlight w:val="none"/>
        </w:rPr>
        <w:t>24</w:t>
      </w:r>
      <w:r>
        <w:rPr>
          <w:color w:val="auto"/>
          <w:highlight w:val="none"/>
        </w:rPr>
        <w:fldChar w:fldCharType="end"/>
      </w:r>
      <w:r>
        <w:rPr>
          <w:rFonts w:hint="eastAsia" w:ascii="宋体" w:hAnsi="宋体" w:eastAsia="宋体" w:cs="宋体"/>
          <w:color w:val="auto"/>
          <w:szCs w:val="21"/>
          <w:highlight w:val="none"/>
        </w:rPr>
        <w:fldChar w:fldCharType="end"/>
      </w:r>
    </w:p>
    <w:p w14:paraId="4FC52D21">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_Toc32335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11"/>
          <w:szCs w:val="24"/>
          <w:highlight w:val="none"/>
        </w:rPr>
        <w:t>15</w:t>
      </w:r>
      <w:r>
        <w:rPr>
          <w:rFonts w:hint="eastAsia" w:ascii="宋体" w:hAnsi="宋体" w:eastAsia="宋体" w:cs="宋体"/>
          <w:bCs/>
          <w:color w:val="auto"/>
          <w:spacing w:val="-28"/>
          <w:szCs w:val="24"/>
          <w:highlight w:val="none"/>
        </w:rPr>
        <w:t xml:space="preserve"> </w:t>
      </w:r>
      <w:r>
        <w:rPr>
          <w:rFonts w:hint="eastAsia" w:ascii="宋体" w:hAnsi="宋体" w:eastAsia="宋体" w:cs="宋体"/>
          <w:bCs/>
          <w:color w:val="auto"/>
          <w:spacing w:val="-11"/>
          <w:szCs w:val="24"/>
          <w:highlight w:val="none"/>
        </w:rPr>
        <w:t>．评标</w:t>
      </w:r>
      <w:r>
        <w:rPr>
          <w:color w:val="auto"/>
          <w:highlight w:val="none"/>
        </w:rPr>
        <w:tab/>
      </w:r>
      <w:r>
        <w:rPr>
          <w:color w:val="auto"/>
          <w:highlight w:val="none"/>
        </w:rPr>
        <w:fldChar w:fldCharType="begin"/>
      </w:r>
      <w:r>
        <w:rPr>
          <w:color w:val="auto"/>
          <w:highlight w:val="none"/>
        </w:rPr>
        <w:instrText xml:space="preserve"> PAGEREF _Toc32335 \h </w:instrText>
      </w:r>
      <w:r>
        <w:rPr>
          <w:color w:val="auto"/>
          <w:highlight w:val="none"/>
        </w:rPr>
        <w:fldChar w:fldCharType="separate"/>
      </w:r>
      <w:r>
        <w:rPr>
          <w:color w:val="auto"/>
          <w:highlight w:val="none"/>
        </w:rPr>
        <w:t>25</w:t>
      </w:r>
      <w:r>
        <w:rPr>
          <w:color w:val="auto"/>
          <w:highlight w:val="none"/>
        </w:rPr>
        <w:fldChar w:fldCharType="end"/>
      </w:r>
      <w:r>
        <w:rPr>
          <w:rFonts w:hint="eastAsia" w:ascii="宋体" w:hAnsi="宋体" w:eastAsia="宋体" w:cs="宋体"/>
          <w:color w:val="auto"/>
          <w:szCs w:val="21"/>
          <w:highlight w:val="none"/>
        </w:rPr>
        <w:fldChar w:fldCharType="end"/>
      </w:r>
    </w:p>
    <w:p w14:paraId="50E158A0">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_Toc27758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7"/>
          <w:szCs w:val="24"/>
          <w:highlight w:val="none"/>
        </w:rPr>
        <w:t>16</w:t>
      </w:r>
      <w:r>
        <w:rPr>
          <w:rFonts w:hint="eastAsia" w:ascii="宋体" w:hAnsi="宋体" w:eastAsia="宋体" w:cs="宋体"/>
          <w:bCs/>
          <w:color w:val="auto"/>
          <w:spacing w:val="-20"/>
          <w:szCs w:val="24"/>
          <w:highlight w:val="none"/>
        </w:rPr>
        <w:t xml:space="preserve"> </w:t>
      </w:r>
      <w:r>
        <w:rPr>
          <w:rFonts w:hint="eastAsia" w:ascii="宋体" w:hAnsi="宋体" w:eastAsia="宋体" w:cs="宋体"/>
          <w:bCs/>
          <w:color w:val="auto"/>
          <w:spacing w:val="-7"/>
          <w:szCs w:val="24"/>
          <w:highlight w:val="none"/>
        </w:rPr>
        <w:t>．中标候选人公示</w:t>
      </w:r>
      <w:r>
        <w:rPr>
          <w:color w:val="auto"/>
          <w:highlight w:val="none"/>
        </w:rPr>
        <w:tab/>
      </w:r>
      <w:r>
        <w:rPr>
          <w:color w:val="auto"/>
          <w:highlight w:val="none"/>
        </w:rPr>
        <w:fldChar w:fldCharType="begin"/>
      </w:r>
      <w:r>
        <w:rPr>
          <w:color w:val="auto"/>
          <w:highlight w:val="none"/>
        </w:rPr>
        <w:instrText xml:space="preserve"> PAGEREF _Toc27758 \h </w:instrText>
      </w:r>
      <w:r>
        <w:rPr>
          <w:color w:val="auto"/>
          <w:highlight w:val="none"/>
        </w:rPr>
        <w:fldChar w:fldCharType="separate"/>
      </w:r>
      <w:r>
        <w:rPr>
          <w:color w:val="auto"/>
          <w:highlight w:val="none"/>
        </w:rPr>
        <w:t>36</w:t>
      </w:r>
      <w:r>
        <w:rPr>
          <w:color w:val="auto"/>
          <w:highlight w:val="none"/>
        </w:rPr>
        <w:fldChar w:fldCharType="end"/>
      </w:r>
      <w:r>
        <w:rPr>
          <w:rFonts w:hint="eastAsia" w:ascii="宋体" w:hAnsi="宋体" w:eastAsia="宋体" w:cs="宋体"/>
          <w:color w:val="auto"/>
          <w:szCs w:val="21"/>
          <w:highlight w:val="none"/>
        </w:rPr>
        <w:fldChar w:fldCharType="end"/>
      </w:r>
    </w:p>
    <w:p w14:paraId="3CA2AE29">
      <w:pPr>
        <w:pStyle w:val="11"/>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_Toc4267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3"/>
          <w:szCs w:val="24"/>
          <w:highlight w:val="none"/>
        </w:rPr>
        <w:t>第四节</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否决投标条件</w:t>
      </w:r>
      <w:r>
        <w:rPr>
          <w:color w:val="auto"/>
          <w:highlight w:val="none"/>
        </w:rPr>
        <w:tab/>
      </w:r>
      <w:r>
        <w:rPr>
          <w:color w:val="auto"/>
          <w:highlight w:val="none"/>
        </w:rPr>
        <w:fldChar w:fldCharType="begin"/>
      </w:r>
      <w:r>
        <w:rPr>
          <w:color w:val="auto"/>
          <w:highlight w:val="none"/>
        </w:rPr>
        <w:instrText xml:space="preserve"> PAGEREF _Toc4267 \h </w:instrText>
      </w:r>
      <w:r>
        <w:rPr>
          <w:color w:val="auto"/>
          <w:highlight w:val="none"/>
        </w:rPr>
        <w:fldChar w:fldCharType="separate"/>
      </w:r>
      <w:r>
        <w:rPr>
          <w:color w:val="auto"/>
          <w:highlight w:val="none"/>
        </w:rPr>
        <w:t>38</w:t>
      </w:r>
      <w:r>
        <w:rPr>
          <w:color w:val="auto"/>
          <w:highlight w:val="none"/>
        </w:rPr>
        <w:fldChar w:fldCharType="end"/>
      </w:r>
      <w:r>
        <w:rPr>
          <w:rFonts w:hint="eastAsia" w:ascii="宋体" w:hAnsi="宋体" w:eastAsia="宋体" w:cs="宋体"/>
          <w:color w:val="auto"/>
          <w:szCs w:val="21"/>
          <w:highlight w:val="none"/>
        </w:rPr>
        <w:fldChar w:fldCharType="end"/>
      </w:r>
    </w:p>
    <w:p w14:paraId="606A36FD">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_Toc3676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8"/>
          <w:szCs w:val="24"/>
          <w:highlight w:val="none"/>
        </w:rPr>
        <w:t>1</w:t>
      </w:r>
      <w:r>
        <w:rPr>
          <w:rFonts w:hint="eastAsia" w:ascii="宋体" w:hAnsi="宋体" w:eastAsia="宋体" w:cs="宋体"/>
          <w:bCs/>
          <w:color w:val="auto"/>
          <w:spacing w:val="-26"/>
          <w:szCs w:val="24"/>
          <w:highlight w:val="none"/>
        </w:rPr>
        <w:t xml:space="preserve"> </w:t>
      </w:r>
      <w:r>
        <w:rPr>
          <w:rFonts w:hint="eastAsia" w:ascii="宋体" w:hAnsi="宋体" w:eastAsia="宋体" w:cs="宋体"/>
          <w:bCs/>
          <w:color w:val="auto"/>
          <w:spacing w:val="-8"/>
          <w:szCs w:val="24"/>
          <w:highlight w:val="none"/>
        </w:rPr>
        <w:t>．资格评审环节</w:t>
      </w:r>
      <w:r>
        <w:rPr>
          <w:color w:val="auto"/>
          <w:highlight w:val="none"/>
        </w:rPr>
        <w:tab/>
      </w:r>
      <w:r>
        <w:rPr>
          <w:color w:val="auto"/>
          <w:highlight w:val="none"/>
        </w:rPr>
        <w:fldChar w:fldCharType="begin"/>
      </w:r>
      <w:r>
        <w:rPr>
          <w:color w:val="auto"/>
          <w:highlight w:val="none"/>
        </w:rPr>
        <w:instrText xml:space="preserve"> PAGEREF _Toc3676 \h </w:instrText>
      </w:r>
      <w:r>
        <w:rPr>
          <w:color w:val="auto"/>
          <w:highlight w:val="none"/>
        </w:rPr>
        <w:fldChar w:fldCharType="separate"/>
      </w:r>
      <w:r>
        <w:rPr>
          <w:color w:val="auto"/>
          <w:highlight w:val="none"/>
        </w:rPr>
        <w:t>38</w:t>
      </w:r>
      <w:r>
        <w:rPr>
          <w:color w:val="auto"/>
          <w:highlight w:val="none"/>
        </w:rPr>
        <w:fldChar w:fldCharType="end"/>
      </w:r>
      <w:r>
        <w:rPr>
          <w:rFonts w:hint="eastAsia" w:ascii="宋体" w:hAnsi="宋体" w:eastAsia="宋体" w:cs="宋体"/>
          <w:color w:val="auto"/>
          <w:szCs w:val="21"/>
          <w:highlight w:val="none"/>
        </w:rPr>
        <w:fldChar w:fldCharType="end"/>
      </w:r>
    </w:p>
    <w:p w14:paraId="26902471">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_Toc29565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7"/>
          <w:szCs w:val="24"/>
          <w:highlight w:val="none"/>
        </w:rPr>
        <w:t>2</w:t>
      </w:r>
      <w:r>
        <w:rPr>
          <w:rFonts w:hint="eastAsia" w:ascii="宋体" w:hAnsi="宋体" w:eastAsia="宋体" w:cs="宋体"/>
          <w:bCs/>
          <w:color w:val="auto"/>
          <w:spacing w:val="-24"/>
          <w:szCs w:val="24"/>
          <w:highlight w:val="none"/>
        </w:rPr>
        <w:t xml:space="preserve"> </w:t>
      </w:r>
      <w:r>
        <w:rPr>
          <w:rFonts w:hint="eastAsia" w:ascii="宋体" w:hAnsi="宋体" w:eastAsia="宋体" w:cs="宋体"/>
          <w:bCs/>
          <w:color w:val="auto"/>
          <w:spacing w:val="-7"/>
          <w:szCs w:val="24"/>
          <w:highlight w:val="none"/>
        </w:rPr>
        <w:t>．形式评审环节</w:t>
      </w:r>
      <w:r>
        <w:rPr>
          <w:color w:val="auto"/>
          <w:highlight w:val="none"/>
        </w:rPr>
        <w:tab/>
      </w:r>
      <w:r>
        <w:rPr>
          <w:color w:val="auto"/>
          <w:highlight w:val="none"/>
        </w:rPr>
        <w:fldChar w:fldCharType="begin"/>
      </w:r>
      <w:r>
        <w:rPr>
          <w:color w:val="auto"/>
          <w:highlight w:val="none"/>
        </w:rPr>
        <w:instrText xml:space="preserve"> PAGEREF _Toc29565 \h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eastAsia="宋体" w:cs="宋体"/>
          <w:color w:val="auto"/>
          <w:szCs w:val="21"/>
          <w:highlight w:val="none"/>
        </w:rPr>
        <w:fldChar w:fldCharType="end"/>
      </w:r>
    </w:p>
    <w:p w14:paraId="004B57BB">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_Toc4393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6"/>
          <w:szCs w:val="24"/>
          <w:highlight w:val="none"/>
        </w:rPr>
        <w:t>3</w:t>
      </w:r>
      <w:r>
        <w:rPr>
          <w:rFonts w:hint="eastAsia" w:ascii="宋体" w:hAnsi="宋体" w:eastAsia="宋体" w:cs="宋体"/>
          <w:bCs/>
          <w:color w:val="auto"/>
          <w:spacing w:val="-24"/>
          <w:szCs w:val="24"/>
          <w:highlight w:val="none"/>
        </w:rPr>
        <w:t xml:space="preserve"> </w:t>
      </w:r>
      <w:r>
        <w:rPr>
          <w:rFonts w:hint="eastAsia" w:ascii="宋体" w:hAnsi="宋体" w:eastAsia="宋体" w:cs="宋体"/>
          <w:bCs/>
          <w:color w:val="auto"/>
          <w:spacing w:val="-6"/>
          <w:szCs w:val="24"/>
          <w:highlight w:val="none"/>
        </w:rPr>
        <w:t>．响应性评审环节</w:t>
      </w:r>
      <w:r>
        <w:rPr>
          <w:color w:val="auto"/>
          <w:highlight w:val="none"/>
        </w:rPr>
        <w:tab/>
      </w:r>
      <w:r>
        <w:rPr>
          <w:color w:val="auto"/>
          <w:highlight w:val="none"/>
        </w:rPr>
        <w:fldChar w:fldCharType="begin"/>
      </w:r>
      <w:r>
        <w:rPr>
          <w:color w:val="auto"/>
          <w:highlight w:val="none"/>
        </w:rPr>
        <w:instrText xml:space="preserve"> PAGEREF _Toc4393 \h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eastAsia="宋体" w:cs="宋体"/>
          <w:color w:val="auto"/>
          <w:szCs w:val="21"/>
          <w:highlight w:val="none"/>
        </w:rPr>
        <w:fldChar w:fldCharType="end"/>
      </w:r>
    </w:p>
    <w:p w14:paraId="1B94B3C4">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_Toc23021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11"/>
          <w:szCs w:val="24"/>
          <w:highlight w:val="none"/>
        </w:rPr>
        <w:t>4</w:t>
      </w:r>
      <w:r>
        <w:rPr>
          <w:rFonts w:hint="eastAsia" w:ascii="宋体" w:hAnsi="宋体" w:eastAsia="宋体" w:cs="宋体"/>
          <w:bCs/>
          <w:color w:val="auto"/>
          <w:spacing w:val="-29"/>
          <w:szCs w:val="24"/>
          <w:highlight w:val="none"/>
        </w:rPr>
        <w:t xml:space="preserve"> </w:t>
      </w:r>
      <w:r>
        <w:rPr>
          <w:rFonts w:hint="eastAsia" w:ascii="宋体" w:hAnsi="宋体" w:eastAsia="宋体" w:cs="宋体"/>
          <w:bCs/>
          <w:color w:val="auto"/>
          <w:spacing w:val="-11"/>
          <w:szCs w:val="24"/>
          <w:highlight w:val="none"/>
        </w:rPr>
        <w:t>．其他</w:t>
      </w:r>
      <w:r>
        <w:rPr>
          <w:color w:val="auto"/>
          <w:highlight w:val="none"/>
        </w:rPr>
        <w:tab/>
      </w:r>
      <w:r>
        <w:rPr>
          <w:color w:val="auto"/>
          <w:highlight w:val="none"/>
        </w:rPr>
        <w:fldChar w:fldCharType="begin"/>
      </w:r>
      <w:r>
        <w:rPr>
          <w:color w:val="auto"/>
          <w:highlight w:val="none"/>
        </w:rPr>
        <w:instrText xml:space="preserve"> PAGEREF _Toc23021 \h </w:instrText>
      </w:r>
      <w:r>
        <w:rPr>
          <w:color w:val="auto"/>
          <w:highlight w:val="none"/>
        </w:rPr>
        <w:fldChar w:fldCharType="separate"/>
      </w:r>
      <w:r>
        <w:rPr>
          <w:color w:val="auto"/>
          <w:highlight w:val="none"/>
        </w:rPr>
        <w:t>40</w:t>
      </w:r>
      <w:r>
        <w:rPr>
          <w:color w:val="auto"/>
          <w:highlight w:val="none"/>
        </w:rPr>
        <w:fldChar w:fldCharType="end"/>
      </w:r>
      <w:r>
        <w:rPr>
          <w:rFonts w:hint="eastAsia" w:ascii="宋体" w:hAnsi="宋体" w:eastAsia="宋体" w:cs="宋体"/>
          <w:color w:val="auto"/>
          <w:szCs w:val="21"/>
          <w:highlight w:val="none"/>
        </w:rPr>
        <w:fldChar w:fldCharType="end"/>
      </w:r>
    </w:p>
    <w:p w14:paraId="3FBEB290">
      <w:pPr>
        <w:pStyle w:val="10"/>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_Toc16250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7"/>
          <w:szCs w:val="24"/>
          <w:highlight w:val="none"/>
        </w:rPr>
        <w:t>第二章</w:t>
      </w:r>
      <w:r>
        <w:rPr>
          <w:rFonts w:hint="eastAsia" w:ascii="宋体" w:hAnsi="宋体" w:eastAsia="宋体" w:cs="宋体"/>
          <w:color w:val="auto"/>
          <w:spacing w:val="32"/>
          <w:szCs w:val="24"/>
          <w:highlight w:val="none"/>
        </w:rPr>
        <w:t xml:space="preserve"> </w:t>
      </w:r>
      <w:r>
        <w:rPr>
          <w:rFonts w:hint="eastAsia" w:ascii="宋体" w:hAnsi="宋体" w:eastAsia="宋体" w:cs="宋体"/>
          <w:bCs/>
          <w:color w:val="auto"/>
          <w:spacing w:val="-7"/>
          <w:szCs w:val="24"/>
          <w:highlight w:val="none"/>
        </w:rPr>
        <w:t>中标人须知</w:t>
      </w:r>
      <w:r>
        <w:rPr>
          <w:color w:val="auto"/>
          <w:highlight w:val="none"/>
        </w:rPr>
        <w:tab/>
      </w:r>
      <w:r>
        <w:rPr>
          <w:color w:val="auto"/>
          <w:highlight w:val="none"/>
        </w:rPr>
        <w:fldChar w:fldCharType="begin"/>
      </w:r>
      <w:r>
        <w:rPr>
          <w:color w:val="auto"/>
          <w:highlight w:val="none"/>
        </w:rPr>
        <w:instrText xml:space="preserve"> PAGEREF _Toc16250 \h </w:instrText>
      </w:r>
      <w:r>
        <w:rPr>
          <w:color w:val="auto"/>
          <w:highlight w:val="none"/>
        </w:rPr>
        <w:fldChar w:fldCharType="separate"/>
      </w:r>
      <w:r>
        <w:rPr>
          <w:color w:val="auto"/>
          <w:highlight w:val="none"/>
        </w:rPr>
        <w:t>41</w:t>
      </w:r>
      <w:r>
        <w:rPr>
          <w:color w:val="auto"/>
          <w:highlight w:val="none"/>
        </w:rPr>
        <w:fldChar w:fldCharType="end"/>
      </w:r>
      <w:r>
        <w:rPr>
          <w:rFonts w:hint="eastAsia" w:ascii="宋体" w:hAnsi="宋体" w:eastAsia="宋体" w:cs="宋体"/>
          <w:color w:val="auto"/>
          <w:szCs w:val="21"/>
          <w:highlight w:val="none"/>
        </w:rPr>
        <w:fldChar w:fldCharType="end"/>
      </w:r>
    </w:p>
    <w:p w14:paraId="1A298DF1">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_Toc8118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9"/>
          <w:szCs w:val="24"/>
          <w:highlight w:val="none"/>
        </w:rPr>
        <w:t>1</w:t>
      </w:r>
      <w:r>
        <w:rPr>
          <w:rFonts w:hint="eastAsia" w:ascii="宋体" w:hAnsi="宋体" w:eastAsia="宋体" w:cs="宋体"/>
          <w:bCs/>
          <w:color w:val="auto"/>
          <w:spacing w:val="-25"/>
          <w:szCs w:val="24"/>
          <w:highlight w:val="none"/>
        </w:rPr>
        <w:t xml:space="preserve"> </w:t>
      </w:r>
      <w:r>
        <w:rPr>
          <w:rFonts w:hint="eastAsia" w:ascii="宋体" w:hAnsi="宋体" w:eastAsia="宋体" w:cs="宋体"/>
          <w:bCs/>
          <w:color w:val="auto"/>
          <w:spacing w:val="-9"/>
          <w:szCs w:val="24"/>
          <w:highlight w:val="none"/>
        </w:rPr>
        <w:t>．中标通知书</w:t>
      </w:r>
      <w:r>
        <w:rPr>
          <w:color w:val="auto"/>
          <w:highlight w:val="none"/>
        </w:rPr>
        <w:tab/>
      </w:r>
      <w:r>
        <w:rPr>
          <w:color w:val="auto"/>
          <w:highlight w:val="none"/>
        </w:rPr>
        <w:fldChar w:fldCharType="begin"/>
      </w:r>
      <w:r>
        <w:rPr>
          <w:color w:val="auto"/>
          <w:highlight w:val="none"/>
        </w:rPr>
        <w:instrText xml:space="preserve"> PAGEREF _Toc8118 \h </w:instrText>
      </w:r>
      <w:r>
        <w:rPr>
          <w:color w:val="auto"/>
          <w:highlight w:val="none"/>
        </w:rPr>
        <w:fldChar w:fldCharType="separate"/>
      </w:r>
      <w:r>
        <w:rPr>
          <w:color w:val="auto"/>
          <w:highlight w:val="none"/>
        </w:rPr>
        <w:t>41</w:t>
      </w:r>
      <w:r>
        <w:rPr>
          <w:color w:val="auto"/>
          <w:highlight w:val="none"/>
        </w:rPr>
        <w:fldChar w:fldCharType="end"/>
      </w:r>
      <w:r>
        <w:rPr>
          <w:rFonts w:hint="eastAsia" w:ascii="宋体" w:hAnsi="宋体" w:eastAsia="宋体" w:cs="宋体"/>
          <w:color w:val="auto"/>
          <w:szCs w:val="21"/>
          <w:highlight w:val="none"/>
        </w:rPr>
        <w:fldChar w:fldCharType="end"/>
      </w:r>
    </w:p>
    <w:p w14:paraId="4DB87721">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_Toc6918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7"/>
          <w:szCs w:val="24"/>
          <w:highlight w:val="none"/>
        </w:rPr>
        <w:t>2</w:t>
      </w:r>
      <w:r>
        <w:rPr>
          <w:rFonts w:hint="eastAsia" w:ascii="宋体" w:hAnsi="宋体" w:eastAsia="宋体" w:cs="宋体"/>
          <w:bCs/>
          <w:color w:val="auto"/>
          <w:spacing w:val="-24"/>
          <w:szCs w:val="24"/>
          <w:highlight w:val="none"/>
        </w:rPr>
        <w:t xml:space="preserve"> </w:t>
      </w:r>
      <w:r>
        <w:rPr>
          <w:rFonts w:hint="eastAsia" w:ascii="宋体" w:hAnsi="宋体" w:eastAsia="宋体" w:cs="宋体"/>
          <w:bCs/>
          <w:color w:val="auto"/>
          <w:spacing w:val="-7"/>
          <w:szCs w:val="24"/>
          <w:highlight w:val="none"/>
        </w:rPr>
        <w:t>．中标结果公示</w:t>
      </w:r>
      <w:r>
        <w:rPr>
          <w:color w:val="auto"/>
          <w:highlight w:val="none"/>
        </w:rPr>
        <w:tab/>
      </w:r>
      <w:r>
        <w:rPr>
          <w:color w:val="auto"/>
          <w:highlight w:val="none"/>
        </w:rPr>
        <w:fldChar w:fldCharType="begin"/>
      </w:r>
      <w:r>
        <w:rPr>
          <w:color w:val="auto"/>
          <w:highlight w:val="none"/>
        </w:rPr>
        <w:instrText xml:space="preserve"> PAGEREF _Toc6918 \h </w:instrText>
      </w:r>
      <w:r>
        <w:rPr>
          <w:color w:val="auto"/>
          <w:highlight w:val="none"/>
        </w:rPr>
        <w:fldChar w:fldCharType="separate"/>
      </w:r>
      <w:r>
        <w:rPr>
          <w:color w:val="auto"/>
          <w:highlight w:val="none"/>
        </w:rPr>
        <w:t>41</w:t>
      </w:r>
      <w:r>
        <w:rPr>
          <w:color w:val="auto"/>
          <w:highlight w:val="none"/>
        </w:rPr>
        <w:fldChar w:fldCharType="end"/>
      </w:r>
      <w:r>
        <w:rPr>
          <w:rFonts w:hint="eastAsia" w:ascii="宋体" w:hAnsi="宋体" w:eastAsia="宋体" w:cs="宋体"/>
          <w:color w:val="auto"/>
          <w:szCs w:val="21"/>
          <w:highlight w:val="none"/>
        </w:rPr>
        <w:fldChar w:fldCharType="end"/>
      </w:r>
    </w:p>
    <w:p w14:paraId="331F5D10">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_Toc10491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8"/>
          <w:szCs w:val="24"/>
          <w:highlight w:val="none"/>
        </w:rPr>
        <w:t>3</w:t>
      </w:r>
      <w:r>
        <w:rPr>
          <w:rFonts w:hint="eastAsia" w:ascii="宋体" w:hAnsi="宋体" w:eastAsia="宋体" w:cs="宋体"/>
          <w:bCs/>
          <w:color w:val="auto"/>
          <w:spacing w:val="-25"/>
          <w:szCs w:val="24"/>
          <w:highlight w:val="none"/>
        </w:rPr>
        <w:t xml:space="preserve"> </w:t>
      </w:r>
      <w:r>
        <w:rPr>
          <w:rFonts w:hint="eastAsia" w:ascii="宋体" w:hAnsi="宋体" w:eastAsia="宋体" w:cs="宋体"/>
          <w:bCs/>
          <w:color w:val="auto"/>
          <w:spacing w:val="-8"/>
          <w:szCs w:val="24"/>
          <w:highlight w:val="none"/>
        </w:rPr>
        <w:t>．履约保证</w:t>
      </w:r>
      <w:r>
        <w:rPr>
          <w:color w:val="auto"/>
          <w:highlight w:val="none"/>
        </w:rPr>
        <w:tab/>
      </w:r>
      <w:r>
        <w:rPr>
          <w:color w:val="auto"/>
          <w:highlight w:val="none"/>
        </w:rPr>
        <w:fldChar w:fldCharType="begin"/>
      </w:r>
      <w:r>
        <w:rPr>
          <w:color w:val="auto"/>
          <w:highlight w:val="none"/>
        </w:rPr>
        <w:instrText xml:space="preserve"> PAGEREF _Toc10491 \h </w:instrText>
      </w:r>
      <w:r>
        <w:rPr>
          <w:color w:val="auto"/>
          <w:highlight w:val="none"/>
        </w:rPr>
        <w:fldChar w:fldCharType="separate"/>
      </w:r>
      <w:r>
        <w:rPr>
          <w:color w:val="auto"/>
          <w:highlight w:val="none"/>
        </w:rPr>
        <w:t>41</w:t>
      </w:r>
      <w:r>
        <w:rPr>
          <w:color w:val="auto"/>
          <w:highlight w:val="none"/>
        </w:rPr>
        <w:fldChar w:fldCharType="end"/>
      </w:r>
      <w:r>
        <w:rPr>
          <w:rFonts w:hint="eastAsia" w:ascii="宋体" w:hAnsi="宋体" w:eastAsia="宋体" w:cs="宋体"/>
          <w:color w:val="auto"/>
          <w:szCs w:val="21"/>
          <w:highlight w:val="none"/>
        </w:rPr>
        <w:fldChar w:fldCharType="end"/>
      </w:r>
    </w:p>
    <w:p w14:paraId="16C971E0">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_Toc17312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8"/>
          <w:szCs w:val="24"/>
          <w:highlight w:val="none"/>
        </w:rPr>
        <w:t>4</w:t>
      </w:r>
      <w:r>
        <w:rPr>
          <w:rFonts w:hint="eastAsia" w:ascii="宋体" w:hAnsi="宋体" w:eastAsia="宋体" w:cs="宋体"/>
          <w:bCs/>
          <w:color w:val="auto"/>
          <w:spacing w:val="-27"/>
          <w:szCs w:val="24"/>
          <w:highlight w:val="none"/>
        </w:rPr>
        <w:t xml:space="preserve"> </w:t>
      </w:r>
      <w:r>
        <w:rPr>
          <w:rFonts w:hint="eastAsia" w:ascii="宋体" w:hAnsi="宋体" w:eastAsia="宋体" w:cs="宋体"/>
          <w:bCs/>
          <w:color w:val="auto"/>
          <w:spacing w:val="-8"/>
          <w:szCs w:val="24"/>
          <w:highlight w:val="none"/>
        </w:rPr>
        <w:t>．合同订立</w:t>
      </w:r>
      <w:r>
        <w:rPr>
          <w:color w:val="auto"/>
          <w:highlight w:val="none"/>
        </w:rPr>
        <w:tab/>
      </w:r>
      <w:r>
        <w:rPr>
          <w:color w:val="auto"/>
          <w:highlight w:val="none"/>
        </w:rPr>
        <w:fldChar w:fldCharType="begin"/>
      </w:r>
      <w:r>
        <w:rPr>
          <w:color w:val="auto"/>
          <w:highlight w:val="none"/>
        </w:rPr>
        <w:instrText xml:space="preserve"> PAGEREF _Toc17312 \h </w:instrText>
      </w:r>
      <w:r>
        <w:rPr>
          <w:color w:val="auto"/>
          <w:highlight w:val="none"/>
        </w:rPr>
        <w:fldChar w:fldCharType="separate"/>
      </w:r>
      <w:r>
        <w:rPr>
          <w:color w:val="auto"/>
          <w:highlight w:val="none"/>
        </w:rPr>
        <w:t>42</w:t>
      </w:r>
      <w:r>
        <w:rPr>
          <w:color w:val="auto"/>
          <w:highlight w:val="none"/>
        </w:rPr>
        <w:fldChar w:fldCharType="end"/>
      </w:r>
      <w:r>
        <w:rPr>
          <w:rFonts w:hint="eastAsia" w:ascii="宋体" w:hAnsi="宋体" w:eastAsia="宋体" w:cs="宋体"/>
          <w:color w:val="auto"/>
          <w:szCs w:val="21"/>
          <w:highlight w:val="none"/>
        </w:rPr>
        <w:fldChar w:fldCharType="end"/>
      </w:r>
    </w:p>
    <w:p w14:paraId="637A1907">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_Toc6544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6"/>
          <w:szCs w:val="24"/>
          <w:highlight w:val="none"/>
        </w:rPr>
        <w:t>5</w:t>
      </w:r>
      <w:r>
        <w:rPr>
          <w:rFonts w:hint="eastAsia" w:ascii="宋体" w:hAnsi="宋体" w:eastAsia="宋体" w:cs="宋体"/>
          <w:bCs/>
          <w:color w:val="auto"/>
          <w:spacing w:val="-29"/>
          <w:szCs w:val="24"/>
          <w:highlight w:val="none"/>
        </w:rPr>
        <w:t xml:space="preserve"> </w:t>
      </w:r>
      <w:r>
        <w:rPr>
          <w:rFonts w:hint="eastAsia" w:ascii="宋体" w:hAnsi="宋体" w:eastAsia="宋体" w:cs="宋体"/>
          <w:bCs/>
          <w:color w:val="auto"/>
          <w:spacing w:val="-6"/>
          <w:szCs w:val="24"/>
          <w:highlight w:val="none"/>
        </w:rPr>
        <w:t>．放弃中标的处理</w:t>
      </w:r>
      <w:r>
        <w:rPr>
          <w:color w:val="auto"/>
          <w:highlight w:val="none"/>
        </w:rPr>
        <w:tab/>
      </w:r>
      <w:r>
        <w:rPr>
          <w:color w:val="auto"/>
          <w:highlight w:val="none"/>
        </w:rPr>
        <w:fldChar w:fldCharType="begin"/>
      </w:r>
      <w:r>
        <w:rPr>
          <w:color w:val="auto"/>
          <w:highlight w:val="none"/>
        </w:rPr>
        <w:instrText xml:space="preserve"> PAGEREF _Toc6544 \h </w:instrText>
      </w:r>
      <w:r>
        <w:rPr>
          <w:color w:val="auto"/>
          <w:highlight w:val="none"/>
        </w:rPr>
        <w:fldChar w:fldCharType="separate"/>
      </w:r>
      <w:r>
        <w:rPr>
          <w:color w:val="auto"/>
          <w:highlight w:val="none"/>
        </w:rPr>
        <w:t>43</w:t>
      </w:r>
      <w:r>
        <w:rPr>
          <w:color w:val="auto"/>
          <w:highlight w:val="none"/>
        </w:rPr>
        <w:fldChar w:fldCharType="end"/>
      </w:r>
      <w:r>
        <w:rPr>
          <w:rFonts w:hint="eastAsia" w:ascii="宋体" w:hAnsi="宋体" w:eastAsia="宋体" w:cs="宋体"/>
          <w:color w:val="auto"/>
          <w:szCs w:val="21"/>
          <w:highlight w:val="none"/>
        </w:rPr>
        <w:fldChar w:fldCharType="end"/>
      </w:r>
    </w:p>
    <w:p w14:paraId="50CA6914">
      <w:pPr>
        <w:pStyle w:val="10"/>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_Toc3032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3"/>
          <w:szCs w:val="24"/>
          <w:highlight w:val="none"/>
        </w:rPr>
        <w:t>第三章</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拟签订合同的主要条款</w:t>
      </w:r>
      <w:r>
        <w:rPr>
          <w:color w:val="auto"/>
          <w:highlight w:val="none"/>
        </w:rPr>
        <w:tab/>
      </w:r>
      <w:r>
        <w:rPr>
          <w:color w:val="auto"/>
          <w:highlight w:val="none"/>
        </w:rPr>
        <w:fldChar w:fldCharType="begin"/>
      </w:r>
      <w:r>
        <w:rPr>
          <w:color w:val="auto"/>
          <w:highlight w:val="none"/>
        </w:rPr>
        <w:instrText xml:space="preserve"> PAGEREF _Toc3032 \h </w:instrText>
      </w:r>
      <w:r>
        <w:rPr>
          <w:color w:val="auto"/>
          <w:highlight w:val="none"/>
        </w:rPr>
        <w:fldChar w:fldCharType="separate"/>
      </w:r>
      <w:r>
        <w:rPr>
          <w:color w:val="auto"/>
          <w:highlight w:val="none"/>
        </w:rPr>
        <w:t>44</w:t>
      </w:r>
      <w:r>
        <w:rPr>
          <w:color w:val="auto"/>
          <w:highlight w:val="none"/>
        </w:rPr>
        <w:fldChar w:fldCharType="end"/>
      </w:r>
      <w:r>
        <w:rPr>
          <w:rFonts w:hint="eastAsia" w:ascii="宋体" w:hAnsi="宋体" w:eastAsia="宋体" w:cs="宋体"/>
          <w:color w:val="auto"/>
          <w:szCs w:val="21"/>
          <w:highlight w:val="none"/>
        </w:rPr>
        <w:fldChar w:fldCharType="end"/>
      </w:r>
    </w:p>
    <w:p w14:paraId="697C10C7">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_Toc26539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8"/>
          <w:szCs w:val="24"/>
          <w:highlight w:val="none"/>
        </w:rPr>
        <w:t>1</w:t>
      </w:r>
      <w:r>
        <w:rPr>
          <w:rFonts w:hint="eastAsia" w:ascii="宋体" w:hAnsi="宋体" w:eastAsia="宋体" w:cs="宋体"/>
          <w:bCs/>
          <w:color w:val="auto"/>
          <w:spacing w:val="-26"/>
          <w:szCs w:val="24"/>
          <w:highlight w:val="none"/>
        </w:rPr>
        <w:t xml:space="preserve"> </w:t>
      </w:r>
      <w:r>
        <w:rPr>
          <w:rFonts w:hint="eastAsia" w:ascii="宋体" w:hAnsi="宋体" w:eastAsia="宋体" w:cs="宋体"/>
          <w:bCs/>
          <w:color w:val="auto"/>
          <w:spacing w:val="-8"/>
          <w:szCs w:val="24"/>
          <w:highlight w:val="none"/>
        </w:rPr>
        <w:t>．工程承包方式</w:t>
      </w:r>
      <w:r>
        <w:rPr>
          <w:color w:val="auto"/>
          <w:highlight w:val="none"/>
        </w:rPr>
        <w:tab/>
      </w:r>
      <w:r>
        <w:rPr>
          <w:color w:val="auto"/>
          <w:highlight w:val="none"/>
        </w:rPr>
        <w:fldChar w:fldCharType="begin"/>
      </w:r>
      <w:r>
        <w:rPr>
          <w:color w:val="auto"/>
          <w:highlight w:val="none"/>
        </w:rPr>
        <w:instrText xml:space="preserve"> PAGEREF _Toc26539 \h </w:instrText>
      </w:r>
      <w:r>
        <w:rPr>
          <w:color w:val="auto"/>
          <w:highlight w:val="none"/>
        </w:rPr>
        <w:fldChar w:fldCharType="separate"/>
      </w:r>
      <w:r>
        <w:rPr>
          <w:color w:val="auto"/>
          <w:highlight w:val="none"/>
        </w:rPr>
        <w:t>44</w:t>
      </w:r>
      <w:r>
        <w:rPr>
          <w:color w:val="auto"/>
          <w:highlight w:val="none"/>
        </w:rPr>
        <w:fldChar w:fldCharType="end"/>
      </w:r>
      <w:r>
        <w:rPr>
          <w:rFonts w:hint="eastAsia" w:ascii="宋体" w:hAnsi="宋体" w:eastAsia="宋体" w:cs="宋体"/>
          <w:color w:val="auto"/>
          <w:szCs w:val="21"/>
          <w:highlight w:val="none"/>
        </w:rPr>
        <w:fldChar w:fldCharType="end"/>
      </w:r>
    </w:p>
    <w:p w14:paraId="09515B29">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_Toc20319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7"/>
          <w:szCs w:val="24"/>
          <w:highlight w:val="none"/>
        </w:rPr>
        <w:t>2</w:t>
      </w:r>
      <w:r>
        <w:rPr>
          <w:rFonts w:hint="eastAsia" w:ascii="宋体" w:hAnsi="宋体" w:eastAsia="宋体" w:cs="宋体"/>
          <w:bCs/>
          <w:color w:val="auto"/>
          <w:spacing w:val="-24"/>
          <w:szCs w:val="24"/>
          <w:highlight w:val="none"/>
        </w:rPr>
        <w:t xml:space="preserve"> </w:t>
      </w:r>
      <w:r>
        <w:rPr>
          <w:rFonts w:hint="eastAsia" w:ascii="宋体" w:hAnsi="宋体" w:eastAsia="宋体" w:cs="宋体"/>
          <w:bCs/>
          <w:color w:val="auto"/>
          <w:spacing w:val="-7"/>
          <w:szCs w:val="24"/>
          <w:highlight w:val="none"/>
        </w:rPr>
        <w:t>．工程结算原则</w:t>
      </w:r>
      <w:r>
        <w:rPr>
          <w:color w:val="auto"/>
          <w:highlight w:val="none"/>
        </w:rPr>
        <w:tab/>
      </w:r>
      <w:r>
        <w:rPr>
          <w:color w:val="auto"/>
          <w:highlight w:val="none"/>
        </w:rPr>
        <w:fldChar w:fldCharType="begin"/>
      </w:r>
      <w:r>
        <w:rPr>
          <w:color w:val="auto"/>
          <w:highlight w:val="none"/>
        </w:rPr>
        <w:instrText xml:space="preserve"> PAGEREF _Toc20319 \h </w:instrText>
      </w:r>
      <w:r>
        <w:rPr>
          <w:color w:val="auto"/>
          <w:highlight w:val="none"/>
        </w:rPr>
        <w:fldChar w:fldCharType="separate"/>
      </w:r>
      <w:r>
        <w:rPr>
          <w:color w:val="auto"/>
          <w:highlight w:val="none"/>
        </w:rPr>
        <w:t>44</w:t>
      </w:r>
      <w:r>
        <w:rPr>
          <w:color w:val="auto"/>
          <w:highlight w:val="none"/>
        </w:rPr>
        <w:fldChar w:fldCharType="end"/>
      </w:r>
      <w:r>
        <w:rPr>
          <w:rFonts w:hint="eastAsia" w:ascii="宋体" w:hAnsi="宋体" w:eastAsia="宋体" w:cs="宋体"/>
          <w:color w:val="auto"/>
          <w:szCs w:val="21"/>
          <w:highlight w:val="none"/>
        </w:rPr>
        <w:fldChar w:fldCharType="end"/>
      </w:r>
    </w:p>
    <w:p w14:paraId="7B9EB82F">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_Toc11561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zCs w:val="24"/>
          <w:highlight w:val="none"/>
        </w:rPr>
        <w:t>3. 工程付款办法</w:t>
      </w:r>
      <w:r>
        <w:rPr>
          <w:color w:val="auto"/>
          <w:highlight w:val="none"/>
        </w:rPr>
        <w:tab/>
      </w:r>
      <w:r>
        <w:rPr>
          <w:color w:val="auto"/>
          <w:highlight w:val="none"/>
        </w:rPr>
        <w:fldChar w:fldCharType="begin"/>
      </w:r>
      <w:r>
        <w:rPr>
          <w:color w:val="auto"/>
          <w:highlight w:val="none"/>
        </w:rPr>
        <w:instrText xml:space="preserve"> PAGEREF _Toc11561 \h </w:instrText>
      </w:r>
      <w:r>
        <w:rPr>
          <w:color w:val="auto"/>
          <w:highlight w:val="none"/>
        </w:rPr>
        <w:fldChar w:fldCharType="separate"/>
      </w:r>
      <w:r>
        <w:rPr>
          <w:color w:val="auto"/>
          <w:highlight w:val="none"/>
        </w:rPr>
        <w:t>50</w:t>
      </w:r>
      <w:r>
        <w:rPr>
          <w:color w:val="auto"/>
          <w:highlight w:val="none"/>
        </w:rPr>
        <w:fldChar w:fldCharType="end"/>
      </w:r>
      <w:r>
        <w:rPr>
          <w:rFonts w:hint="eastAsia" w:ascii="宋体" w:hAnsi="宋体" w:eastAsia="宋体" w:cs="宋体"/>
          <w:color w:val="auto"/>
          <w:szCs w:val="21"/>
          <w:highlight w:val="none"/>
        </w:rPr>
        <w:fldChar w:fldCharType="end"/>
      </w:r>
    </w:p>
    <w:p w14:paraId="57B45B58">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_Toc464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7"/>
          <w:szCs w:val="24"/>
          <w:highlight w:val="none"/>
        </w:rPr>
        <w:t>4</w:t>
      </w:r>
      <w:r>
        <w:rPr>
          <w:rFonts w:hint="eastAsia" w:ascii="宋体" w:hAnsi="宋体" w:eastAsia="宋体" w:cs="宋体"/>
          <w:bCs/>
          <w:color w:val="auto"/>
          <w:spacing w:val="-25"/>
          <w:szCs w:val="24"/>
          <w:highlight w:val="none"/>
        </w:rPr>
        <w:t xml:space="preserve"> </w:t>
      </w:r>
      <w:r>
        <w:rPr>
          <w:rFonts w:hint="eastAsia" w:ascii="宋体" w:hAnsi="宋体" w:eastAsia="宋体" w:cs="宋体"/>
          <w:bCs/>
          <w:color w:val="auto"/>
          <w:spacing w:val="-7"/>
          <w:szCs w:val="24"/>
          <w:highlight w:val="none"/>
        </w:rPr>
        <w:t>．其他专用合同条款</w:t>
      </w:r>
      <w:r>
        <w:rPr>
          <w:color w:val="auto"/>
          <w:highlight w:val="none"/>
        </w:rPr>
        <w:tab/>
      </w:r>
      <w:r>
        <w:rPr>
          <w:color w:val="auto"/>
          <w:highlight w:val="none"/>
        </w:rPr>
        <w:fldChar w:fldCharType="begin"/>
      </w:r>
      <w:r>
        <w:rPr>
          <w:color w:val="auto"/>
          <w:highlight w:val="none"/>
        </w:rPr>
        <w:instrText xml:space="preserve"> PAGEREF _Toc464 \h </w:instrText>
      </w:r>
      <w:r>
        <w:rPr>
          <w:color w:val="auto"/>
          <w:highlight w:val="none"/>
        </w:rPr>
        <w:fldChar w:fldCharType="separate"/>
      </w:r>
      <w:r>
        <w:rPr>
          <w:color w:val="auto"/>
          <w:highlight w:val="none"/>
        </w:rPr>
        <w:t>52</w:t>
      </w:r>
      <w:r>
        <w:rPr>
          <w:color w:val="auto"/>
          <w:highlight w:val="none"/>
        </w:rPr>
        <w:fldChar w:fldCharType="end"/>
      </w:r>
      <w:r>
        <w:rPr>
          <w:rFonts w:hint="eastAsia" w:ascii="宋体" w:hAnsi="宋体" w:eastAsia="宋体" w:cs="宋体"/>
          <w:color w:val="auto"/>
          <w:szCs w:val="21"/>
          <w:highlight w:val="none"/>
        </w:rPr>
        <w:fldChar w:fldCharType="end"/>
      </w:r>
    </w:p>
    <w:p w14:paraId="1DF12465">
      <w:pPr>
        <w:pStyle w:val="10"/>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_Toc29623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3"/>
          <w:szCs w:val="24"/>
          <w:highlight w:val="none"/>
        </w:rPr>
        <w:t>第四章</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技术要求</w:t>
      </w:r>
      <w:r>
        <w:rPr>
          <w:color w:val="auto"/>
          <w:highlight w:val="none"/>
        </w:rPr>
        <w:tab/>
      </w:r>
      <w:r>
        <w:rPr>
          <w:color w:val="auto"/>
          <w:highlight w:val="none"/>
        </w:rPr>
        <w:fldChar w:fldCharType="begin"/>
      </w:r>
      <w:r>
        <w:rPr>
          <w:color w:val="auto"/>
          <w:highlight w:val="none"/>
        </w:rPr>
        <w:instrText xml:space="preserve"> PAGEREF _Toc29623 \h </w:instrText>
      </w:r>
      <w:r>
        <w:rPr>
          <w:color w:val="auto"/>
          <w:highlight w:val="none"/>
        </w:rPr>
        <w:fldChar w:fldCharType="separate"/>
      </w:r>
      <w:r>
        <w:rPr>
          <w:color w:val="auto"/>
          <w:highlight w:val="none"/>
        </w:rPr>
        <w:t>61</w:t>
      </w:r>
      <w:r>
        <w:rPr>
          <w:color w:val="auto"/>
          <w:highlight w:val="none"/>
        </w:rPr>
        <w:fldChar w:fldCharType="end"/>
      </w:r>
      <w:r>
        <w:rPr>
          <w:rFonts w:hint="eastAsia" w:ascii="宋体" w:hAnsi="宋体" w:eastAsia="宋体" w:cs="宋体"/>
          <w:color w:val="auto"/>
          <w:szCs w:val="21"/>
          <w:highlight w:val="none"/>
        </w:rPr>
        <w:fldChar w:fldCharType="end"/>
      </w:r>
    </w:p>
    <w:p w14:paraId="1A74BC96">
      <w:pPr>
        <w:pStyle w:val="11"/>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_Toc24726 </w:instrText>
      </w:r>
      <w:r>
        <w:rPr>
          <w:rFonts w:hint="eastAsia" w:ascii="宋体" w:hAnsi="宋体" w:eastAsia="宋体" w:cs="宋体"/>
          <w:color w:val="auto"/>
          <w:szCs w:val="21"/>
          <w:highlight w:val="none"/>
        </w:rPr>
        <w:fldChar w:fldCharType="separate"/>
      </w:r>
      <w:r>
        <w:rPr>
          <w:rFonts w:hint="eastAsia" w:hAnsi="宋体"/>
          <w:color w:val="auto"/>
          <w:kern w:val="2"/>
          <w:szCs w:val="24"/>
          <w:highlight w:val="none"/>
        </w:rPr>
        <w:t>1 工程的技术要求</w:t>
      </w:r>
      <w:r>
        <w:rPr>
          <w:color w:val="auto"/>
          <w:highlight w:val="none"/>
        </w:rPr>
        <w:tab/>
      </w:r>
      <w:r>
        <w:rPr>
          <w:color w:val="auto"/>
          <w:highlight w:val="none"/>
        </w:rPr>
        <w:fldChar w:fldCharType="begin"/>
      </w:r>
      <w:r>
        <w:rPr>
          <w:color w:val="auto"/>
          <w:highlight w:val="none"/>
        </w:rPr>
        <w:instrText xml:space="preserve"> PAGEREF _Toc24726 \h </w:instrText>
      </w:r>
      <w:r>
        <w:rPr>
          <w:color w:val="auto"/>
          <w:highlight w:val="none"/>
        </w:rPr>
        <w:fldChar w:fldCharType="separate"/>
      </w:r>
      <w:r>
        <w:rPr>
          <w:color w:val="auto"/>
          <w:highlight w:val="none"/>
        </w:rPr>
        <w:t>61</w:t>
      </w:r>
      <w:r>
        <w:rPr>
          <w:color w:val="auto"/>
          <w:highlight w:val="none"/>
        </w:rPr>
        <w:fldChar w:fldCharType="end"/>
      </w:r>
      <w:r>
        <w:rPr>
          <w:rFonts w:hint="eastAsia" w:ascii="宋体" w:hAnsi="宋体" w:eastAsia="宋体" w:cs="宋体"/>
          <w:color w:val="auto"/>
          <w:szCs w:val="21"/>
          <w:highlight w:val="none"/>
        </w:rPr>
        <w:fldChar w:fldCharType="end"/>
      </w:r>
    </w:p>
    <w:p w14:paraId="02C1968B">
      <w:pPr>
        <w:pStyle w:val="10"/>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_Toc23471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5"/>
          <w:szCs w:val="24"/>
          <w:highlight w:val="none"/>
        </w:rPr>
        <w:t>第五章</w:t>
      </w:r>
      <w:r>
        <w:rPr>
          <w:rFonts w:hint="eastAsia" w:ascii="宋体" w:hAnsi="宋体" w:eastAsia="宋体" w:cs="宋体"/>
          <w:color w:val="auto"/>
          <w:spacing w:val="33"/>
          <w:szCs w:val="24"/>
          <w:highlight w:val="none"/>
        </w:rPr>
        <w:t xml:space="preserve"> </w:t>
      </w:r>
      <w:r>
        <w:rPr>
          <w:rFonts w:hint="eastAsia" w:ascii="宋体" w:hAnsi="宋体" w:eastAsia="宋体" w:cs="宋体"/>
          <w:bCs/>
          <w:color w:val="auto"/>
          <w:spacing w:val="-5"/>
          <w:szCs w:val="24"/>
          <w:highlight w:val="none"/>
        </w:rPr>
        <w:t>图纸和招标工程量清单</w:t>
      </w:r>
      <w:r>
        <w:rPr>
          <w:color w:val="auto"/>
          <w:highlight w:val="none"/>
        </w:rPr>
        <w:tab/>
      </w:r>
      <w:r>
        <w:rPr>
          <w:color w:val="auto"/>
          <w:highlight w:val="none"/>
        </w:rPr>
        <w:fldChar w:fldCharType="begin"/>
      </w:r>
      <w:r>
        <w:rPr>
          <w:color w:val="auto"/>
          <w:highlight w:val="none"/>
        </w:rPr>
        <w:instrText xml:space="preserve"> PAGEREF _Toc23471 \h </w:instrText>
      </w:r>
      <w:r>
        <w:rPr>
          <w:color w:val="auto"/>
          <w:highlight w:val="none"/>
        </w:rPr>
        <w:fldChar w:fldCharType="separate"/>
      </w:r>
      <w:r>
        <w:rPr>
          <w:color w:val="auto"/>
          <w:highlight w:val="none"/>
        </w:rPr>
        <w:t>62</w:t>
      </w:r>
      <w:r>
        <w:rPr>
          <w:color w:val="auto"/>
          <w:highlight w:val="none"/>
        </w:rPr>
        <w:fldChar w:fldCharType="end"/>
      </w:r>
      <w:r>
        <w:rPr>
          <w:rFonts w:hint="eastAsia" w:ascii="宋体" w:hAnsi="宋体" w:eastAsia="宋体" w:cs="宋体"/>
          <w:color w:val="auto"/>
          <w:szCs w:val="21"/>
          <w:highlight w:val="none"/>
        </w:rPr>
        <w:fldChar w:fldCharType="end"/>
      </w:r>
    </w:p>
    <w:p w14:paraId="031FCB49">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_Toc18677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14"/>
          <w:szCs w:val="24"/>
          <w:highlight w:val="none"/>
        </w:rPr>
        <w:t>1</w:t>
      </w:r>
      <w:r>
        <w:rPr>
          <w:rFonts w:hint="eastAsia" w:ascii="宋体" w:hAnsi="宋体" w:eastAsia="宋体" w:cs="宋体"/>
          <w:bCs/>
          <w:color w:val="auto"/>
          <w:spacing w:val="-27"/>
          <w:szCs w:val="24"/>
          <w:highlight w:val="none"/>
        </w:rPr>
        <w:t xml:space="preserve"> </w:t>
      </w:r>
      <w:r>
        <w:rPr>
          <w:rFonts w:hint="eastAsia" w:ascii="宋体" w:hAnsi="宋体" w:eastAsia="宋体" w:cs="宋体"/>
          <w:bCs/>
          <w:color w:val="auto"/>
          <w:spacing w:val="-14"/>
          <w:szCs w:val="24"/>
          <w:highlight w:val="none"/>
        </w:rPr>
        <w:t>．图纸</w:t>
      </w:r>
      <w:r>
        <w:rPr>
          <w:color w:val="auto"/>
          <w:highlight w:val="none"/>
        </w:rPr>
        <w:tab/>
      </w:r>
      <w:r>
        <w:rPr>
          <w:color w:val="auto"/>
          <w:highlight w:val="none"/>
        </w:rPr>
        <w:fldChar w:fldCharType="begin"/>
      </w:r>
      <w:r>
        <w:rPr>
          <w:color w:val="auto"/>
          <w:highlight w:val="none"/>
        </w:rPr>
        <w:instrText xml:space="preserve"> PAGEREF _Toc18677 \h </w:instrText>
      </w:r>
      <w:r>
        <w:rPr>
          <w:color w:val="auto"/>
          <w:highlight w:val="none"/>
        </w:rPr>
        <w:fldChar w:fldCharType="separate"/>
      </w:r>
      <w:r>
        <w:rPr>
          <w:color w:val="auto"/>
          <w:highlight w:val="none"/>
        </w:rPr>
        <w:t>62</w:t>
      </w:r>
      <w:r>
        <w:rPr>
          <w:color w:val="auto"/>
          <w:highlight w:val="none"/>
        </w:rPr>
        <w:fldChar w:fldCharType="end"/>
      </w:r>
      <w:r>
        <w:rPr>
          <w:rFonts w:hint="eastAsia" w:ascii="宋体" w:hAnsi="宋体" w:eastAsia="宋体" w:cs="宋体"/>
          <w:color w:val="auto"/>
          <w:szCs w:val="21"/>
          <w:highlight w:val="none"/>
        </w:rPr>
        <w:fldChar w:fldCharType="end"/>
      </w:r>
    </w:p>
    <w:p w14:paraId="1C316246">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_Toc14947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6"/>
          <w:szCs w:val="24"/>
          <w:highlight w:val="none"/>
        </w:rPr>
        <w:t>2</w:t>
      </w:r>
      <w:r>
        <w:rPr>
          <w:rFonts w:hint="eastAsia" w:ascii="宋体" w:hAnsi="宋体" w:eastAsia="宋体" w:cs="宋体"/>
          <w:bCs/>
          <w:color w:val="auto"/>
          <w:spacing w:val="-26"/>
          <w:szCs w:val="24"/>
          <w:highlight w:val="none"/>
        </w:rPr>
        <w:t xml:space="preserve"> </w:t>
      </w:r>
      <w:r>
        <w:rPr>
          <w:rFonts w:hint="eastAsia" w:ascii="宋体" w:hAnsi="宋体" w:eastAsia="宋体" w:cs="宋体"/>
          <w:bCs/>
          <w:color w:val="auto"/>
          <w:spacing w:val="-6"/>
          <w:szCs w:val="24"/>
          <w:highlight w:val="none"/>
        </w:rPr>
        <w:t>．招标工程量清单</w:t>
      </w:r>
      <w:r>
        <w:rPr>
          <w:color w:val="auto"/>
          <w:highlight w:val="none"/>
        </w:rPr>
        <w:tab/>
      </w:r>
      <w:r>
        <w:rPr>
          <w:color w:val="auto"/>
          <w:highlight w:val="none"/>
        </w:rPr>
        <w:fldChar w:fldCharType="begin"/>
      </w:r>
      <w:r>
        <w:rPr>
          <w:color w:val="auto"/>
          <w:highlight w:val="none"/>
        </w:rPr>
        <w:instrText xml:space="preserve"> PAGEREF _Toc14947 \h </w:instrText>
      </w:r>
      <w:r>
        <w:rPr>
          <w:color w:val="auto"/>
          <w:highlight w:val="none"/>
        </w:rPr>
        <w:fldChar w:fldCharType="separate"/>
      </w:r>
      <w:r>
        <w:rPr>
          <w:color w:val="auto"/>
          <w:highlight w:val="none"/>
        </w:rPr>
        <w:t>62</w:t>
      </w:r>
      <w:r>
        <w:rPr>
          <w:color w:val="auto"/>
          <w:highlight w:val="none"/>
        </w:rPr>
        <w:fldChar w:fldCharType="end"/>
      </w:r>
      <w:r>
        <w:rPr>
          <w:rFonts w:hint="eastAsia" w:ascii="宋体" w:hAnsi="宋体" w:eastAsia="宋体" w:cs="宋体"/>
          <w:color w:val="auto"/>
          <w:szCs w:val="21"/>
          <w:highlight w:val="none"/>
        </w:rPr>
        <w:fldChar w:fldCharType="end"/>
      </w:r>
    </w:p>
    <w:p w14:paraId="6C304206">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_Toc31627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6"/>
          <w:szCs w:val="24"/>
          <w:highlight w:val="none"/>
          <w:lang w:val="en-US" w:eastAsia="zh-CN"/>
        </w:rPr>
        <w:t>3.甲供主材设备清单</w:t>
      </w:r>
      <w:r>
        <w:rPr>
          <w:color w:val="auto"/>
          <w:highlight w:val="none"/>
        </w:rPr>
        <w:tab/>
      </w:r>
      <w:r>
        <w:rPr>
          <w:color w:val="auto"/>
          <w:highlight w:val="none"/>
        </w:rPr>
        <w:fldChar w:fldCharType="begin"/>
      </w:r>
      <w:r>
        <w:rPr>
          <w:color w:val="auto"/>
          <w:highlight w:val="none"/>
        </w:rPr>
        <w:instrText xml:space="preserve"> PAGEREF _Toc31627 \h </w:instrText>
      </w:r>
      <w:r>
        <w:rPr>
          <w:color w:val="auto"/>
          <w:highlight w:val="none"/>
        </w:rPr>
        <w:fldChar w:fldCharType="separate"/>
      </w:r>
      <w:r>
        <w:rPr>
          <w:color w:val="auto"/>
          <w:highlight w:val="none"/>
        </w:rPr>
        <w:t>63</w:t>
      </w:r>
      <w:r>
        <w:rPr>
          <w:color w:val="auto"/>
          <w:highlight w:val="none"/>
        </w:rPr>
        <w:fldChar w:fldCharType="end"/>
      </w:r>
      <w:r>
        <w:rPr>
          <w:rFonts w:hint="eastAsia" w:ascii="宋体" w:hAnsi="宋体" w:eastAsia="宋体" w:cs="宋体"/>
          <w:color w:val="auto"/>
          <w:szCs w:val="21"/>
          <w:highlight w:val="none"/>
        </w:rPr>
        <w:fldChar w:fldCharType="end"/>
      </w:r>
    </w:p>
    <w:p w14:paraId="47996F84">
      <w:pPr>
        <w:pStyle w:val="10"/>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_Toc29734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3"/>
          <w:szCs w:val="24"/>
          <w:highlight w:val="none"/>
        </w:rPr>
        <w:t>第六章</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投标文件格式</w:t>
      </w:r>
      <w:r>
        <w:rPr>
          <w:color w:val="auto"/>
          <w:highlight w:val="none"/>
        </w:rPr>
        <w:tab/>
      </w:r>
      <w:r>
        <w:rPr>
          <w:color w:val="auto"/>
          <w:highlight w:val="none"/>
        </w:rPr>
        <w:fldChar w:fldCharType="begin"/>
      </w:r>
      <w:r>
        <w:rPr>
          <w:color w:val="auto"/>
          <w:highlight w:val="none"/>
        </w:rPr>
        <w:instrText xml:space="preserve"> PAGEREF _Toc29734 \h </w:instrText>
      </w:r>
      <w:r>
        <w:rPr>
          <w:color w:val="auto"/>
          <w:highlight w:val="none"/>
        </w:rPr>
        <w:fldChar w:fldCharType="separate"/>
      </w:r>
      <w:r>
        <w:rPr>
          <w:color w:val="auto"/>
          <w:highlight w:val="none"/>
        </w:rPr>
        <w:t>64</w:t>
      </w:r>
      <w:r>
        <w:rPr>
          <w:color w:val="auto"/>
          <w:highlight w:val="none"/>
        </w:rPr>
        <w:fldChar w:fldCharType="end"/>
      </w:r>
      <w:r>
        <w:rPr>
          <w:rFonts w:hint="eastAsia" w:ascii="宋体" w:hAnsi="宋体" w:eastAsia="宋体" w:cs="宋体"/>
          <w:color w:val="auto"/>
          <w:szCs w:val="21"/>
          <w:highlight w:val="none"/>
        </w:rPr>
        <w:fldChar w:fldCharType="end"/>
      </w:r>
    </w:p>
    <w:p w14:paraId="4619CA89">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_Toc8398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格式一</w:t>
      </w:r>
      <w:r>
        <w:rPr>
          <w:rFonts w:hint="eastAsia" w:ascii="宋体" w:hAnsi="宋体" w:eastAsia="宋体" w:cs="宋体"/>
          <w:color w:val="auto"/>
          <w:spacing w:val="-4"/>
          <w:szCs w:val="24"/>
          <w:highlight w:val="none"/>
        </w:rPr>
        <w:t xml:space="preserve"> </w:t>
      </w:r>
      <w:r>
        <w:rPr>
          <w:rFonts w:hint="eastAsia" w:ascii="宋体" w:hAnsi="宋体" w:eastAsia="宋体" w:cs="宋体"/>
          <w:bCs/>
          <w:color w:val="auto"/>
          <w:spacing w:val="-4"/>
          <w:szCs w:val="24"/>
          <w:highlight w:val="none"/>
        </w:rPr>
        <w:t>封面</w:t>
      </w:r>
      <w:r>
        <w:rPr>
          <w:color w:val="auto"/>
          <w:highlight w:val="none"/>
        </w:rPr>
        <w:tab/>
      </w:r>
      <w:r>
        <w:rPr>
          <w:color w:val="auto"/>
          <w:highlight w:val="none"/>
        </w:rPr>
        <w:fldChar w:fldCharType="begin"/>
      </w:r>
      <w:r>
        <w:rPr>
          <w:color w:val="auto"/>
          <w:highlight w:val="none"/>
        </w:rPr>
        <w:instrText xml:space="preserve"> PAGEREF _Toc8398 \h </w:instrText>
      </w:r>
      <w:r>
        <w:rPr>
          <w:color w:val="auto"/>
          <w:highlight w:val="none"/>
        </w:rPr>
        <w:fldChar w:fldCharType="separate"/>
      </w:r>
      <w:r>
        <w:rPr>
          <w:color w:val="auto"/>
          <w:highlight w:val="none"/>
        </w:rPr>
        <w:t>64</w:t>
      </w:r>
      <w:r>
        <w:rPr>
          <w:color w:val="auto"/>
          <w:highlight w:val="none"/>
        </w:rPr>
        <w:fldChar w:fldCharType="end"/>
      </w:r>
      <w:r>
        <w:rPr>
          <w:rFonts w:hint="eastAsia" w:ascii="宋体" w:hAnsi="宋体" w:eastAsia="宋体" w:cs="宋体"/>
          <w:color w:val="auto"/>
          <w:szCs w:val="21"/>
          <w:highlight w:val="none"/>
        </w:rPr>
        <w:fldChar w:fldCharType="end"/>
      </w:r>
    </w:p>
    <w:p w14:paraId="4A1D6F1E">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_Toc14176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格式二 投标函</w:t>
      </w:r>
      <w:r>
        <w:rPr>
          <w:color w:val="auto"/>
          <w:highlight w:val="none"/>
        </w:rPr>
        <w:tab/>
      </w:r>
      <w:r>
        <w:rPr>
          <w:color w:val="auto"/>
          <w:highlight w:val="none"/>
        </w:rPr>
        <w:fldChar w:fldCharType="begin"/>
      </w:r>
      <w:r>
        <w:rPr>
          <w:color w:val="auto"/>
          <w:highlight w:val="none"/>
        </w:rPr>
        <w:instrText xml:space="preserve"> PAGEREF _Toc14176 \h </w:instrText>
      </w:r>
      <w:r>
        <w:rPr>
          <w:color w:val="auto"/>
          <w:highlight w:val="none"/>
        </w:rPr>
        <w:fldChar w:fldCharType="separate"/>
      </w:r>
      <w:r>
        <w:rPr>
          <w:color w:val="auto"/>
          <w:highlight w:val="none"/>
        </w:rPr>
        <w:t>65</w:t>
      </w:r>
      <w:r>
        <w:rPr>
          <w:color w:val="auto"/>
          <w:highlight w:val="none"/>
        </w:rPr>
        <w:fldChar w:fldCharType="end"/>
      </w:r>
      <w:r>
        <w:rPr>
          <w:rFonts w:hint="eastAsia" w:ascii="宋体" w:hAnsi="宋体" w:eastAsia="宋体" w:cs="宋体"/>
          <w:color w:val="auto"/>
          <w:szCs w:val="21"/>
          <w:highlight w:val="none"/>
        </w:rPr>
        <w:fldChar w:fldCharType="end"/>
      </w:r>
    </w:p>
    <w:p w14:paraId="494C846A">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_Toc15931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格式三 各项承诺一览表</w:t>
      </w:r>
      <w:r>
        <w:rPr>
          <w:color w:val="auto"/>
          <w:highlight w:val="none"/>
        </w:rPr>
        <w:tab/>
      </w:r>
      <w:r>
        <w:rPr>
          <w:color w:val="auto"/>
          <w:highlight w:val="none"/>
        </w:rPr>
        <w:fldChar w:fldCharType="begin"/>
      </w:r>
      <w:r>
        <w:rPr>
          <w:color w:val="auto"/>
          <w:highlight w:val="none"/>
        </w:rPr>
        <w:instrText xml:space="preserve"> PAGEREF _Toc15931 \h </w:instrText>
      </w:r>
      <w:r>
        <w:rPr>
          <w:color w:val="auto"/>
          <w:highlight w:val="none"/>
        </w:rPr>
        <w:fldChar w:fldCharType="separate"/>
      </w:r>
      <w:r>
        <w:rPr>
          <w:color w:val="auto"/>
          <w:highlight w:val="none"/>
        </w:rPr>
        <w:t>66</w:t>
      </w:r>
      <w:r>
        <w:rPr>
          <w:color w:val="auto"/>
          <w:highlight w:val="none"/>
        </w:rPr>
        <w:fldChar w:fldCharType="end"/>
      </w:r>
      <w:r>
        <w:rPr>
          <w:rFonts w:hint="eastAsia" w:ascii="宋体" w:hAnsi="宋体" w:eastAsia="宋体" w:cs="宋体"/>
          <w:color w:val="auto"/>
          <w:szCs w:val="21"/>
          <w:highlight w:val="none"/>
        </w:rPr>
        <w:fldChar w:fldCharType="end"/>
      </w:r>
    </w:p>
    <w:p w14:paraId="57AC5F3F">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_Toc10597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格式四 授权委托书</w:t>
      </w:r>
      <w:r>
        <w:rPr>
          <w:color w:val="auto"/>
          <w:highlight w:val="none"/>
        </w:rPr>
        <w:tab/>
      </w:r>
      <w:r>
        <w:rPr>
          <w:color w:val="auto"/>
          <w:highlight w:val="none"/>
        </w:rPr>
        <w:fldChar w:fldCharType="begin"/>
      </w:r>
      <w:r>
        <w:rPr>
          <w:color w:val="auto"/>
          <w:highlight w:val="none"/>
        </w:rPr>
        <w:instrText xml:space="preserve"> PAGEREF _Toc10597 \h </w:instrText>
      </w:r>
      <w:r>
        <w:rPr>
          <w:color w:val="auto"/>
          <w:highlight w:val="none"/>
        </w:rPr>
        <w:fldChar w:fldCharType="separate"/>
      </w:r>
      <w:r>
        <w:rPr>
          <w:color w:val="auto"/>
          <w:highlight w:val="none"/>
        </w:rPr>
        <w:t>68</w:t>
      </w:r>
      <w:r>
        <w:rPr>
          <w:color w:val="auto"/>
          <w:highlight w:val="none"/>
        </w:rPr>
        <w:fldChar w:fldCharType="end"/>
      </w:r>
      <w:r>
        <w:rPr>
          <w:rFonts w:hint="eastAsia" w:ascii="宋体" w:hAnsi="宋体" w:eastAsia="宋体" w:cs="宋体"/>
          <w:color w:val="auto"/>
          <w:szCs w:val="21"/>
          <w:highlight w:val="none"/>
        </w:rPr>
        <w:fldChar w:fldCharType="end"/>
      </w:r>
    </w:p>
    <w:p w14:paraId="7F2E17E2">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_Toc2657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格式五 法定代表人身份证明</w:t>
      </w:r>
      <w:r>
        <w:rPr>
          <w:color w:val="auto"/>
          <w:highlight w:val="none"/>
        </w:rPr>
        <w:tab/>
      </w:r>
      <w:r>
        <w:rPr>
          <w:color w:val="auto"/>
          <w:highlight w:val="none"/>
        </w:rPr>
        <w:fldChar w:fldCharType="begin"/>
      </w:r>
      <w:r>
        <w:rPr>
          <w:color w:val="auto"/>
          <w:highlight w:val="none"/>
        </w:rPr>
        <w:instrText xml:space="preserve"> PAGEREF _Toc2657 \h </w:instrText>
      </w:r>
      <w:r>
        <w:rPr>
          <w:color w:val="auto"/>
          <w:highlight w:val="none"/>
        </w:rPr>
        <w:fldChar w:fldCharType="separate"/>
      </w:r>
      <w:r>
        <w:rPr>
          <w:color w:val="auto"/>
          <w:highlight w:val="none"/>
        </w:rPr>
        <w:t>69</w:t>
      </w:r>
      <w:r>
        <w:rPr>
          <w:color w:val="auto"/>
          <w:highlight w:val="none"/>
        </w:rPr>
        <w:fldChar w:fldCharType="end"/>
      </w:r>
      <w:r>
        <w:rPr>
          <w:rFonts w:hint="eastAsia" w:ascii="宋体" w:hAnsi="宋体" w:eastAsia="宋体" w:cs="宋体"/>
          <w:color w:val="auto"/>
          <w:szCs w:val="21"/>
          <w:highlight w:val="none"/>
        </w:rPr>
        <w:fldChar w:fldCharType="end"/>
      </w:r>
    </w:p>
    <w:p w14:paraId="07561BCE">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_Toc23279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格式六 联合体协议书</w:t>
      </w:r>
      <w:r>
        <w:rPr>
          <w:color w:val="auto"/>
          <w:highlight w:val="none"/>
        </w:rPr>
        <w:tab/>
      </w:r>
      <w:r>
        <w:rPr>
          <w:color w:val="auto"/>
          <w:highlight w:val="none"/>
        </w:rPr>
        <w:fldChar w:fldCharType="begin"/>
      </w:r>
      <w:r>
        <w:rPr>
          <w:color w:val="auto"/>
          <w:highlight w:val="none"/>
        </w:rPr>
        <w:instrText xml:space="preserve"> PAGEREF _Toc23279 \h </w:instrText>
      </w:r>
      <w:r>
        <w:rPr>
          <w:color w:val="auto"/>
          <w:highlight w:val="none"/>
        </w:rPr>
        <w:fldChar w:fldCharType="separate"/>
      </w:r>
      <w:r>
        <w:rPr>
          <w:color w:val="auto"/>
          <w:highlight w:val="none"/>
        </w:rPr>
        <w:t>70</w:t>
      </w:r>
      <w:r>
        <w:rPr>
          <w:color w:val="auto"/>
          <w:highlight w:val="none"/>
        </w:rPr>
        <w:fldChar w:fldCharType="end"/>
      </w:r>
      <w:r>
        <w:rPr>
          <w:rFonts w:hint="eastAsia" w:ascii="宋体" w:hAnsi="宋体" w:eastAsia="宋体" w:cs="宋体"/>
          <w:color w:val="auto"/>
          <w:szCs w:val="21"/>
          <w:highlight w:val="none"/>
        </w:rPr>
        <w:fldChar w:fldCharType="end"/>
      </w:r>
    </w:p>
    <w:p w14:paraId="10224C8D">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_Toc15855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格式七 投标人基本情况表</w:t>
      </w:r>
      <w:r>
        <w:rPr>
          <w:color w:val="auto"/>
          <w:highlight w:val="none"/>
        </w:rPr>
        <w:tab/>
      </w:r>
      <w:r>
        <w:rPr>
          <w:color w:val="auto"/>
          <w:highlight w:val="none"/>
        </w:rPr>
        <w:fldChar w:fldCharType="begin"/>
      </w:r>
      <w:r>
        <w:rPr>
          <w:color w:val="auto"/>
          <w:highlight w:val="none"/>
        </w:rPr>
        <w:instrText xml:space="preserve"> PAGEREF _Toc15855 \h </w:instrText>
      </w:r>
      <w:r>
        <w:rPr>
          <w:color w:val="auto"/>
          <w:highlight w:val="none"/>
        </w:rPr>
        <w:fldChar w:fldCharType="separate"/>
      </w:r>
      <w:r>
        <w:rPr>
          <w:color w:val="auto"/>
          <w:highlight w:val="none"/>
        </w:rPr>
        <w:t>71</w:t>
      </w:r>
      <w:r>
        <w:rPr>
          <w:color w:val="auto"/>
          <w:highlight w:val="none"/>
        </w:rPr>
        <w:fldChar w:fldCharType="end"/>
      </w:r>
      <w:r>
        <w:rPr>
          <w:rFonts w:hint="eastAsia" w:ascii="宋体" w:hAnsi="宋体" w:eastAsia="宋体" w:cs="宋体"/>
          <w:color w:val="auto"/>
          <w:szCs w:val="21"/>
          <w:highlight w:val="none"/>
        </w:rPr>
        <w:fldChar w:fldCharType="end"/>
      </w:r>
    </w:p>
    <w:p w14:paraId="5E85A666">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_Toc18786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格式八 项目经理简历表</w:t>
      </w:r>
      <w:r>
        <w:rPr>
          <w:color w:val="auto"/>
          <w:highlight w:val="none"/>
        </w:rPr>
        <w:tab/>
      </w:r>
      <w:r>
        <w:rPr>
          <w:color w:val="auto"/>
          <w:highlight w:val="none"/>
        </w:rPr>
        <w:fldChar w:fldCharType="begin"/>
      </w:r>
      <w:r>
        <w:rPr>
          <w:color w:val="auto"/>
          <w:highlight w:val="none"/>
        </w:rPr>
        <w:instrText xml:space="preserve"> PAGEREF _Toc18786 \h </w:instrText>
      </w:r>
      <w:r>
        <w:rPr>
          <w:color w:val="auto"/>
          <w:highlight w:val="none"/>
        </w:rPr>
        <w:fldChar w:fldCharType="separate"/>
      </w:r>
      <w:r>
        <w:rPr>
          <w:color w:val="auto"/>
          <w:highlight w:val="none"/>
        </w:rPr>
        <w:t>72</w:t>
      </w:r>
      <w:r>
        <w:rPr>
          <w:color w:val="auto"/>
          <w:highlight w:val="none"/>
        </w:rPr>
        <w:fldChar w:fldCharType="end"/>
      </w:r>
      <w:r>
        <w:rPr>
          <w:rFonts w:hint="eastAsia" w:ascii="宋体" w:hAnsi="宋体" w:eastAsia="宋体" w:cs="宋体"/>
          <w:color w:val="auto"/>
          <w:szCs w:val="21"/>
          <w:highlight w:val="none"/>
        </w:rPr>
        <w:fldChar w:fldCharType="end"/>
      </w:r>
    </w:p>
    <w:p w14:paraId="374BA218">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_Toc12898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格式九 项目经理任职声明</w:t>
      </w:r>
      <w:r>
        <w:rPr>
          <w:color w:val="auto"/>
          <w:highlight w:val="none"/>
        </w:rPr>
        <w:tab/>
      </w:r>
      <w:r>
        <w:rPr>
          <w:color w:val="auto"/>
          <w:highlight w:val="none"/>
        </w:rPr>
        <w:fldChar w:fldCharType="begin"/>
      </w:r>
      <w:r>
        <w:rPr>
          <w:color w:val="auto"/>
          <w:highlight w:val="none"/>
        </w:rPr>
        <w:instrText xml:space="preserve"> PAGEREF _Toc12898 \h </w:instrText>
      </w:r>
      <w:r>
        <w:rPr>
          <w:color w:val="auto"/>
          <w:highlight w:val="none"/>
        </w:rPr>
        <w:fldChar w:fldCharType="separate"/>
      </w:r>
      <w:r>
        <w:rPr>
          <w:color w:val="auto"/>
          <w:highlight w:val="none"/>
        </w:rPr>
        <w:t>73</w:t>
      </w:r>
      <w:r>
        <w:rPr>
          <w:color w:val="auto"/>
          <w:highlight w:val="none"/>
        </w:rPr>
        <w:fldChar w:fldCharType="end"/>
      </w:r>
      <w:r>
        <w:rPr>
          <w:rFonts w:hint="eastAsia" w:ascii="宋体" w:hAnsi="宋体" w:eastAsia="宋体" w:cs="宋体"/>
          <w:color w:val="auto"/>
          <w:szCs w:val="21"/>
          <w:highlight w:val="none"/>
        </w:rPr>
        <w:fldChar w:fldCharType="end"/>
      </w:r>
    </w:p>
    <w:p w14:paraId="31E7C173">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_Toc6986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格式十 项目技术负责人简历表</w:t>
      </w:r>
      <w:r>
        <w:rPr>
          <w:color w:val="auto"/>
          <w:highlight w:val="none"/>
        </w:rPr>
        <w:tab/>
      </w:r>
      <w:r>
        <w:rPr>
          <w:color w:val="auto"/>
          <w:highlight w:val="none"/>
        </w:rPr>
        <w:fldChar w:fldCharType="begin"/>
      </w:r>
      <w:r>
        <w:rPr>
          <w:color w:val="auto"/>
          <w:highlight w:val="none"/>
        </w:rPr>
        <w:instrText xml:space="preserve"> PAGEREF _Toc6986 \h </w:instrText>
      </w:r>
      <w:r>
        <w:rPr>
          <w:color w:val="auto"/>
          <w:highlight w:val="none"/>
        </w:rPr>
        <w:fldChar w:fldCharType="separate"/>
      </w:r>
      <w:r>
        <w:rPr>
          <w:color w:val="auto"/>
          <w:highlight w:val="none"/>
        </w:rPr>
        <w:t>74</w:t>
      </w:r>
      <w:r>
        <w:rPr>
          <w:color w:val="auto"/>
          <w:highlight w:val="none"/>
        </w:rPr>
        <w:fldChar w:fldCharType="end"/>
      </w:r>
      <w:r>
        <w:rPr>
          <w:rFonts w:hint="eastAsia" w:ascii="宋体" w:hAnsi="宋体" w:eastAsia="宋体" w:cs="宋体"/>
          <w:color w:val="auto"/>
          <w:szCs w:val="21"/>
          <w:highlight w:val="none"/>
        </w:rPr>
        <w:fldChar w:fldCharType="end"/>
      </w:r>
    </w:p>
    <w:p w14:paraId="5038DF36">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_Toc25360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格式十一 项目管理机构组成表</w:t>
      </w:r>
      <w:r>
        <w:rPr>
          <w:color w:val="auto"/>
          <w:highlight w:val="none"/>
        </w:rPr>
        <w:tab/>
      </w:r>
      <w:r>
        <w:rPr>
          <w:color w:val="auto"/>
          <w:highlight w:val="none"/>
        </w:rPr>
        <w:fldChar w:fldCharType="begin"/>
      </w:r>
      <w:r>
        <w:rPr>
          <w:color w:val="auto"/>
          <w:highlight w:val="none"/>
        </w:rPr>
        <w:instrText xml:space="preserve"> PAGEREF _Toc25360 \h </w:instrText>
      </w:r>
      <w:r>
        <w:rPr>
          <w:color w:val="auto"/>
          <w:highlight w:val="none"/>
        </w:rPr>
        <w:fldChar w:fldCharType="separate"/>
      </w:r>
      <w:r>
        <w:rPr>
          <w:color w:val="auto"/>
          <w:highlight w:val="none"/>
        </w:rPr>
        <w:t>75</w:t>
      </w:r>
      <w:r>
        <w:rPr>
          <w:color w:val="auto"/>
          <w:highlight w:val="none"/>
        </w:rPr>
        <w:fldChar w:fldCharType="end"/>
      </w:r>
      <w:r>
        <w:rPr>
          <w:rFonts w:hint="eastAsia" w:ascii="宋体" w:hAnsi="宋体" w:eastAsia="宋体" w:cs="宋体"/>
          <w:color w:val="auto"/>
          <w:szCs w:val="21"/>
          <w:highlight w:val="none"/>
        </w:rPr>
        <w:fldChar w:fldCharType="end"/>
      </w:r>
    </w:p>
    <w:p w14:paraId="531BFC43">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_Toc31152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格式十二 建造师查询页（有效期+建造师签字）</w:t>
      </w:r>
      <w:r>
        <w:rPr>
          <w:color w:val="auto"/>
          <w:highlight w:val="none"/>
        </w:rPr>
        <w:tab/>
      </w:r>
      <w:r>
        <w:rPr>
          <w:color w:val="auto"/>
          <w:highlight w:val="none"/>
        </w:rPr>
        <w:fldChar w:fldCharType="begin"/>
      </w:r>
      <w:r>
        <w:rPr>
          <w:color w:val="auto"/>
          <w:highlight w:val="none"/>
        </w:rPr>
        <w:instrText xml:space="preserve"> PAGEREF _Toc31152 \h </w:instrText>
      </w:r>
      <w:r>
        <w:rPr>
          <w:color w:val="auto"/>
          <w:highlight w:val="none"/>
        </w:rPr>
        <w:fldChar w:fldCharType="separate"/>
      </w:r>
      <w:r>
        <w:rPr>
          <w:color w:val="auto"/>
          <w:highlight w:val="none"/>
        </w:rPr>
        <w:t>76</w:t>
      </w:r>
      <w:r>
        <w:rPr>
          <w:color w:val="auto"/>
          <w:highlight w:val="none"/>
        </w:rPr>
        <w:fldChar w:fldCharType="end"/>
      </w:r>
      <w:r>
        <w:rPr>
          <w:rFonts w:hint="eastAsia" w:ascii="宋体" w:hAnsi="宋体" w:eastAsia="宋体" w:cs="宋体"/>
          <w:color w:val="auto"/>
          <w:szCs w:val="21"/>
          <w:highlight w:val="none"/>
        </w:rPr>
        <w:fldChar w:fldCharType="end"/>
      </w:r>
    </w:p>
    <w:p w14:paraId="69531A82">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_Toc19364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格式十三：</w:t>
      </w:r>
      <w:r>
        <w:rPr>
          <w:rFonts w:hint="eastAsia" w:ascii="宋体" w:hAnsi="宋体" w:eastAsia="宋体" w:cs="宋体"/>
          <w:bCs/>
          <w:color w:val="auto"/>
          <w:spacing w:val="7"/>
          <w:szCs w:val="22"/>
          <w:highlight w:val="none"/>
        </w:rPr>
        <w:t>危险性较大的分部分项工程清单及超过一定规模的危险性较大的</w:t>
      </w:r>
      <w:r>
        <w:rPr>
          <w:rFonts w:hint="eastAsia" w:ascii="宋体" w:hAnsi="宋体" w:eastAsia="宋体" w:cs="宋体"/>
          <w:bCs/>
          <w:color w:val="auto"/>
          <w:spacing w:val="5"/>
          <w:szCs w:val="22"/>
          <w:highlight w:val="none"/>
        </w:rPr>
        <w:t>分部分项工程清单</w:t>
      </w:r>
      <w:r>
        <w:rPr>
          <w:color w:val="auto"/>
          <w:highlight w:val="none"/>
        </w:rPr>
        <w:tab/>
      </w:r>
      <w:r>
        <w:rPr>
          <w:color w:val="auto"/>
          <w:highlight w:val="none"/>
        </w:rPr>
        <w:fldChar w:fldCharType="begin"/>
      </w:r>
      <w:r>
        <w:rPr>
          <w:color w:val="auto"/>
          <w:highlight w:val="none"/>
        </w:rPr>
        <w:instrText xml:space="preserve"> PAGEREF _Toc19364 \h </w:instrText>
      </w:r>
      <w:r>
        <w:rPr>
          <w:color w:val="auto"/>
          <w:highlight w:val="none"/>
        </w:rPr>
        <w:fldChar w:fldCharType="separate"/>
      </w:r>
      <w:r>
        <w:rPr>
          <w:color w:val="auto"/>
          <w:highlight w:val="none"/>
        </w:rPr>
        <w:t>78</w:t>
      </w:r>
      <w:r>
        <w:rPr>
          <w:color w:val="auto"/>
          <w:highlight w:val="none"/>
        </w:rPr>
        <w:fldChar w:fldCharType="end"/>
      </w:r>
      <w:r>
        <w:rPr>
          <w:rFonts w:hint="eastAsia" w:ascii="宋体" w:hAnsi="宋体" w:eastAsia="宋体" w:cs="宋体"/>
          <w:color w:val="auto"/>
          <w:szCs w:val="21"/>
          <w:highlight w:val="none"/>
        </w:rPr>
        <w:fldChar w:fldCharType="end"/>
      </w:r>
    </w:p>
    <w:p w14:paraId="2CC4CE0F">
      <w:pPr>
        <w:pStyle w:val="11"/>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_Toc13631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3"/>
          <w:szCs w:val="24"/>
          <w:highlight w:val="none"/>
        </w:rPr>
        <w:t>第七章</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建设工程施工合同</w:t>
      </w:r>
      <w:r>
        <w:rPr>
          <w:color w:val="auto"/>
          <w:highlight w:val="none"/>
        </w:rPr>
        <w:tab/>
      </w:r>
      <w:r>
        <w:rPr>
          <w:color w:val="auto"/>
          <w:highlight w:val="none"/>
        </w:rPr>
        <w:fldChar w:fldCharType="begin"/>
      </w:r>
      <w:r>
        <w:rPr>
          <w:color w:val="auto"/>
          <w:highlight w:val="none"/>
        </w:rPr>
        <w:instrText xml:space="preserve"> PAGEREF _Toc13631 \h </w:instrText>
      </w:r>
      <w:r>
        <w:rPr>
          <w:color w:val="auto"/>
          <w:highlight w:val="none"/>
        </w:rPr>
        <w:fldChar w:fldCharType="separate"/>
      </w:r>
      <w:r>
        <w:rPr>
          <w:color w:val="auto"/>
          <w:highlight w:val="none"/>
        </w:rPr>
        <w:t>83</w:t>
      </w:r>
      <w:r>
        <w:rPr>
          <w:color w:val="auto"/>
          <w:highlight w:val="none"/>
        </w:rPr>
        <w:fldChar w:fldCharType="end"/>
      </w:r>
      <w:r>
        <w:rPr>
          <w:rFonts w:hint="eastAsia" w:ascii="宋体" w:hAnsi="宋体" w:eastAsia="宋体" w:cs="宋体"/>
          <w:color w:val="auto"/>
          <w:szCs w:val="21"/>
          <w:highlight w:val="none"/>
        </w:rPr>
        <w:fldChar w:fldCharType="end"/>
      </w:r>
    </w:p>
    <w:p w14:paraId="31DBAE13">
      <w:pPr>
        <w:keepNext w:val="0"/>
        <w:keepLines w:val="0"/>
        <w:pageBreakBefore w:val="0"/>
        <w:widowControl w:val="0"/>
        <w:kinsoku/>
        <w:wordWrap w:val="0"/>
        <w:overflowPunct/>
        <w:topLinePunct/>
        <w:autoSpaceDE/>
        <w:autoSpaceDN/>
        <w:bidi w:val="0"/>
        <w:adjustRightInd w:val="0"/>
        <w:snapToGrid w:val="0"/>
        <w:spacing w:line="360" w:lineRule="auto"/>
        <w:ind w:right="84" w:rightChars="40"/>
        <w:jc w:val="center"/>
        <w:rPr>
          <w:rFonts w:hint="eastAsia" w:ascii="宋体" w:hAnsi="宋体" w:eastAsia="宋体" w:cs="宋体"/>
          <w:color w:val="auto"/>
          <w:sz w:val="21"/>
          <w:szCs w:val="21"/>
          <w:highlight w:val="none"/>
        </w:rPr>
        <w:sectPr>
          <w:headerReference r:id="rId4" w:type="default"/>
          <w:footerReference r:id="rId5" w:type="default"/>
          <w:pgSz w:w="11906" w:h="16839"/>
          <w:pgMar w:top="1440" w:right="1080" w:bottom="1440" w:left="1080" w:header="1200" w:footer="0" w:gutter="0"/>
          <w:pgBorders>
            <w:top w:val="none" w:sz="0" w:space="0"/>
            <w:left w:val="none" w:sz="0" w:space="0"/>
            <w:bottom w:val="none" w:sz="0" w:space="0"/>
            <w:right w:val="none" w:sz="0" w:space="0"/>
          </w:pgBorders>
          <w:pgNumType w:start="1"/>
          <w:cols w:space="720" w:num="1"/>
        </w:sectPr>
      </w:pPr>
      <w:r>
        <w:rPr>
          <w:rFonts w:hint="eastAsia" w:ascii="宋体" w:hAnsi="宋体" w:eastAsia="宋体" w:cs="宋体"/>
          <w:color w:val="auto"/>
          <w:szCs w:val="21"/>
          <w:highlight w:val="none"/>
        </w:rPr>
        <w:fldChar w:fldCharType="end"/>
      </w:r>
    </w:p>
    <w:p w14:paraId="7980CD54">
      <w:pPr>
        <w:keepNext w:val="0"/>
        <w:keepLines w:val="0"/>
        <w:pageBreakBefore w:val="0"/>
        <w:widowControl w:val="0"/>
        <w:kinsoku/>
        <w:wordWrap w:val="0"/>
        <w:overflowPunct/>
        <w:topLinePunct/>
        <w:autoSpaceDE/>
        <w:autoSpaceDN/>
        <w:bidi w:val="0"/>
        <w:adjustRightInd w:val="0"/>
        <w:snapToGrid w:val="0"/>
        <w:spacing w:line="360" w:lineRule="auto"/>
        <w:ind w:right="84" w:rightChars="40"/>
        <w:jc w:val="center"/>
        <w:rPr>
          <w:rFonts w:hint="eastAsia" w:ascii="宋体" w:hAnsi="宋体" w:eastAsia="宋体" w:cs="宋体"/>
          <w:color w:val="auto"/>
          <w:highlight w:val="none"/>
        </w:rPr>
      </w:pPr>
    </w:p>
    <w:p w14:paraId="58B6FF9E">
      <w:pPr>
        <w:keepNext w:val="0"/>
        <w:keepLines w:val="0"/>
        <w:pageBreakBefore w:val="0"/>
        <w:widowControl w:val="0"/>
        <w:kinsoku/>
        <w:wordWrap w:val="0"/>
        <w:overflowPunct/>
        <w:topLinePunct/>
        <w:autoSpaceDE/>
        <w:autoSpaceDN/>
        <w:bidi w:val="0"/>
        <w:adjustRightInd w:val="0"/>
        <w:snapToGrid w:val="0"/>
        <w:spacing w:before="78" w:line="219" w:lineRule="auto"/>
        <w:ind w:left="3416" w:right="84" w:rightChars="40"/>
        <w:outlineLvl w:val="0"/>
        <w:rPr>
          <w:rFonts w:hint="eastAsia" w:ascii="宋体" w:hAnsi="宋体" w:eastAsia="宋体" w:cs="宋体"/>
          <w:color w:val="auto"/>
          <w:sz w:val="24"/>
          <w:szCs w:val="24"/>
          <w:highlight w:val="none"/>
        </w:rPr>
      </w:pPr>
      <w:bookmarkStart w:id="0" w:name="bookmark1"/>
      <w:bookmarkEnd w:id="0"/>
      <w:bookmarkStart w:id="1" w:name="_Toc6565"/>
      <w:r>
        <w:rPr>
          <w:rFonts w:hint="eastAsia" w:ascii="宋体" w:hAnsi="宋体" w:eastAsia="宋体" w:cs="宋体"/>
          <w:b/>
          <w:bCs/>
          <w:color w:val="auto"/>
          <w:spacing w:val="-3"/>
          <w:sz w:val="24"/>
          <w:szCs w:val="24"/>
          <w:highlight w:val="none"/>
        </w:rPr>
        <w:t>第一章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w:t>
      </w:r>
      <w:bookmarkEnd w:id="1"/>
    </w:p>
    <w:p w14:paraId="6E5864C3">
      <w:pPr>
        <w:keepNext w:val="0"/>
        <w:keepLines w:val="0"/>
        <w:pageBreakBefore w:val="0"/>
        <w:widowControl w:val="0"/>
        <w:kinsoku/>
        <w:wordWrap w:val="0"/>
        <w:overflowPunct/>
        <w:topLinePunct/>
        <w:autoSpaceDE/>
        <w:autoSpaceDN/>
        <w:bidi w:val="0"/>
        <w:adjustRightInd w:val="0"/>
        <w:snapToGrid w:val="0"/>
        <w:spacing w:before="156" w:line="219" w:lineRule="auto"/>
        <w:ind w:left="17" w:right="84" w:rightChars="40"/>
        <w:outlineLvl w:val="1"/>
        <w:rPr>
          <w:rFonts w:hint="eastAsia" w:ascii="宋体" w:hAnsi="宋体" w:eastAsia="宋体" w:cs="宋体"/>
          <w:color w:val="auto"/>
          <w:sz w:val="24"/>
          <w:szCs w:val="24"/>
          <w:highlight w:val="none"/>
        </w:rPr>
      </w:pPr>
      <w:bookmarkStart w:id="2" w:name="bookmark3"/>
      <w:bookmarkEnd w:id="2"/>
      <w:bookmarkStart w:id="3" w:name="_Toc15144"/>
      <w:r>
        <w:rPr>
          <w:rFonts w:hint="eastAsia" w:ascii="宋体" w:hAnsi="宋体" w:eastAsia="宋体" w:cs="宋体"/>
          <w:b/>
          <w:bCs/>
          <w:color w:val="auto"/>
          <w:spacing w:val="-3"/>
          <w:sz w:val="24"/>
          <w:szCs w:val="24"/>
          <w:highlight w:val="none"/>
        </w:rPr>
        <w:t>第一节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投标人须知前附表</w:t>
      </w:r>
      <w:bookmarkEnd w:id="3"/>
    </w:p>
    <w:p w14:paraId="649DA348">
      <w:pPr>
        <w:keepNext w:val="0"/>
        <w:keepLines w:val="0"/>
        <w:pageBreakBefore w:val="0"/>
        <w:widowControl w:val="0"/>
        <w:kinsoku/>
        <w:wordWrap w:val="0"/>
        <w:overflowPunct/>
        <w:topLinePunct/>
        <w:autoSpaceDE/>
        <w:autoSpaceDN/>
        <w:bidi w:val="0"/>
        <w:adjustRightInd w:val="0"/>
        <w:snapToGrid w:val="0"/>
        <w:spacing w:before="25"/>
        <w:ind w:right="84" w:rightChars="40"/>
        <w:rPr>
          <w:rFonts w:hint="eastAsia" w:ascii="宋体" w:hAnsi="宋体" w:eastAsia="宋体" w:cs="宋体"/>
          <w:color w:val="auto"/>
          <w:highlight w:val="none"/>
        </w:rPr>
      </w:pPr>
    </w:p>
    <w:tbl>
      <w:tblPr>
        <w:tblStyle w:val="15"/>
        <w:tblW w:w="1005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9"/>
        <w:gridCol w:w="1860"/>
        <w:gridCol w:w="7575"/>
      </w:tblGrid>
      <w:tr w14:paraId="48CAF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3" w:hRule="atLeast"/>
        </w:trPr>
        <w:tc>
          <w:tcPr>
            <w:tcW w:w="619" w:type="dxa"/>
            <w:vAlign w:val="top"/>
          </w:tcPr>
          <w:p w14:paraId="3770DBC6">
            <w:pPr>
              <w:keepNext w:val="0"/>
              <w:keepLines w:val="0"/>
              <w:pageBreakBefore w:val="0"/>
              <w:widowControl w:val="0"/>
              <w:kinsoku/>
              <w:wordWrap w:val="0"/>
              <w:overflowPunct/>
              <w:topLinePunct/>
              <w:autoSpaceDE/>
              <w:autoSpaceDN/>
              <w:bidi w:val="0"/>
              <w:adjustRightInd w:val="0"/>
              <w:snapToGrid w:val="0"/>
              <w:spacing w:before="203" w:line="209" w:lineRule="auto"/>
              <w:ind w:left="0" w:leftChars="0" w:right="84" w:rightChars="40" w:firstLine="0" w:firstLineChars="0"/>
              <w:jc w:val="center"/>
              <w:rPr>
                <w:rFonts w:hint="eastAsia" w:asciiTheme="minorEastAsia" w:hAnsiTheme="minorEastAsia" w:eastAsiaTheme="minorEastAsia" w:cstheme="minorEastAsia"/>
                <w:color w:val="auto"/>
                <w:sz w:val="24"/>
                <w:szCs w:val="24"/>
                <w:highlight w:val="none"/>
                <w:lang w:val="en-US" w:eastAsia="zh-CN"/>
              </w:rPr>
            </w:pPr>
            <w:bookmarkStart w:id="4" w:name="bookmark115"/>
            <w:bookmarkEnd w:id="4"/>
            <w:r>
              <w:rPr>
                <w:rFonts w:hint="eastAsia" w:asciiTheme="minorEastAsia" w:hAnsiTheme="minorEastAsia" w:eastAsiaTheme="minorEastAsia" w:cstheme="minorEastAsia"/>
                <w:color w:val="auto"/>
                <w:sz w:val="24"/>
                <w:szCs w:val="24"/>
                <w:highlight w:val="none"/>
                <w:lang w:val="en-US" w:eastAsia="zh-CN"/>
              </w:rPr>
              <w:t>序号</w:t>
            </w:r>
          </w:p>
        </w:tc>
        <w:tc>
          <w:tcPr>
            <w:tcW w:w="1860" w:type="dxa"/>
            <w:vAlign w:val="center"/>
          </w:tcPr>
          <w:p w14:paraId="736CDC72">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内容</w:t>
            </w:r>
          </w:p>
        </w:tc>
        <w:tc>
          <w:tcPr>
            <w:tcW w:w="7575" w:type="dxa"/>
            <w:vAlign w:val="center"/>
          </w:tcPr>
          <w:p w14:paraId="2044CE66">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说明与要求</w:t>
            </w:r>
          </w:p>
        </w:tc>
      </w:tr>
      <w:tr w14:paraId="635FF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11AACD86">
            <w:pPr>
              <w:keepNext w:val="0"/>
              <w:keepLines w:val="0"/>
              <w:pageBreakBefore w:val="0"/>
              <w:widowControl w:val="0"/>
              <w:kinsoku/>
              <w:wordWrap w:val="0"/>
              <w:overflowPunct/>
              <w:topLinePunct/>
              <w:autoSpaceDE/>
              <w:autoSpaceDN/>
              <w:bidi w:val="0"/>
              <w:adjustRightInd w:val="0"/>
              <w:snapToGrid w:val="0"/>
              <w:spacing w:before="223" w:line="195" w:lineRule="auto"/>
              <w:ind w:right="84" w:rightChars="40"/>
              <w:jc w:val="center"/>
              <w:rPr>
                <w:rFonts w:hint="eastAsia" w:asciiTheme="minorEastAsia" w:hAnsiTheme="minorEastAsia" w:eastAsiaTheme="minorEastAsia" w:cstheme="minorEastAsia"/>
                <w:color w:val="auto"/>
                <w:sz w:val="24"/>
                <w:szCs w:val="24"/>
                <w:highlight w:val="none"/>
              </w:rPr>
            </w:pPr>
            <w:bookmarkStart w:id="5" w:name="OLE_LINK2" w:colFirst="2" w:colLast="2"/>
            <w:r>
              <w:rPr>
                <w:rFonts w:hint="eastAsia" w:asciiTheme="minorEastAsia" w:hAnsiTheme="minorEastAsia" w:eastAsiaTheme="minorEastAsia" w:cstheme="minorEastAsia"/>
                <w:color w:val="auto"/>
                <w:sz w:val="24"/>
                <w:szCs w:val="24"/>
                <w:highlight w:val="none"/>
              </w:rPr>
              <w:t>1</w:t>
            </w:r>
          </w:p>
        </w:tc>
        <w:tc>
          <w:tcPr>
            <w:tcW w:w="1860" w:type="dxa"/>
            <w:vAlign w:val="center"/>
          </w:tcPr>
          <w:p w14:paraId="57EE556D">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项目名称</w:t>
            </w:r>
          </w:p>
        </w:tc>
        <w:tc>
          <w:tcPr>
            <w:tcW w:w="7575" w:type="dxa"/>
            <w:vAlign w:val="center"/>
          </w:tcPr>
          <w:p w14:paraId="0E4797E6">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浈江区黄金村客运站场分布式屋顶光伏项目、浈江区南郊六公里力士通站场分布式屋顶光伏项目工程施工</w:t>
            </w:r>
          </w:p>
        </w:tc>
      </w:tr>
      <w:tr w14:paraId="1D9D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619" w:type="dxa"/>
            <w:vAlign w:val="center"/>
          </w:tcPr>
          <w:p w14:paraId="4CAFFC43">
            <w:pPr>
              <w:keepNext w:val="0"/>
              <w:keepLines w:val="0"/>
              <w:pageBreakBefore w:val="0"/>
              <w:widowControl w:val="0"/>
              <w:kinsoku/>
              <w:wordWrap w:val="0"/>
              <w:overflowPunct/>
              <w:topLinePunct/>
              <w:autoSpaceDE/>
              <w:autoSpaceDN/>
              <w:bidi w:val="0"/>
              <w:adjustRightInd w:val="0"/>
              <w:snapToGrid w:val="0"/>
              <w:spacing w:before="222"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p>
        </w:tc>
        <w:tc>
          <w:tcPr>
            <w:tcW w:w="1860" w:type="dxa"/>
            <w:vAlign w:val="center"/>
          </w:tcPr>
          <w:p w14:paraId="3DD3672C">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项目业主</w:t>
            </w:r>
          </w:p>
        </w:tc>
        <w:tc>
          <w:tcPr>
            <w:tcW w:w="7575" w:type="dxa"/>
            <w:vAlign w:val="center"/>
          </w:tcPr>
          <w:p w14:paraId="504663A5">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粤北能源投资（广东）有限公司</w:t>
            </w:r>
          </w:p>
        </w:tc>
      </w:tr>
      <w:tr w14:paraId="20CBD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0AF445DC">
            <w:pPr>
              <w:keepNext w:val="0"/>
              <w:keepLines w:val="0"/>
              <w:pageBreakBefore w:val="0"/>
              <w:widowControl w:val="0"/>
              <w:kinsoku/>
              <w:wordWrap w:val="0"/>
              <w:overflowPunct/>
              <w:topLinePunct/>
              <w:autoSpaceDE/>
              <w:autoSpaceDN/>
              <w:bidi w:val="0"/>
              <w:adjustRightInd w:val="0"/>
              <w:snapToGrid w:val="0"/>
              <w:spacing w:before="58"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p>
        </w:tc>
        <w:tc>
          <w:tcPr>
            <w:tcW w:w="1860" w:type="dxa"/>
            <w:vAlign w:val="center"/>
          </w:tcPr>
          <w:p w14:paraId="30094D91">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项目批准部门及项目批准文号</w:t>
            </w:r>
          </w:p>
        </w:tc>
        <w:tc>
          <w:tcPr>
            <w:tcW w:w="7575" w:type="dxa"/>
            <w:vAlign w:val="center"/>
          </w:tcPr>
          <w:p w14:paraId="2EC81498">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default"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韶关市发展和改革局；/</w:t>
            </w:r>
          </w:p>
        </w:tc>
      </w:tr>
      <w:tr w14:paraId="1117D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trPr>
        <w:tc>
          <w:tcPr>
            <w:tcW w:w="619" w:type="dxa"/>
            <w:vAlign w:val="center"/>
          </w:tcPr>
          <w:p w14:paraId="23A16513">
            <w:pPr>
              <w:keepNext w:val="0"/>
              <w:keepLines w:val="0"/>
              <w:pageBreakBefore w:val="0"/>
              <w:widowControl w:val="0"/>
              <w:kinsoku/>
              <w:wordWrap w:val="0"/>
              <w:overflowPunct/>
              <w:topLinePunct/>
              <w:autoSpaceDE/>
              <w:autoSpaceDN/>
              <w:bidi w:val="0"/>
              <w:adjustRightInd w:val="0"/>
              <w:snapToGrid w:val="0"/>
              <w:spacing w:before="225"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4</w:t>
            </w:r>
          </w:p>
        </w:tc>
        <w:tc>
          <w:tcPr>
            <w:tcW w:w="1860" w:type="dxa"/>
            <w:vAlign w:val="center"/>
          </w:tcPr>
          <w:p w14:paraId="5256AA0F">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建设地点</w:t>
            </w:r>
          </w:p>
        </w:tc>
        <w:tc>
          <w:tcPr>
            <w:tcW w:w="7575" w:type="dxa"/>
            <w:tcMar>
              <w:top w:w="0" w:type="dxa"/>
              <w:left w:w="0" w:type="dxa"/>
              <w:bottom w:w="0" w:type="dxa"/>
              <w:right w:w="0" w:type="dxa"/>
            </w:tcMar>
            <w:vAlign w:val="center"/>
          </w:tcPr>
          <w:p w14:paraId="6299E14E">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韶关市浈江区</w:t>
            </w:r>
          </w:p>
        </w:tc>
      </w:tr>
      <w:tr w14:paraId="6CBE7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trPr>
        <w:tc>
          <w:tcPr>
            <w:tcW w:w="619" w:type="dxa"/>
            <w:vAlign w:val="center"/>
          </w:tcPr>
          <w:p w14:paraId="2EEBF6D3">
            <w:pPr>
              <w:keepNext w:val="0"/>
              <w:keepLines w:val="0"/>
              <w:pageBreakBefore w:val="0"/>
              <w:widowControl w:val="0"/>
              <w:kinsoku/>
              <w:wordWrap w:val="0"/>
              <w:overflowPunct/>
              <w:topLinePunct/>
              <w:autoSpaceDE/>
              <w:autoSpaceDN/>
              <w:bidi w:val="0"/>
              <w:adjustRightInd w:val="0"/>
              <w:snapToGrid w:val="0"/>
              <w:spacing w:before="226" w:line="192"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w:t>
            </w:r>
          </w:p>
        </w:tc>
        <w:tc>
          <w:tcPr>
            <w:tcW w:w="1860" w:type="dxa"/>
            <w:vAlign w:val="center"/>
          </w:tcPr>
          <w:p w14:paraId="4C8648B9">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项目代码</w:t>
            </w:r>
          </w:p>
        </w:tc>
        <w:tc>
          <w:tcPr>
            <w:tcW w:w="7575" w:type="dxa"/>
            <w:vAlign w:val="center"/>
          </w:tcPr>
          <w:p w14:paraId="14C35DD1">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2502-440204-04-01-451549;2502-440204-04-01-723112</w:t>
            </w:r>
          </w:p>
        </w:tc>
      </w:tr>
      <w:tr w14:paraId="46E0E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290FE8B9">
            <w:pPr>
              <w:keepNext w:val="0"/>
              <w:keepLines w:val="0"/>
              <w:pageBreakBefore w:val="0"/>
              <w:widowControl w:val="0"/>
              <w:kinsoku/>
              <w:wordWrap w:val="0"/>
              <w:overflowPunct/>
              <w:topLinePunct/>
              <w:autoSpaceDE/>
              <w:autoSpaceDN/>
              <w:bidi w:val="0"/>
              <w:adjustRightInd w:val="0"/>
              <w:snapToGrid w:val="0"/>
              <w:spacing w:before="58"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w:t>
            </w:r>
          </w:p>
        </w:tc>
        <w:tc>
          <w:tcPr>
            <w:tcW w:w="1860" w:type="dxa"/>
            <w:vAlign w:val="center"/>
          </w:tcPr>
          <w:p w14:paraId="482A66C0">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资金来源及落实</w:t>
            </w:r>
          </w:p>
          <w:p w14:paraId="46B94AB7">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情况</w:t>
            </w:r>
          </w:p>
        </w:tc>
        <w:tc>
          <w:tcPr>
            <w:tcW w:w="7575" w:type="dxa"/>
            <w:vAlign w:val="center"/>
          </w:tcPr>
          <w:p w14:paraId="6A6D3995">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企业自筹，100%</w:t>
            </w:r>
          </w:p>
        </w:tc>
      </w:tr>
      <w:tr w14:paraId="0492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619" w:type="dxa"/>
            <w:vAlign w:val="center"/>
          </w:tcPr>
          <w:p w14:paraId="056FB6A2">
            <w:pPr>
              <w:keepNext w:val="0"/>
              <w:keepLines w:val="0"/>
              <w:pageBreakBefore w:val="0"/>
              <w:widowControl w:val="0"/>
              <w:kinsoku/>
              <w:wordWrap w:val="0"/>
              <w:overflowPunct/>
              <w:topLinePunct/>
              <w:autoSpaceDE/>
              <w:autoSpaceDN/>
              <w:bidi w:val="0"/>
              <w:adjustRightInd w:val="0"/>
              <w:snapToGrid w:val="0"/>
              <w:spacing w:before="228" w:line="192"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w:t>
            </w:r>
          </w:p>
        </w:tc>
        <w:tc>
          <w:tcPr>
            <w:tcW w:w="1860" w:type="dxa"/>
            <w:vAlign w:val="center"/>
          </w:tcPr>
          <w:p w14:paraId="5144FC72">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招标人</w:t>
            </w:r>
          </w:p>
        </w:tc>
        <w:tc>
          <w:tcPr>
            <w:tcW w:w="7575" w:type="dxa"/>
            <w:vAlign w:val="center"/>
          </w:tcPr>
          <w:p w14:paraId="7214D140">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粤北能源投资（广东）有限公司</w:t>
            </w:r>
          </w:p>
        </w:tc>
      </w:tr>
      <w:tr w14:paraId="4FF36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619" w:type="dxa"/>
            <w:vAlign w:val="center"/>
          </w:tcPr>
          <w:p w14:paraId="22DE477E">
            <w:pPr>
              <w:keepNext w:val="0"/>
              <w:keepLines w:val="0"/>
              <w:pageBreakBefore w:val="0"/>
              <w:widowControl w:val="0"/>
              <w:kinsoku/>
              <w:wordWrap w:val="0"/>
              <w:overflowPunct/>
              <w:topLinePunct/>
              <w:autoSpaceDE/>
              <w:autoSpaceDN/>
              <w:bidi w:val="0"/>
              <w:adjustRightInd w:val="0"/>
              <w:snapToGrid w:val="0"/>
              <w:spacing w:before="224"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8</w:t>
            </w:r>
          </w:p>
        </w:tc>
        <w:tc>
          <w:tcPr>
            <w:tcW w:w="1860" w:type="dxa"/>
            <w:vAlign w:val="center"/>
          </w:tcPr>
          <w:p w14:paraId="6CFC868D">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招标代理机构</w:t>
            </w:r>
          </w:p>
        </w:tc>
        <w:tc>
          <w:tcPr>
            <w:tcW w:w="7575" w:type="dxa"/>
            <w:vAlign w:val="center"/>
          </w:tcPr>
          <w:p w14:paraId="2F7C41F6">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韶关市建韶工程造价咨询有限公司</w:t>
            </w:r>
          </w:p>
        </w:tc>
      </w:tr>
      <w:tr w14:paraId="4803C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trPr>
        <w:tc>
          <w:tcPr>
            <w:tcW w:w="619" w:type="dxa"/>
            <w:vAlign w:val="center"/>
          </w:tcPr>
          <w:p w14:paraId="7785D969">
            <w:pPr>
              <w:keepNext w:val="0"/>
              <w:keepLines w:val="0"/>
              <w:pageBreakBefore w:val="0"/>
              <w:widowControl w:val="0"/>
              <w:kinsoku/>
              <w:wordWrap w:val="0"/>
              <w:overflowPunct/>
              <w:topLinePunct/>
              <w:autoSpaceDE/>
              <w:autoSpaceDN/>
              <w:bidi w:val="0"/>
              <w:adjustRightInd w:val="0"/>
              <w:snapToGrid w:val="0"/>
              <w:spacing w:before="225"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w:t>
            </w:r>
          </w:p>
        </w:tc>
        <w:tc>
          <w:tcPr>
            <w:tcW w:w="1860" w:type="dxa"/>
            <w:vAlign w:val="center"/>
          </w:tcPr>
          <w:p w14:paraId="24A64A39">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设计单位</w:t>
            </w:r>
          </w:p>
        </w:tc>
        <w:tc>
          <w:tcPr>
            <w:tcW w:w="7575" w:type="dxa"/>
            <w:vAlign w:val="center"/>
          </w:tcPr>
          <w:p w14:paraId="16945A01">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广东联网电力股份有限公司</w:t>
            </w:r>
          </w:p>
        </w:tc>
      </w:tr>
      <w:bookmarkEnd w:id="5"/>
      <w:tr w14:paraId="4DA0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4C99D2C2">
            <w:pPr>
              <w:keepNext w:val="0"/>
              <w:keepLines w:val="0"/>
              <w:pageBreakBefore w:val="0"/>
              <w:widowControl w:val="0"/>
              <w:kinsoku/>
              <w:wordWrap w:val="0"/>
              <w:overflowPunct/>
              <w:topLinePunct/>
              <w:autoSpaceDE/>
              <w:autoSpaceDN/>
              <w:bidi w:val="0"/>
              <w:adjustRightInd w:val="0"/>
              <w:snapToGrid w:val="0"/>
              <w:spacing w:before="245"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10</w:t>
            </w:r>
          </w:p>
        </w:tc>
        <w:tc>
          <w:tcPr>
            <w:tcW w:w="1860" w:type="dxa"/>
            <w:vAlign w:val="center"/>
          </w:tcPr>
          <w:p w14:paraId="2827276C">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造价咨询单位</w:t>
            </w:r>
          </w:p>
        </w:tc>
        <w:tc>
          <w:tcPr>
            <w:tcW w:w="7575" w:type="dxa"/>
            <w:vAlign w:val="center"/>
          </w:tcPr>
          <w:p w14:paraId="3ED6393E">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eastAsia="zh-CN"/>
              </w:rPr>
              <w:t>□非全过程造价咨询</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☑全过程造价咨询</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p>
        </w:tc>
      </w:tr>
      <w:tr w14:paraId="7447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3C4734B7">
            <w:pPr>
              <w:keepNext w:val="0"/>
              <w:keepLines w:val="0"/>
              <w:pageBreakBefore w:val="0"/>
              <w:widowControl w:val="0"/>
              <w:kinsoku/>
              <w:wordWrap w:val="0"/>
              <w:overflowPunct/>
              <w:topLinePunct/>
              <w:autoSpaceDE/>
              <w:autoSpaceDN/>
              <w:bidi w:val="0"/>
              <w:adjustRightInd w:val="0"/>
              <w:snapToGrid w:val="0"/>
              <w:spacing w:before="242"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11</w:t>
            </w:r>
          </w:p>
        </w:tc>
        <w:tc>
          <w:tcPr>
            <w:tcW w:w="1860" w:type="dxa"/>
            <w:vAlign w:val="center"/>
          </w:tcPr>
          <w:p w14:paraId="4C200C4F">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监理单位</w:t>
            </w:r>
          </w:p>
        </w:tc>
        <w:tc>
          <w:tcPr>
            <w:tcW w:w="7575" w:type="dxa"/>
            <w:vAlign w:val="center"/>
          </w:tcPr>
          <w:p w14:paraId="26628F37">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□已确定监理单位</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☑未确定监理单位</w:t>
            </w:r>
          </w:p>
        </w:tc>
      </w:tr>
      <w:tr w14:paraId="145A0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5434E158">
            <w:pPr>
              <w:keepNext w:val="0"/>
              <w:keepLines w:val="0"/>
              <w:pageBreakBefore w:val="0"/>
              <w:widowControl w:val="0"/>
              <w:kinsoku/>
              <w:wordWrap w:val="0"/>
              <w:overflowPunct/>
              <w:topLinePunct/>
              <w:autoSpaceDE/>
              <w:autoSpaceDN/>
              <w:bidi w:val="0"/>
              <w:adjustRightInd w:val="0"/>
              <w:snapToGrid w:val="0"/>
              <w:spacing w:before="58"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lang w:eastAsia="zh-CN"/>
              </w:rPr>
              <w:t>1</w:t>
            </w:r>
            <w:r>
              <w:rPr>
                <w:rFonts w:hint="eastAsia" w:asciiTheme="minorEastAsia" w:hAnsiTheme="minorEastAsia" w:eastAsiaTheme="minorEastAsia" w:cstheme="minorEastAsia"/>
                <w:color w:val="auto"/>
                <w:spacing w:val="-8"/>
                <w:sz w:val="24"/>
                <w:szCs w:val="24"/>
                <w:highlight w:val="none"/>
              </w:rPr>
              <w:t>2</w:t>
            </w:r>
          </w:p>
        </w:tc>
        <w:tc>
          <w:tcPr>
            <w:tcW w:w="1860" w:type="dxa"/>
            <w:vAlign w:val="center"/>
          </w:tcPr>
          <w:p w14:paraId="25C95CA6">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建设内容和规模</w:t>
            </w:r>
          </w:p>
        </w:tc>
        <w:tc>
          <w:tcPr>
            <w:tcW w:w="7575" w:type="dxa"/>
            <w:vAlign w:val="center"/>
          </w:tcPr>
          <w:p w14:paraId="73768958">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default"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eastAsia="zh-CN"/>
              </w:rPr>
              <w:t>☑建设规模：</w:t>
            </w:r>
            <w:r>
              <w:rPr>
                <w:rFonts w:hint="eastAsia" w:asciiTheme="minorEastAsia" w:hAnsiTheme="minorEastAsia" w:eastAsiaTheme="minorEastAsia" w:cstheme="minorEastAsia"/>
                <w:snapToGrid w:val="0"/>
                <w:color w:val="auto"/>
                <w:kern w:val="0"/>
                <w:sz w:val="24"/>
                <w:szCs w:val="24"/>
                <w:highlight w:val="none"/>
                <w:lang w:val="en-US" w:eastAsia="zh-CN"/>
              </w:rPr>
              <w:t>建设规模为3936.72kWp。</w:t>
            </w:r>
          </w:p>
          <w:p w14:paraId="5D2CE9FC">
            <w:pPr>
              <w:pStyle w:val="22"/>
              <w:wordWrap w:val="0"/>
              <w:adjustRightInd w:val="0"/>
              <w:snapToGrid w:val="0"/>
              <w:spacing w:line="440" w:lineRule="atLeast"/>
              <w:ind w:firstLine="240" w:firstLineChars="100"/>
              <w:jc w:val="left"/>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☑建设内容：</w:t>
            </w:r>
            <w:r>
              <w:rPr>
                <w:rFonts w:hint="eastAsia" w:asciiTheme="minorEastAsia" w:hAnsiTheme="minorEastAsia" w:eastAsiaTheme="minorEastAsia" w:cstheme="minorEastAsia"/>
                <w:snapToGrid w:val="0"/>
                <w:color w:val="auto"/>
                <w:kern w:val="0"/>
                <w:sz w:val="24"/>
                <w:szCs w:val="24"/>
                <w:highlight w:val="none"/>
                <w:lang w:val="en-US" w:eastAsia="zh-CN"/>
              </w:rPr>
              <w:t>项目利用南郊六公里力士通站场屋顶、黄金村公交客运站车棚面积约 26818 平方米，建设分布式光伏项目。</w:t>
            </w:r>
          </w:p>
        </w:tc>
      </w:tr>
      <w:tr w14:paraId="67437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56E05903">
            <w:pPr>
              <w:keepNext w:val="0"/>
              <w:keepLines w:val="0"/>
              <w:pageBreakBefore w:val="0"/>
              <w:widowControl w:val="0"/>
              <w:kinsoku/>
              <w:wordWrap w:val="0"/>
              <w:overflowPunct/>
              <w:topLinePunct/>
              <w:autoSpaceDE/>
              <w:autoSpaceDN/>
              <w:bidi w:val="0"/>
              <w:adjustRightInd w:val="0"/>
              <w:snapToGrid w:val="0"/>
              <w:spacing w:before="57"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13</w:t>
            </w:r>
          </w:p>
        </w:tc>
        <w:tc>
          <w:tcPr>
            <w:tcW w:w="1860" w:type="dxa"/>
            <w:vAlign w:val="center"/>
          </w:tcPr>
          <w:p w14:paraId="1A043C8A">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项目总投资</w:t>
            </w:r>
          </w:p>
        </w:tc>
        <w:tc>
          <w:tcPr>
            <w:tcW w:w="7575" w:type="dxa"/>
            <w:vAlign w:val="center"/>
          </w:tcPr>
          <w:p w14:paraId="0A5C6A47">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项目总投资约1424万元，本次招标工程费约562万元。</w:t>
            </w:r>
          </w:p>
        </w:tc>
      </w:tr>
      <w:tr w14:paraId="494C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007F4074">
            <w:pPr>
              <w:keepNext w:val="0"/>
              <w:keepLines w:val="0"/>
              <w:pageBreakBefore w:val="0"/>
              <w:widowControl w:val="0"/>
              <w:kinsoku/>
              <w:wordWrap w:val="0"/>
              <w:overflowPunct/>
              <w:topLinePunct/>
              <w:autoSpaceDE/>
              <w:autoSpaceDN/>
              <w:bidi w:val="0"/>
              <w:adjustRightInd w:val="0"/>
              <w:snapToGrid w:val="0"/>
              <w:spacing w:before="58"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14</w:t>
            </w:r>
          </w:p>
        </w:tc>
        <w:tc>
          <w:tcPr>
            <w:tcW w:w="1860" w:type="dxa"/>
            <w:vAlign w:val="center"/>
          </w:tcPr>
          <w:p w14:paraId="1DB12477">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招标范围</w:t>
            </w:r>
          </w:p>
        </w:tc>
        <w:tc>
          <w:tcPr>
            <w:tcW w:w="7575" w:type="dxa"/>
            <w:vAlign w:val="center"/>
          </w:tcPr>
          <w:p w14:paraId="77A91537">
            <w:pPr>
              <w:pStyle w:val="22"/>
              <w:keepNext w:val="0"/>
              <w:keepLines w:val="0"/>
              <w:pageBreakBefore w:val="0"/>
              <w:widowControl w:val="0"/>
              <w:kinsoku/>
              <w:wordWrap w:val="0"/>
              <w:overflowPunct/>
              <w:topLinePunct/>
              <w:autoSpaceDE/>
              <w:autoSpaceDN/>
              <w:bidi w:val="0"/>
              <w:adjustRightInd w:val="0"/>
              <w:snapToGrid w:val="0"/>
              <w:spacing w:line="440" w:lineRule="atLeast"/>
              <w:ind w:firstLine="241" w:firstLineChars="100"/>
              <w:jc w:val="left"/>
              <w:textAlignment w:val="auto"/>
              <w:rPr>
                <w:rFonts w:hint="eastAsia"/>
                <w:snapToGrid w:val="0"/>
                <w:color w:val="auto"/>
                <w:kern w:val="0"/>
                <w:sz w:val="24"/>
                <w:highlight w:val="none"/>
              </w:rPr>
            </w:pPr>
            <w:r>
              <w:rPr>
                <w:rFonts w:hint="eastAsia"/>
                <w:b/>
                <w:bCs/>
                <w:snapToGrid w:val="0"/>
                <w:color w:val="auto"/>
                <w:kern w:val="0"/>
                <w:sz w:val="24"/>
                <w:highlight w:val="none"/>
              </w:rPr>
              <w:t>工程</w:t>
            </w:r>
            <w:r>
              <w:rPr>
                <w:rFonts w:hint="eastAsia"/>
                <w:b/>
                <w:bCs/>
                <w:snapToGrid w:val="0"/>
                <w:color w:val="auto"/>
                <w:kern w:val="0"/>
                <w:sz w:val="24"/>
                <w:highlight w:val="none"/>
                <w:lang w:val="en-US" w:eastAsia="zh-CN"/>
              </w:rPr>
              <w:t>建设</w:t>
            </w:r>
            <w:r>
              <w:rPr>
                <w:rFonts w:hint="eastAsia"/>
                <w:b/>
                <w:bCs/>
                <w:snapToGrid w:val="0"/>
                <w:color w:val="auto"/>
                <w:kern w:val="0"/>
                <w:sz w:val="24"/>
                <w:highlight w:val="none"/>
              </w:rPr>
              <w:t>：</w:t>
            </w:r>
            <w:r>
              <w:rPr>
                <w:rFonts w:hint="eastAsia"/>
                <w:snapToGrid w:val="0"/>
                <w:color w:val="auto"/>
                <w:kern w:val="0"/>
                <w:sz w:val="24"/>
                <w:highlight w:val="none"/>
              </w:rPr>
              <w:t>包括</w:t>
            </w:r>
            <w:r>
              <w:rPr>
                <w:rFonts w:hint="eastAsia"/>
                <w:snapToGrid w:val="0"/>
                <w:color w:val="auto"/>
                <w:kern w:val="0"/>
                <w:sz w:val="24"/>
                <w:highlight w:val="none"/>
                <w:lang w:val="en-US" w:eastAsia="zh-CN"/>
              </w:rPr>
              <w:t>但</w:t>
            </w:r>
            <w:r>
              <w:rPr>
                <w:rFonts w:hint="eastAsia"/>
                <w:snapToGrid w:val="0"/>
                <w:color w:val="auto"/>
                <w:kern w:val="0"/>
                <w:sz w:val="24"/>
                <w:highlight w:val="none"/>
              </w:rPr>
              <w:t>不限于现场施工、设备安装（包括并网柜、汇流箱、</w:t>
            </w:r>
            <w:r>
              <w:rPr>
                <w:rFonts w:hint="eastAsia" w:ascii="Times New Roman" w:hAnsi="Times New Roman" w:cs="Times New Roman"/>
                <w:snapToGrid w:val="0"/>
                <w:color w:val="auto"/>
                <w:kern w:val="0"/>
                <w:sz w:val="24"/>
                <w:highlight w:val="none"/>
                <w:lang w:val="en-US" w:eastAsia="zh-CN"/>
              </w:rPr>
              <w:t>计量柜、光伏组件、逆变器</w:t>
            </w:r>
            <w:r>
              <w:rPr>
                <w:rFonts w:hint="eastAsia" w:cs="Times New Roman"/>
                <w:snapToGrid w:val="0"/>
                <w:color w:val="auto"/>
                <w:kern w:val="0"/>
                <w:sz w:val="24"/>
                <w:highlight w:val="none"/>
                <w:lang w:val="en-US" w:eastAsia="zh-CN"/>
              </w:rPr>
              <w:t>、电缆</w:t>
            </w:r>
            <w:r>
              <w:rPr>
                <w:rFonts w:hint="eastAsia" w:ascii="Times New Roman" w:hAnsi="Times New Roman" w:cs="Times New Roman"/>
                <w:snapToGrid w:val="0"/>
                <w:color w:val="auto"/>
                <w:kern w:val="0"/>
                <w:sz w:val="24"/>
                <w:highlight w:val="none"/>
                <w:lang w:val="en-US" w:eastAsia="zh-CN"/>
              </w:rPr>
              <w:t>等与本工程相关的所有配电设备安装，主要材料甲供）、管理、试验及相关鉴定测试、系统调试、试运营、竣工验收、完成并网发电要求，质量缺陷责任期内的技术服务与缺陷修复、投入使用、保修期的保修工作等全部工程实施内容。</w:t>
            </w:r>
          </w:p>
          <w:p w14:paraId="3878A22D">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b/>
                <w:bCs/>
                <w:snapToGrid w:val="0"/>
                <w:color w:val="auto"/>
                <w:kern w:val="0"/>
                <w:sz w:val="24"/>
                <w:highlight w:val="none"/>
              </w:rPr>
              <w:t>其他：</w:t>
            </w:r>
            <w:r>
              <w:rPr>
                <w:rFonts w:hint="eastAsia"/>
                <w:snapToGrid w:val="0"/>
                <w:color w:val="auto"/>
                <w:kern w:val="0"/>
                <w:sz w:val="24"/>
                <w:highlight w:val="none"/>
              </w:rPr>
              <w:t>项目备案至并网发电后整体交付使用和相关验收手续办理工作，期间一切手续办理及协调工作。</w:t>
            </w:r>
          </w:p>
        </w:tc>
      </w:tr>
      <w:tr w14:paraId="175A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19" w:type="dxa"/>
            <w:vAlign w:val="center"/>
          </w:tcPr>
          <w:p w14:paraId="7A3C2477">
            <w:pPr>
              <w:keepNext w:val="0"/>
              <w:keepLines w:val="0"/>
              <w:pageBreakBefore w:val="0"/>
              <w:widowControl w:val="0"/>
              <w:kinsoku/>
              <w:wordWrap w:val="0"/>
              <w:overflowPunct/>
              <w:topLinePunct/>
              <w:autoSpaceDE/>
              <w:autoSpaceDN/>
              <w:bidi w:val="0"/>
              <w:adjustRightInd w:val="0"/>
              <w:snapToGrid w:val="0"/>
              <w:spacing w:before="58"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15</w:t>
            </w:r>
          </w:p>
        </w:tc>
        <w:tc>
          <w:tcPr>
            <w:tcW w:w="1860" w:type="dxa"/>
            <w:vAlign w:val="center"/>
          </w:tcPr>
          <w:p w14:paraId="2A9BF732">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标段划分</w:t>
            </w:r>
          </w:p>
        </w:tc>
        <w:tc>
          <w:tcPr>
            <w:tcW w:w="7575" w:type="dxa"/>
            <w:vAlign w:val="center"/>
          </w:tcPr>
          <w:p w14:paraId="057BDE34">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 xml:space="preserve">本招标项目不划分标段。 </w:t>
            </w:r>
          </w:p>
        </w:tc>
      </w:tr>
      <w:tr w14:paraId="63D5E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6E91D00B">
            <w:pPr>
              <w:keepNext w:val="0"/>
              <w:keepLines w:val="0"/>
              <w:pageBreakBefore w:val="0"/>
              <w:widowControl w:val="0"/>
              <w:kinsoku/>
              <w:wordWrap w:val="0"/>
              <w:overflowPunct/>
              <w:topLinePunct/>
              <w:autoSpaceDE/>
              <w:autoSpaceDN/>
              <w:bidi w:val="0"/>
              <w:adjustRightInd w:val="0"/>
              <w:snapToGrid w:val="0"/>
              <w:spacing w:before="57" w:line="195" w:lineRule="auto"/>
              <w:ind w:right="84" w:rightChars="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pacing w:val="-8"/>
                <w:sz w:val="24"/>
                <w:szCs w:val="24"/>
                <w:highlight w:val="none"/>
              </w:rPr>
              <w:t>16</w:t>
            </w:r>
          </w:p>
        </w:tc>
        <w:tc>
          <w:tcPr>
            <w:tcW w:w="1860" w:type="dxa"/>
            <w:vAlign w:val="center"/>
          </w:tcPr>
          <w:p w14:paraId="1EC46E91">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工期</w:t>
            </w:r>
          </w:p>
        </w:tc>
        <w:tc>
          <w:tcPr>
            <w:tcW w:w="7575" w:type="dxa"/>
            <w:vAlign w:val="top"/>
          </w:tcPr>
          <w:p w14:paraId="4FAA2EA9">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本招标项目招标工期为</w:t>
            </w:r>
            <w:r>
              <w:rPr>
                <w:rFonts w:hint="eastAsia" w:asciiTheme="minorEastAsia" w:hAnsiTheme="minorEastAsia" w:eastAsiaTheme="minorEastAsia" w:cstheme="minorEastAsia"/>
                <w:snapToGrid w:val="0"/>
                <w:color w:val="auto"/>
                <w:kern w:val="0"/>
                <w:sz w:val="24"/>
                <w:szCs w:val="24"/>
                <w:highlight w:val="none"/>
                <w:lang w:val="en-US" w:eastAsia="zh-CN"/>
              </w:rPr>
              <w:t>180个日历天</w:t>
            </w:r>
            <w:r>
              <w:rPr>
                <w:rFonts w:hint="eastAsia" w:asciiTheme="minorEastAsia" w:hAnsiTheme="minorEastAsia" w:eastAsiaTheme="minorEastAsia" w:cstheme="minorEastAsia"/>
                <w:snapToGrid w:val="0"/>
                <w:color w:val="auto"/>
                <w:kern w:val="0"/>
                <w:sz w:val="24"/>
                <w:szCs w:val="24"/>
                <w:highlight w:val="none"/>
                <w:lang w:eastAsia="zh-CN"/>
              </w:rPr>
              <w:t>。具体如下：</w:t>
            </w:r>
          </w:p>
          <w:p w14:paraId="63F3C798">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☑总工期：</w:t>
            </w:r>
            <w:r>
              <w:rPr>
                <w:rFonts w:hint="eastAsia" w:asciiTheme="minorEastAsia" w:hAnsiTheme="minorEastAsia" w:eastAsiaTheme="minorEastAsia" w:cstheme="minorEastAsia"/>
                <w:snapToGrid w:val="0"/>
                <w:color w:val="auto"/>
                <w:kern w:val="0"/>
                <w:sz w:val="24"/>
                <w:szCs w:val="24"/>
                <w:highlight w:val="none"/>
                <w:lang w:val="en-US" w:eastAsia="zh-CN"/>
              </w:rPr>
              <w:t>180</w:t>
            </w:r>
            <w:r>
              <w:rPr>
                <w:rFonts w:hint="eastAsia" w:asciiTheme="minorEastAsia" w:hAnsiTheme="minorEastAsia" w:eastAsiaTheme="minorEastAsia" w:cstheme="minorEastAsia"/>
                <w:snapToGrid w:val="0"/>
                <w:color w:val="auto"/>
                <w:kern w:val="0"/>
                <w:sz w:val="24"/>
                <w:szCs w:val="24"/>
                <w:highlight w:val="none"/>
                <w:lang w:eastAsia="zh-CN"/>
              </w:rPr>
              <w:t>天 （日历天）。</w:t>
            </w:r>
          </w:p>
          <w:p w14:paraId="7D497AE3">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□计划开工日期：</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年</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月</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日（具体开工日期以合同为准）</w:t>
            </w:r>
          </w:p>
          <w:p w14:paraId="379EFFF3">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□计划竣工日期：</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年</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月</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日</w:t>
            </w:r>
          </w:p>
          <w:p w14:paraId="2F46124F">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 xml:space="preserve">□除上述总工期外，发包人还要求以下阶段工期：        </w:t>
            </w:r>
          </w:p>
        </w:tc>
      </w:tr>
      <w:tr w14:paraId="654C3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20CAF319">
            <w:pPr>
              <w:keepNext w:val="0"/>
              <w:keepLines w:val="0"/>
              <w:pageBreakBefore w:val="0"/>
              <w:widowControl w:val="0"/>
              <w:kinsoku/>
              <w:wordWrap w:val="0"/>
              <w:overflowPunct/>
              <w:topLinePunct/>
              <w:autoSpaceDE/>
              <w:autoSpaceDN/>
              <w:bidi w:val="0"/>
              <w:adjustRightInd w:val="0"/>
              <w:snapToGrid w:val="0"/>
              <w:spacing w:before="57"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17</w:t>
            </w:r>
          </w:p>
        </w:tc>
        <w:tc>
          <w:tcPr>
            <w:tcW w:w="1860" w:type="dxa"/>
            <w:vAlign w:val="center"/>
          </w:tcPr>
          <w:p w14:paraId="56C40A0F">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eastAsia="zh-CN"/>
              </w:rPr>
              <w:t>质量</w:t>
            </w:r>
            <w:r>
              <w:rPr>
                <w:rFonts w:hint="eastAsia" w:asciiTheme="minorEastAsia" w:hAnsiTheme="minorEastAsia" w:eastAsiaTheme="minorEastAsia" w:cstheme="minorEastAsia"/>
                <w:snapToGrid w:val="0"/>
                <w:color w:val="auto"/>
                <w:kern w:val="0"/>
                <w:sz w:val="24"/>
                <w:szCs w:val="24"/>
                <w:highlight w:val="none"/>
                <w:lang w:val="en-US" w:eastAsia="zh-CN"/>
              </w:rPr>
              <w:t>标准及目标</w:t>
            </w:r>
          </w:p>
        </w:tc>
        <w:tc>
          <w:tcPr>
            <w:tcW w:w="7575" w:type="dxa"/>
            <w:vAlign w:val="center"/>
          </w:tcPr>
          <w:p w14:paraId="71A98CCA">
            <w:pPr>
              <w:keepNext w:val="0"/>
              <w:keepLines w:val="0"/>
              <w:pageBreakBefore w:val="0"/>
              <w:widowControl w:val="0"/>
              <w:kinsoku/>
              <w:wordWrap w:val="0"/>
              <w:overflowPunct/>
              <w:topLinePunct/>
              <w:autoSpaceDE/>
              <w:autoSpaceDN/>
              <w:bidi w:val="0"/>
              <w:adjustRightInd w:val="0"/>
              <w:snapToGrid w:val="0"/>
              <w:spacing w:before="116" w:line="220" w:lineRule="auto"/>
              <w:ind w:right="84" w:rightChars="40" w:firstLine="230" w:firstLineChars="1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pacing w:val="-5"/>
                <w:sz w:val="24"/>
                <w:szCs w:val="24"/>
                <w:highlight w:val="none"/>
                <w:lang w:eastAsia="zh-CN"/>
              </w:rPr>
              <w:t>☑</w:t>
            </w:r>
            <w:r>
              <w:rPr>
                <w:rFonts w:hint="eastAsia" w:asciiTheme="minorEastAsia" w:hAnsiTheme="minorEastAsia" w:eastAsiaTheme="minorEastAsia" w:cstheme="minorEastAsia"/>
                <w:color w:val="auto"/>
                <w:spacing w:val="-5"/>
                <w:sz w:val="24"/>
                <w:szCs w:val="24"/>
                <w:highlight w:val="none"/>
              </w:rPr>
              <w:t>质量目标：</w:t>
            </w:r>
            <w:r>
              <w:rPr>
                <w:rFonts w:hint="eastAsia" w:asciiTheme="minorEastAsia" w:hAnsiTheme="minorEastAsia" w:eastAsiaTheme="minorEastAsia" w:cstheme="minorEastAsia"/>
                <w:color w:val="auto"/>
                <w:spacing w:val="-4"/>
                <w:sz w:val="24"/>
                <w:szCs w:val="24"/>
                <w:highlight w:val="none"/>
                <w:u w:val="single"/>
              </w:rPr>
              <w:t>合格</w:t>
            </w:r>
            <w:r>
              <w:rPr>
                <w:rFonts w:hint="eastAsia" w:asciiTheme="minorEastAsia" w:hAnsiTheme="minorEastAsia" w:eastAsiaTheme="minorEastAsia" w:cstheme="minorEastAsia"/>
                <w:color w:val="auto"/>
                <w:spacing w:val="-4"/>
                <w:sz w:val="24"/>
                <w:szCs w:val="24"/>
                <w:highlight w:val="none"/>
                <w:u w:val="single"/>
                <w:lang w:eastAsia="zh-CN"/>
              </w:rPr>
              <w:t>。</w:t>
            </w:r>
          </w:p>
          <w:p w14:paraId="22C048CA">
            <w:pPr>
              <w:keepNext w:val="0"/>
              <w:keepLines w:val="0"/>
              <w:pageBreakBefore w:val="0"/>
              <w:widowControl w:val="0"/>
              <w:kinsoku/>
              <w:wordWrap w:val="0"/>
              <w:overflowPunct/>
              <w:topLinePunct/>
              <w:autoSpaceDE/>
              <w:autoSpaceDN/>
              <w:bidi w:val="0"/>
              <w:adjustRightInd w:val="0"/>
              <w:snapToGrid w:val="0"/>
              <w:spacing w:before="112" w:line="265" w:lineRule="auto"/>
              <w:ind w:right="84" w:rightChars="40" w:firstLine="232"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4"/>
                <w:sz w:val="24"/>
                <w:szCs w:val="24"/>
                <w:highlight w:val="none"/>
                <w:lang w:eastAsia="zh-CN"/>
              </w:rPr>
              <w:t>☑</w:t>
            </w:r>
            <w:r>
              <w:rPr>
                <w:rFonts w:hint="eastAsia" w:asciiTheme="minorEastAsia" w:hAnsiTheme="minorEastAsia" w:eastAsiaTheme="minorEastAsia" w:cstheme="minorEastAsia"/>
                <w:color w:val="auto"/>
                <w:spacing w:val="-4"/>
                <w:sz w:val="24"/>
                <w:szCs w:val="24"/>
                <w:highlight w:val="none"/>
              </w:rPr>
              <w:t>质量标准：</w:t>
            </w:r>
            <w:r>
              <w:rPr>
                <w:rFonts w:hint="eastAsia" w:asciiTheme="minorEastAsia" w:hAnsiTheme="minorEastAsia" w:eastAsiaTheme="minorEastAsia" w:cstheme="minorEastAsia"/>
                <w:color w:val="auto"/>
                <w:spacing w:val="-4"/>
                <w:sz w:val="24"/>
                <w:szCs w:val="24"/>
                <w:highlight w:val="none"/>
                <w:u w:val="single"/>
              </w:rPr>
              <w:t>符合现行国家有关工程施工质量验收规范和标准的要求</w:t>
            </w:r>
            <w:r>
              <w:rPr>
                <w:rFonts w:hint="eastAsia" w:asciiTheme="minorEastAsia" w:hAnsiTheme="minorEastAsia" w:eastAsiaTheme="minorEastAsia" w:cstheme="minorEastAsia"/>
                <w:color w:val="auto"/>
                <w:spacing w:val="-4"/>
                <w:sz w:val="24"/>
                <w:szCs w:val="24"/>
                <w:highlight w:val="none"/>
                <w:u w:val="single"/>
                <w:lang w:eastAsia="zh-CN"/>
              </w:rPr>
              <w:t>，满足并网发电要求</w:t>
            </w:r>
            <w:r>
              <w:rPr>
                <w:rFonts w:hint="eastAsia" w:asciiTheme="minorEastAsia" w:hAnsiTheme="minorEastAsia" w:eastAsiaTheme="minorEastAsia" w:cstheme="minorEastAsia"/>
                <w:color w:val="auto"/>
                <w:spacing w:val="-4"/>
                <w:sz w:val="24"/>
                <w:szCs w:val="24"/>
                <w:highlight w:val="none"/>
              </w:rPr>
              <w:t>。</w:t>
            </w:r>
          </w:p>
          <w:p w14:paraId="2FC56161">
            <w:pPr>
              <w:keepNext w:val="0"/>
              <w:keepLines w:val="0"/>
              <w:pageBreakBefore w:val="0"/>
              <w:widowControl w:val="0"/>
              <w:kinsoku/>
              <w:wordWrap w:val="0"/>
              <w:overflowPunct/>
              <w:topLinePunct/>
              <w:autoSpaceDE/>
              <w:autoSpaceDN/>
              <w:bidi w:val="0"/>
              <w:adjustRightInd w:val="0"/>
              <w:snapToGrid w:val="0"/>
              <w:spacing w:before="75" w:line="277" w:lineRule="auto"/>
              <w:ind w:right="84" w:rightChars="40" w:firstLine="238"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lang w:eastAsia="zh-CN"/>
              </w:rPr>
              <w:t>□</w:t>
            </w:r>
            <w:r>
              <w:rPr>
                <w:rFonts w:hint="eastAsia" w:asciiTheme="minorEastAsia" w:hAnsiTheme="minorEastAsia" w:eastAsiaTheme="minorEastAsia" w:cstheme="minorEastAsia"/>
                <w:color w:val="auto"/>
                <w:spacing w:val="-1"/>
                <w:sz w:val="24"/>
                <w:szCs w:val="24"/>
                <w:highlight w:val="none"/>
              </w:rPr>
              <w:t>优质工程要求：</w:t>
            </w:r>
            <w:r>
              <w:rPr>
                <w:rFonts w:hint="eastAsia" w:asciiTheme="minorEastAsia" w:hAnsiTheme="minorEastAsia" w:eastAsiaTheme="minorEastAsia" w:cstheme="minorEastAsia"/>
                <w:color w:val="auto"/>
                <w:spacing w:val="-1"/>
                <w:sz w:val="24"/>
                <w:szCs w:val="24"/>
                <w:highlight w:val="none"/>
                <w:u w:val="single" w:color="auto"/>
              </w:rPr>
              <w:t>无/市优/省优/.....</w:t>
            </w:r>
          </w:p>
          <w:p w14:paraId="18432AFC">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24"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color w:val="auto"/>
                <w:spacing w:val="-8"/>
                <w:sz w:val="24"/>
                <w:szCs w:val="24"/>
                <w:highlight w:val="none"/>
              </w:rPr>
              <w:t>工程优质费：</w:t>
            </w:r>
            <w:r>
              <w:rPr>
                <w:rFonts w:hint="eastAsia" w:asciiTheme="minorEastAsia" w:hAnsiTheme="minorEastAsia" w:eastAsiaTheme="minorEastAsia" w:cstheme="minorEastAsia"/>
                <w:color w:val="auto"/>
                <w:spacing w:val="-80"/>
                <w:sz w:val="24"/>
                <w:szCs w:val="24"/>
                <w:highlight w:val="none"/>
              </w:rPr>
              <w:t xml:space="preserve"> </w:t>
            </w:r>
            <w:r>
              <w:rPr>
                <w:rFonts w:hint="eastAsia" w:asciiTheme="minorEastAsia" w:hAnsiTheme="minorEastAsia" w:eastAsiaTheme="minorEastAsia" w:cstheme="minorEastAsia"/>
                <w:color w:val="auto"/>
                <w:spacing w:val="-8"/>
                <w:sz w:val="24"/>
                <w:szCs w:val="24"/>
                <w:highlight w:val="none"/>
              </w:rPr>
              <w:t>□无</w:t>
            </w:r>
            <w:r>
              <w:rPr>
                <w:rFonts w:hint="eastAsia" w:asciiTheme="minorEastAsia" w:hAnsiTheme="minorEastAsia" w:eastAsiaTheme="minorEastAsia" w:cstheme="minorEastAsia"/>
                <w:color w:val="auto"/>
                <w:spacing w:val="6"/>
                <w:sz w:val="24"/>
                <w:szCs w:val="24"/>
                <w:highlight w:val="none"/>
              </w:rPr>
              <w:t xml:space="preserve">     </w:t>
            </w:r>
            <w:r>
              <w:rPr>
                <w:rFonts w:hint="eastAsia" w:asciiTheme="minorEastAsia" w:hAnsiTheme="minorEastAsia" w:eastAsiaTheme="minorEastAsia" w:cstheme="minorEastAsia"/>
                <w:color w:val="auto"/>
                <w:spacing w:val="-8"/>
                <w:sz w:val="24"/>
                <w:szCs w:val="24"/>
                <w:highlight w:val="none"/>
              </w:rPr>
              <w:t>□有：</w:t>
            </w:r>
            <w:r>
              <w:rPr>
                <w:rFonts w:hint="eastAsia" w:asciiTheme="minorEastAsia" w:hAnsiTheme="minorEastAsia" w:eastAsiaTheme="minorEastAsia" w:cstheme="minorEastAsia"/>
                <w:color w:val="auto"/>
                <w:sz w:val="24"/>
                <w:szCs w:val="24"/>
                <w:highlight w:val="none"/>
                <w:u w:val="single" w:color="auto"/>
              </w:rPr>
              <w:t xml:space="preserve">          </w:t>
            </w:r>
          </w:p>
        </w:tc>
      </w:tr>
      <w:tr w14:paraId="2992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Merge w:val="restart"/>
            <w:vAlign w:val="center"/>
          </w:tcPr>
          <w:p w14:paraId="0B67915B">
            <w:pPr>
              <w:keepNext w:val="0"/>
              <w:keepLines w:val="0"/>
              <w:pageBreakBefore w:val="0"/>
              <w:widowControl w:val="0"/>
              <w:kinsoku/>
              <w:wordWrap w:val="0"/>
              <w:overflowPunct/>
              <w:topLinePunct/>
              <w:autoSpaceDE/>
              <w:autoSpaceDN/>
              <w:bidi w:val="0"/>
              <w:adjustRightInd w:val="0"/>
              <w:snapToGrid w:val="0"/>
              <w:spacing w:before="57"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18</w:t>
            </w:r>
          </w:p>
        </w:tc>
        <w:tc>
          <w:tcPr>
            <w:tcW w:w="1860" w:type="dxa"/>
            <w:vMerge w:val="restart"/>
            <w:vAlign w:val="center"/>
          </w:tcPr>
          <w:p w14:paraId="5FFA918E">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合同类型</w:t>
            </w:r>
          </w:p>
        </w:tc>
        <w:tc>
          <w:tcPr>
            <w:tcW w:w="7575" w:type="dxa"/>
            <w:vAlign w:val="top"/>
          </w:tcPr>
          <w:p w14:paraId="14626225">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☑单价合同：发承包双方约定以工程量清单及其综合单价进行合同价款计算、调整和确认的建设工程施工合同。</w:t>
            </w:r>
          </w:p>
          <w:p w14:paraId="469AF309">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14:paraId="4F474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Merge w:val="continue"/>
            <w:vAlign w:val="center"/>
          </w:tcPr>
          <w:p w14:paraId="1E3C3C26">
            <w:pPr>
              <w:keepNext w:val="0"/>
              <w:keepLines w:val="0"/>
              <w:pageBreakBefore w:val="0"/>
              <w:widowControl w:val="0"/>
              <w:kinsoku/>
              <w:wordWrap w:val="0"/>
              <w:overflowPunct/>
              <w:topLinePunct/>
              <w:autoSpaceDE/>
              <w:autoSpaceDN/>
              <w:bidi w:val="0"/>
              <w:adjustRightInd w:val="0"/>
              <w:snapToGrid w:val="0"/>
              <w:spacing w:before="57" w:line="195" w:lineRule="auto"/>
              <w:ind w:right="84" w:rightChars="40"/>
              <w:jc w:val="center"/>
              <w:rPr>
                <w:rFonts w:hint="eastAsia" w:asciiTheme="minorEastAsia" w:hAnsiTheme="minorEastAsia" w:eastAsiaTheme="minorEastAsia" w:cstheme="minorEastAsia"/>
                <w:color w:val="auto"/>
                <w:spacing w:val="-8"/>
                <w:sz w:val="24"/>
                <w:szCs w:val="24"/>
                <w:highlight w:val="none"/>
              </w:rPr>
            </w:pPr>
          </w:p>
        </w:tc>
        <w:tc>
          <w:tcPr>
            <w:tcW w:w="1860" w:type="dxa"/>
            <w:vMerge w:val="continue"/>
            <w:vAlign w:val="center"/>
          </w:tcPr>
          <w:p w14:paraId="36D9D779">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p>
        </w:tc>
        <w:tc>
          <w:tcPr>
            <w:tcW w:w="7575" w:type="dxa"/>
            <w:vAlign w:val="top"/>
          </w:tcPr>
          <w:p w14:paraId="4255AB33">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□总价合同：发承包双方约定以施工图及其预算和有关条件进行合同价款计算、调整和确认的建设工程施工合同。 </w:t>
            </w:r>
          </w:p>
          <w:p w14:paraId="531678FA">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70A82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4" w:hRule="atLeast"/>
        </w:trPr>
        <w:tc>
          <w:tcPr>
            <w:tcW w:w="619" w:type="dxa"/>
            <w:vAlign w:val="center"/>
          </w:tcPr>
          <w:p w14:paraId="4E3BEE21">
            <w:pPr>
              <w:keepNext w:val="0"/>
              <w:keepLines w:val="0"/>
              <w:pageBreakBefore w:val="0"/>
              <w:widowControl w:val="0"/>
              <w:kinsoku/>
              <w:wordWrap w:val="0"/>
              <w:overflowPunct/>
              <w:topLinePunct/>
              <w:autoSpaceDE/>
              <w:autoSpaceDN/>
              <w:bidi w:val="0"/>
              <w:adjustRightInd w:val="0"/>
              <w:snapToGrid w:val="0"/>
              <w:spacing w:before="19"/>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19</w:t>
            </w:r>
          </w:p>
        </w:tc>
        <w:tc>
          <w:tcPr>
            <w:tcW w:w="1860" w:type="dxa"/>
            <w:vAlign w:val="center"/>
          </w:tcPr>
          <w:p w14:paraId="1E78DBA5">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房屋建筑工程绿色建筑标准</w:t>
            </w:r>
          </w:p>
        </w:tc>
        <w:tc>
          <w:tcPr>
            <w:tcW w:w="7575" w:type="dxa"/>
            <w:vAlign w:val="center"/>
          </w:tcPr>
          <w:p w14:paraId="284DC9CD">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本招标项目</w:t>
            </w:r>
            <w:r>
              <w:rPr>
                <w:rFonts w:hint="eastAsia" w:asciiTheme="minorEastAsia" w:hAnsiTheme="minorEastAsia" w:eastAsiaTheme="minorEastAsia" w:cstheme="minorEastAsia"/>
                <w:snapToGrid w:val="0"/>
                <w:color w:val="auto"/>
                <w:kern w:val="0"/>
                <w:sz w:val="24"/>
                <w:szCs w:val="24"/>
                <w:highlight w:val="none"/>
                <w:u w:val="single"/>
                <w:lang w:eastAsia="zh-CN"/>
              </w:rPr>
              <w:t xml:space="preserve"> 不 </w:t>
            </w:r>
            <w:r>
              <w:rPr>
                <w:rFonts w:hint="eastAsia" w:asciiTheme="minorEastAsia" w:hAnsiTheme="minorEastAsia" w:eastAsiaTheme="minorEastAsia" w:cstheme="minorEastAsia"/>
                <w:snapToGrid w:val="0"/>
                <w:color w:val="auto"/>
                <w:kern w:val="0"/>
                <w:sz w:val="24"/>
                <w:szCs w:val="24"/>
                <w:highlight w:val="none"/>
                <w:lang w:eastAsia="zh-CN"/>
              </w:rPr>
              <w:t>纳入绿色建设实施范围。</w:t>
            </w:r>
          </w:p>
        </w:tc>
      </w:tr>
      <w:tr w14:paraId="652F1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19" w:type="dxa"/>
            <w:vAlign w:val="center"/>
          </w:tcPr>
          <w:p w14:paraId="0442E93E">
            <w:pPr>
              <w:keepNext w:val="0"/>
              <w:keepLines w:val="0"/>
              <w:pageBreakBefore w:val="0"/>
              <w:widowControl w:val="0"/>
              <w:kinsoku/>
              <w:wordWrap w:val="0"/>
              <w:overflowPunct/>
              <w:topLinePunct/>
              <w:autoSpaceDE/>
              <w:autoSpaceDN/>
              <w:bidi w:val="0"/>
              <w:adjustRightInd w:val="0"/>
              <w:snapToGrid w:val="0"/>
              <w:spacing w:before="58"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19.1</w:t>
            </w:r>
          </w:p>
        </w:tc>
        <w:tc>
          <w:tcPr>
            <w:tcW w:w="1860" w:type="dxa"/>
            <w:vAlign w:val="center"/>
          </w:tcPr>
          <w:p w14:paraId="7F6F2F5E">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装配式建筑标准</w:t>
            </w:r>
          </w:p>
        </w:tc>
        <w:tc>
          <w:tcPr>
            <w:tcW w:w="7575" w:type="dxa"/>
            <w:vAlign w:val="center"/>
          </w:tcPr>
          <w:p w14:paraId="6795E945">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本招标项目</w:t>
            </w:r>
            <w:r>
              <w:rPr>
                <w:rFonts w:hint="eastAsia" w:asciiTheme="minorEastAsia" w:hAnsiTheme="minorEastAsia" w:eastAsiaTheme="minorEastAsia" w:cstheme="minorEastAsia"/>
                <w:snapToGrid w:val="0"/>
                <w:color w:val="auto"/>
                <w:kern w:val="0"/>
                <w:sz w:val="24"/>
                <w:szCs w:val="24"/>
                <w:highlight w:val="none"/>
                <w:u w:val="single"/>
                <w:lang w:eastAsia="zh-CN"/>
              </w:rPr>
              <w:t xml:space="preserve"> 不 </w:t>
            </w:r>
            <w:r>
              <w:rPr>
                <w:rFonts w:hint="eastAsia" w:asciiTheme="minorEastAsia" w:hAnsiTheme="minorEastAsia" w:eastAsiaTheme="minorEastAsia" w:cstheme="minorEastAsia"/>
                <w:snapToGrid w:val="0"/>
                <w:color w:val="auto"/>
                <w:kern w:val="0"/>
                <w:sz w:val="24"/>
                <w:szCs w:val="24"/>
                <w:highlight w:val="none"/>
                <w:lang w:eastAsia="zh-CN"/>
              </w:rPr>
              <w:t>纳入装配式建造建设实施范围。</w:t>
            </w:r>
          </w:p>
        </w:tc>
      </w:tr>
      <w:tr w14:paraId="51A2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0274EEA7">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20</w:t>
            </w:r>
          </w:p>
        </w:tc>
        <w:tc>
          <w:tcPr>
            <w:tcW w:w="1860" w:type="dxa"/>
            <w:vAlign w:val="center"/>
          </w:tcPr>
          <w:p w14:paraId="53169357">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发包人提供材料和工程设备</w:t>
            </w:r>
          </w:p>
        </w:tc>
        <w:tc>
          <w:tcPr>
            <w:tcW w:w="7575" w:type="dxa"/>
            <w:vAlign w:val="center"/>
          </w:tcPr>
          <w:p w14:paraId="7E691403">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发包人提供材料和工程设备： □无     ☑有：具体详见甲供主材设备清单。</w:t>
            </w:r>
          </w:p>
        </w:tc>
      </w:tr>
      <w:tr w14:paraId="3B1D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08D7EE7C">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21</w:t>
            </w:r>
          </w:p>
        </w:tc>
        <w:tc>
          <w:tcPr>
            <w:tcW w:w="1860" w:type="dxa"/>
            <w:vAlign w:val="center"/>
          </w:tcPr>
          <w:p w14:paraId="4802D78C">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承包人提供材料和工程设备</w:t>
            </w:r>
          </w:p>
        </w:tc>
        <w:tc>
          <w:tcPr>
            <w:tcW w:w="7575" w:type="dxa"/>
            <w:vAlign w:val="top"/>
          </w:tcPr>
          <w:p w14:paraId="6E1AC7A6">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的质量标准，应立即更换，由此增加的费用和（或）工期延误由承包人承担。对发包人要求检测承包人已具有合格证明的材料、工程设备，但经检测证明该项材料、工程设备符合合同约定的质量标准的，发包人应承担由此增加的费用和（或）工期延误，并向承包人支付合理利润。</w:t>
            </w:r>
          </w:p>
          <w:p w14:paraId="061A7FEA">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□其他说明：鼓励承包人积极采购环保产品进行施工。</w:t>
            </w:r>
          </w:p>
        </w:tc>
      </w:tr>
      <w:tr w14:paraId="6F61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18D9BBAD">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22</w:t>
            </w:r>
          </w:p>
        </w:tc>
        <w:tc>
          <w:tcPr>
            <w:tcW w:w="1860" w:type="dxa"/>
            <w:vAlign w:val="center"/>
          </w:tcPr>
          <w:p w14:paraId="7DAC15F9">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最高投标限价</w:t>
            </w:r>
          </w:p>
        </w:tc>
        <w:tc>
          <w:tcPr>
            <w:tcW w:w="7575" w:type="dxa"/>
            <w:vAlign w:val="center"/>
          </w:tcPr>
          <w:p w14:paraId="1EBE076C">
            <w:pPr>
              <w:pStyle w:val="2"/>
              <w:rPr>
                <w:rFonts w:hint="eastAsia"/>
                <w:color w:val="auto"/>
                <w:highlight w:val="none"/>
                <w:lang w:eastAsia="zh-CN"/>
              </w:rPr>
            </w:pPr>
            <w:r>
              <w:rPr>
                <w:rFonts w:hint="eastAsia" w:asciiTheme="minorEastAsia" w:hAnsiTheme="minorEastAsia" w:eastAsiaTheme="minorEastAsia" w:cstheme="minorEastAsia"/>
                <w:color w:val="auto"/>
                <w:sz w:val="24"/>
                <w:szCs w:val="24"/>
                <w:highlight w:val="none"/>
              </w:rPr>
              <w:t>本招标项目</w:t>
            </w:r>
            <w:r>
              <w:rPr>
                <w:rFonts w:hint="eastAsia" w:asciiTheme="minorEastAsia" w:hAnsiTheme="minorEastAsia" w:eastAsiaTheme="minorEastAsia" w:cstheme="minorEastAsia"/>
                <w:color w:val="auto"/>
                <w:sz w:val="24"/>
                <w:szCs w:val="24"/>
                <w:highlight w:val="none"/>
                <w:lang w:eastAsia="zh-CN"/>
              </w:rPr>
              <w:t>最高投标限价</w:t>
            </w:r>
            <w:r>
              <w:rPr>
                <w:rFonts w:hint="eastAsia" w:asciiTheme="minorEastAsia" w:hAnsiTheme="minorEastAsia" w:eastAsiaTheme="minorEastAsia" w:cstheme="minorEastAsia"/>
                <w:color w:val="auto"/>
                <w:sz w:val="24"/>
                <w:szCs w:val="24"/>
                <w:highlight w:val="none"/>
              </w:rPr>
              <w:t>、图纸、招标工程量清单在投标截止时间15天前以补充通知的形式 在广东省招标投标监管网（https://zbtb.gd.gov.cn/）、全国公共资源交易平台（广东省•韶关市）（https://ygp.gdzwfw.gov.cn/ggzy-portal/#/440200/index）公布，各投标人应自行下载。</w:t>
            </w:r>
          </w:p>
        </w:tc>
      </w:tr>
      <w:tr w14:paraId="1C5F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0A6EAFBD">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23</w:t>
            </w:r>
          </w:p>
        </w:tc>
        <w:tc>
          <w:tcPr>
            <w:tcW w:w="1860" w:type="dxa"/>
            <w:vAlign w:val="center"/>
          </w:tcPr>
          <w:p w14:paraId="199CA41D">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投标人的投标</w:t>
            </w:r>
          </w:p>
          <w:p w14:paraId="5DF0F1D2">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报价</w:t>
            </w:r>
          </w:p>
        </w:tc>
        <w:tc>
          <w:tcPr>
            <w:tcW w:w="7575" w:type="dxa"/>
            <w:vAlign w:val="center"/>
          </w:tcPr>
          <w:p w14:paraId="712E210E">
            <w:pPr>
              <w:keepNext w:val="0"/>
              <w:keepLines w:val="0"/>
              <w:pageBreakBefore w:val="0"/>
              <w:widowControl w:val="0"/>
              <w:kinsoku/>
              <w:wordWrap w:val="0"/>
              <w:overflowPunct/>
              <w:topLinePunct/>
              <w:autoSpaceDE/>
              <w:autoSpaceDN/>
              <w:bidi w:val="0"/>
              <w:adjustRightInd w:val="0"/>
              <w:snapToGrid w:val="0"/>
              <w:spacing w:before="118" w:line="308" w:lineRule="auto"/>
              <w:ind w:right="84" w:rightChars="40" w:firstLine="238" w:firstLineChars="1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投标人投标时响应招标文件要求所报出的对已标价工程量清单</w:t>
            </w:r>
            <w:r>
              <w:rPr>
                <w:rFonts w:hint="eastAsia" w:asciiTheme="minorEastAsia" w:hAnsiTheme="minorEastAsia" w:eastAsiaTheme="minorEastAsia" w:cstheme="minorEastAsia"/>
                <w:color w:val="auto"/>
                <w:sz w:val="24"/>
                <w:szCs w:val="24"/>
                <w:highlight w:val="none"/>
              </w:rPr>
              <w:t>汇总后标明的总价。投标人在投标报价填写</w:t>
            </w:r>
            <w:r>
              <w:rPr>
                <w:rFonts w:hint="eastAsia" w:asciiTheme="minorEastAsia" w:hAnsiTheme="minorEastAsia" w:eastAsiaTheme="minorEastAsia" w:cstheme="minorEastAsia"/>
                <w:color w:val="auto"/>
                <w:spacing w:val="-1"/>
                <w:sz w:val="24"/>
                <w:szCs w:val="24"/>
                <w:highlight w:val="none"/>
              </w:rPr>
              <w:t>的工程量清单的项目编</w:t>
            </w:r>
            <w:r>
              <w:rPr>
                <w:rFonts w:hint="eastAsia" w:asciiTheme="minorEastAsia" w:hAnsiTheme="minorEastAsia" w:eastAsiaTheme="minorEastAsia" w:cstheme="minorEastAsia"/>
                <w:color w:val="auto"/>
                <w:spacing w:val="-3"/>
                <w:sz w:val="24"/>
                <w:szCs w:val="24"/>
                <w:highlight w:val="none"/>
              </w:rPr>
              <w:t>码、项目名称、项目特征、计量单位、工程数量必须与招标人招标文</w:t>
            </w:r>
            <w:r>
              <w:rPr>
                <w:rFonts w:hint="eastAsia" w:asciiTheme="minorEastAsia" w:hAnsiTheme="minorEastAsia" w:eastAsiaTheme="minorEastAsia" w:cstheme="minorEastAsia"/>
                <w:color w:val="auto"/>
                <w:sz w:val="24"/>
                <w:szCs w:val="24"/>
                <w:highlight w:val="none"/>
              </w:rPr>
              <w:t>件中提供的一致，投标价不能低于工程成本</w:t>
            </w:r>
            <w:r>
              <w:rPr>
                <w:rFonts w:hint="eastAsia" w:asciiTheme="minorEastAsia" w:hAnsiTheme="minorEastAsia" w:eastAsiaTheme="minorEastAsia" w:cstheme="minorEastAsia"/>
                <w:color w:val="auto"/>
                <w:spacing w:val="-1"/>
                <w:sz w:val="24"/>
                <w:szCs w:val="24"/>
                <w:highlight w:val="none"/>
              </w:rPr>
              <w:t>、高于最高投标限价。</w:t>
            </w:r>
          </w:p>
          <w:p w14:paraId="44704AE8">
            <w:pPr>
              <w:keepNext w:val="0"/>
              <w:keepLines w:val="0"/>
              <w:pageBreakBefore w:val="0"/>
              <w:widowControl w:val="0"/>
              <w:kinsoku/>
              <w:wordWrap w:val="0"/>
              <w:overflowPunct/>
              <w:topLinePunct/>
              <w:autoSpaceDE/>
              <w:autoSpaceDN/>
              <w:bidi w:val="0"/>
              <w:adjustRightInd w:val="0"/>
              <w:snapToGrid w:val="0"/>
              <w:spacing w:line="218" w:lineRule="auto"/>
              <w:ind w:right="84" w:rightChars="40" w:firstLine="236"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投标报价方式：</w:t>
            </w:r>
            <w:r>
              <w:rPr>
                <w:rFonts w:hint="eastAsia" w:asciiTheme="minorEastAsia" w:hAnsiTheme="minorEastAsia" w:eastAsiaTheme="minorEastAsia" w:cstheme="minorEastAsia"/>
                <w:color w:val="auto"/>
                <w:spacing w:val="-86"/>
                <w:sz w:val="24"/>
                <w:szCs w:val="24"/>
                <w:highlight w:val="none"/>
              </w:rPr>
              <w:t xml:space="preserve"> </w:t>
            </w:r>
            <w:r>
              <w:rPr>
                <w:rFonts w:hint="eastAsia" w:asciiTheme="minorEastAsia" w:hAnsiTheme="minorEastAsia" w:eastAsiaTheme="minorEastAsia" w:cstheme="minorEastAsia"/>
                <w:color w:val="auto"/>
                <w:spacing w:val="-2"/>
                <w:sz w:val="24"/>
                <w:szCs w:val="24"/>
                <w:highlight w:val="none"/>
                <w:lang w:eastAsia="zh-CN"/>
              </w:rPr>
              <w:t>☑</w:t>
            </w:r>
            <w:r>
              <w:rPr>
                <w:rFonts w:hint="eastAsia" w:asciiTheme="minorEastAsia" w:hAnsiTheme="minorEastAsia" w:eastAsiaTheme="minorEastAsia" w:cstheme="minorEastAsia"/>
                <w:color w:val="auto"/>
                <w:spacing w:val="-2"/>
                <w:sz w:val="24"/>
                <w:szCs w:val="24"/>
                <w:highlight w:val="none"/>
              </w:rPr>
              <w:t>工程量清单报价    □其</w:t>
            </w:r>
            <w:r>
              <w:rPr>
                <w:rFonts w:hint="eastAsia" w:asciiTheme="minorEastAsia" w:hAnsiTheme="minorEastAsia" w:eastAsiaTheme="minorEastAsia" w:cstheme="minorEastAsia"/>
                <w:color w:val="auto"/>
                <w:spacing w:val="-3"/>
                <w:sz w:val="24"/>
                <w:szCs w:val="24"/>
                <w:highlight w:val="none"/>
              </w:rPr>
              <w:t>他：</w:t>
            </w:r>
          </w:p>
          <w:p w14:paraId="276FCBAD">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2"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color w:val="auto"/>
                <w:spacing w:val="-3"/>
                <w:sz w:val="24"/>
                <w:szCs w:val="24"/>
                <w:highlight w:val="none"/>
              </w:rPr>
              <w:t>投标报价时，应按《广东省建设工程计价依据（2018）》规定的费率报价，若招标工程量清单明确说明不计算预算包干费或另外确定</w:t>
            </w:r>
            <w:r>
              <w:rPr>
                <w:rFonts w:hint="eastAsia" w:asciiTheme="minorEastAsia" w:hAnsiTheme="minorEastAsia" w:eastAsiaTheme="minorEastAsia" w:cstheme="minorEastAsia"/>
                <w:color w:val="auto"/>
                <w:spacing w:val="-1"/>
                <w:sz w:val="24"/>
                <w:szCs w:val="24"/>
                <w:highlight w:val="none"/>
              </w:rPr>
              <w:t>预算包干费费率的，则按招标工程量清单报价。</w:t>
            </w:r>
          </w:p>
        </w:tc>
      </w:tr>
      <w:tr w14:paraId="076C9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521631C9">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24</w:t>
            </w:r>
          </w:p>
        </w:tc>
        <w:tc>
          <w:tcPr>
            <w:tcW w:w="1860" w:type="dxa"/>
            <w:vAlign w:val="center"/>
          </w:tcPr>
          <w:p w14:paraId="78887000">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投标报价风险</w:t>
            </w:r>
          </w:p>
        </w:tc>
        <w:tc>
          <w:tcPr>
            <w:tcW w:w="7575" w:type="dxa"/>
            <w:vAlign w:val="center"/>
          </w:tcPr>
          <w:p w14:paraId="4CDDA9BA">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☑投标人依据招标文件约定自行考虑风险因素，一旦中标，投标报价（合同价）除合同另有约定外将不因市场变化而调整。</w:t>
            </w:r>
          </w:p>
          <w:p w14:paraId="01A86498">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☑投标报价中应包括工程量清单项目所发生的人工费、材料费、机具费、管理费、利润、措施项目费、其他项目费、税金、暂列金额、暂估价以及所有风险、责任等各项费用。</w:t>
            </w:r>
          </w:p>
          <w:p w14:paraId="4417FFFF">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☑人工费、材料费、机具费、管理费、利润、措施项目费（不含安全生产措施费）投标人漏报或不报，招标人视为有关费用已包括在工程量清单项目的其他单价及合价中不予另外增加。</w:t>
            </w:r>
          </w:p>
          <w:p w14:paraId="3C0D1869">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☑措施项目中的安全生产措施费，必须按国家、省级、市级（即工程所在地）行业建设主管部门的规定计算，不得作为竞争性费用。</w:t>
            </w:r>
          </w:p>
          <w:p w14:paraId="22A871F4">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☑投标人应按照招标文件提供的工程量清单逐项填写单价和合价，投标人未填写的项目，招标人将视为此项费用已包括在工程量清单项目的其他单价及合价中不予另外增加。</w:t>
            </w:r>
          </w:p>
          <w:p w14:paraId="7B072C86">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应按《广东省建设工程计价依据（2018）》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5BC7C8F8">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☑招标人向投标人提供的有关施工现场资料及数据，是招标人现有的能使投标人利用的资料，招标人对投标人据此作出的推论及理解概不负责。</w:t>
            </w:r>
          </w:p>
          <w:p w14:paraId="48F86E76">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w:t>
            </w:r>
          </w:p>
          <w:p w14:paraId="2B392C32">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☑错漏项的认定。中标人已标价工程量清单中，任一清单项目未填报价格或价格为零的，招标人将视为此项费用已包括在工程量清单项目的其他单价及合价中不予另外增加。</w:t>
            </w:r>
          </w:p>
        </w:tc>
      </w:tr>
      <w:tr w14:paraId="25BE4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19" w:type="dxa"/>
            <w:vAlign w:val="center"/>
          </w:tcPr>
          <w:p w14:paraId="633EE162">
            <w:pPr>
              <w:keepNext w:val="0"/>
              <w:keepLines w:val="0"/>
              <w:pageBreakBefore w:val="0"/>
              <w:widowControl w:val="0"/>
              <w:kinsoku/>
              <w:wordWrap w:val="0"/>
              <w:overflowPunct/>
              <w:topLinePunct/>
              <w:autoSpaceDE/>
              <w:autoSpaceDN/>
              <w:bidi w:val="0"/>
              <w:adjustRightInd w:val="0"/>
              <w:snapToGrid w:val="0"/>
              <w:spacing w:before="284"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25</w:t>
            </w:r>
          </w:p>
        </w:tc>
        <w:tc>
          <w:tcPr>
            <w:tcW w:w="1860" w:type="dxa"/>
            <w:vAlign w:val="center"/>
          </w:tcPr>
          <w:p w14:paraId="4C765A67">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投标费用</w:t>
            </w:r>
          </w:p>
        </w:tc>
        <w:tc>
          <w:tcPr>
            <w:tcW w:w="7575" w:type="dxa"/>
            <w:vAlign w:val="center"/>
          </w:tcPr>
          <w:p w14:paraId="52FC6F59">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投标人自行承担编制与递交投标文件的一切费用。</w:t>
            </w:r>
          </w:p>
        </w:tc>
      </w:tr>
      <w:tr w14:paraId="250EC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19" w:type="dxa"/>
            <w:vAlign w:val="center"/>
          </w:tcPr>
          <w:p w14:paraId="6DBA3BE5">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26</w:t>
            </w:r>
          </w:p>
        </w:tc>
        <w:tc>
          <w:tcPr>
            <w:tcW w:w="1860" w:type="dxa"/>
            <w:vAlign w:val="center"/>
          </w:tcPr>
          <w:p w14:paraId="6C85A1B4">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投标人资格要求</w:t>
            </w:r>
          </w:p>
        </w:tc>
        <w:tc>
          <w:tcPr>
            <w:tcW w:w="7575" w:type="dxa"/>
            <w:vAlign w:val="center"/>
          </w:tcPr>
          <w:p w14:paraId="197BD92C">
            <w:pPr>
              <w:pStyle w:val="22"/>
              <w:keepNext w:val="0"/>
              <w:keepLines w:val="0"/>
              <w:pageBreakBefore w:val="0"/>
              <w:wordWrap w:val="0"/>
              <w:overflowPunct/>
              <w:bidi w:val="0"/>
              <w:adjustRightInd w:val="0"/>
              <w:snapToGrid w:val="0"/>
              <w:spacing w:line="400" w:lineRule="exact"/>
              <w:ind w:left="0" w:leftChars="0" w:firstLine="218" w:firstLineChars="91"/>
              <w:jc w:val="left"/>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sz w:val="24"/>
                <w:szCs w:val="24"/>
                <w:highlight w:val="none"/>
              </w:rPr>
              <w:t>1.本次招标</w:t>
            </w:r>
            <w:r>
              <w:rPr>
                <w:rFonts w:hint="eastAsia" w:ascii="宋体" w:hAnsi="宋体" w:cs="宋体"/>
                <w:bCs/>
                <w:snapToGrid w:val="0"/>
                <w:color w:val="auto"/>
                <w:sz w:val="24"/>
                <w:szCs w:val="24"/>
                <w:highlight w:val="none"/>
                <w:lang w:eastAsia="zh-CN"/>
              </w:rPr>
              <w:t>不</w:t>
            </w:r>
            <w:r>
              <w:rPr>
                <w:rFonts w:hint="eastAsia" w:ascii="宋体" w:hAnsi="宋体" w:eastAsia="宋体" w:cs="宋体"/>
                <w:bCs/>
                <w:snapToGrid w:val="0"/>
                <w:color w:val="auto"/>
                <w:sz w:val="24"/>
                <w:szCs w:val="24"/>
                <w:highlight w:val="none"/>
              </w:rPr>
              <w:t>接受联合体投标。</w:t>
            </w:r>
          </w:p>
          <w:p w14:paraId="054FB8DB">
            <w:pPr>
              <w:keepNext w:val="0"/>
              <w:keepLines w:val="0"/>
              <w:pageBreakBefore w:val="0"/>
              <w:wordWrap w:val="0"/>
              <w:overflowPunct/>
              <w:bidi w:val="0"/>
              <w:adjustRightInd w:val="0"/>
              <w:snapToGrid w:val="0"/>
              <w:spacing w:line="400" w:lineRule="exact"/>
              <w:ind w:left="0" w:leftChars="0" w:firstLine="218" w:firstLineChars="91"/>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2.</w:t>
            </w:r>
            <w:r>
              <w:rPr>
                <w:rFonts w:hint="eastAsia" w:ascii="宋体" w:hAnsi="宋体" w:eastAsia="宋体" w:cs="宋体"/>
                <w:snapToGrid w:val="0"/>
                <w:color w:val="auto"/>
                <w:kern w:val="0"/>
                <w:sz w:val="24"/>
                <w:szCs w:val="24"/>
                <w:highlight w:val="none"/>
              </w:rPr>
              <w:t>资质要求</w:t>
            </w:r>
          </w:p>
          <w:p w14:paraId="226A9DBF">
            <w:pPr>
              <w:keepNext w:val="0"/>
              <w:keepLines w:val="0"/>
              <w:pageBreakBefore w:val="0"/>
              <w:wordWrap w:val="0"/>
              <w:overflowPunct/>
              <w:bidi w:val="0"/>
              <w:adjustRightInd w:val="0"/>
              <w:snapToGrid w:val="0"/>
              <w:spacing w:line="400" w:lineRule="exact"/>
              <w:ind w:left="0" w:leftChars="0" w:firstLine="218" w:firstLineChars="91"/>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 投标人须具备独立法人资格，按国家法律经营。</w:t>
            </w:r>
          </w:p>
          <w:p w14:paraId="49BA8CB4">
            <w:pPr>
              <w:keepNext w:val="0"/>
              <w:keepLines w:val="0"/>
              <w:pageBreakBefore w:val="0"/>
              <w:wordWrap w:val="0"/>
              <w:overflowPunct/>
              <w:bidi w:val="0"/>
              <w:adjustRightInd w:val="0"/>
              <w:snapToGrid w:val="0"/>
              <w:spacing w:line="400" w:lineRule="exact"/>
              <w:ind w:left="0" w:leftChars="0" w:firstLine="218" w:firstLineChars="91"/>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 投标人须持有建设行政主管部门颁发的企业资质证书及安全生产许可证。</w:t>
            </w:r>
          </w:p>
          <w:p w14:paraId="3AC0A29C">
            <w:pPr>
              <w:pStyle w:val="22"/>
              <w:wordWrap w:val="0"/>
              <w:adjustRightInd w:val="0"/>
              <w:snapToGrid w:val="0"/>
              <w:spacing w:line="440" w:lineRule="exact"/>
              <w:ind w:left="216" w:leftChars="103"/>
              <w:jc w:val="left"/>
              <w:rPr>
                <w:rFonts w:hint="eastAsia"/>
                <w:bCs/>
                <w:snapToGrid w:val="0"/>
                <w:color w:val="auto"/>
                <w:kern w:val="0"/>
                <w:sz w:val="24"/>
                <w:highlight w:val="none"/>
              </w:rPr>
            </w:pPr>
            <w:r>
              <w:rPr>
                <w:rFonts w:hint="eastAsia" w:ascii="宋体" w:hAnsi="宋体" w:eastAsia="宋体" w:cs="宋体"/>
                <w:color w:val="auto"/>
                <w:sz w:val="24"/>
                <w:szCs w:val="24"/>
                <w:highlight w:val="none"/>
              </w:rPr>
              <w:t xml:space="preserve">2.3 </w:t>
            </w:r>
            <w:r>
              <w:rPr>
                <w:rFonts w:hint="eastAsia"/>
                <w:bCs/>
                <w:snapToGrid w:val="0"/>
                <w:color w:val="auto"/>
                <w:kern w:val="0"/>
                <w:sz w:val="24"/>
                <w:highlight w:val="none"/>
              </w:rPr>
              <w:t>参加投标的投标人必须</w:t>
            </w:r>
            <w:r>
              <w:rPr>
                <w:rFonts w:hint="eastAsia"/>
                <w:bCs/>
                <w:snapToGrid w:val="0"/>
                <w:color w:val="auto"/>
                <w:kern w:val="0"/>
                <w:sz w:val="24"/>
                <w:highlight w:val="none"/>
                <w:lang w:eastAsia="zh-CN"/>
              </w:rPr>
              <w:t>同时</w:t>
            </w:r>
            <w:r>
              <w:rPr>
                <w:rFonts w:hint="eastAsia"/>
                <w:bCs/>
                <w:snapToGrid w:val="0"/>
                <w:color w:val="auto"/>
                <w:kern w:val="0"/>
                <w:sz w:val="24"/>
                <w:highlight w:val="none"/>
              </w:rPr>
              <w:t>具备以下资质：</w:t>
            </w:r>
          </w:p>
          <w:p w14:paraId="0F4AE006">
            <w:pPr>
              <w:pStyle w:val="22"/>
              <w:numPr>
                <w:ilvl w:val="0"/>
                <w:numId w:val="0"/>
              </w:numPr>
              <w:wordWrap w:val="0"/>
              <w:adjustRightInd w:val="0"/>
              <w:snapToGrid w:val="0"/>
              <w:spacing w:line="440" w:lineRule="exact"/>
              <w:ind w:left="216" w:leftChars="103"/>
              <w:jc w:val="left"/>
              <w:rPr>
                <w:rFonts w:hint="eastAsia" w:eastAsia="宋体"/>
                <w:bCs/>
                <w:snapToGrid w:val="0"/>
                <w:color w:val="auto"/>
                <w:kern w:val="0"/>
                <w:sz w:val="24"/>
                <w:highlight w:val="none"/>
                <w:u w:val="none"/>
                <w:lang w:val="en-US" w:eastAsia="zh-CN"/>
              </w:rPr>
            </w:pPr>
            <w:r>
              <w:rPr>
                <w:rFonts w:hint="eastAsia"/>
                <w:bCs/>
                <w:snapToGrid w:val="0"/>
                <w:color w:val="auto"/>
                <w:kern w:val="0"/>
                <w:sz w:val="24"/>
                <w:szCs w:val="24"/>
                <w:highlight w:val="none"/>
                <w:u w:val="none"/>
                <w:lang w:val="en-US" w:eastAsia="zh-CN" w:bidi="ar-SA"/>
              </w:rPr>
              <w:t>1）</w:t>
            </w:r>
            <w:r>
              <w:rPr>
                <w:rFonts w:hint="eastAsia"/>
                <w:bCs/>
                <w:snapToGrid w:val="0"/>
                <w:color w:val="auto"/>
                <w:kern w:val="0"/>
                <w:sz w:val="24"/>
                <w:highlight w:val="none"/>
                <w:u w:val="none"/>
              </w:rPr>
              <w:t>建设行政主管部门颁发的</w:t>
            </w:r>
            <w:r>
              <w:rPr>
                <w:rFonts w:hint="eastAsia" w:hAnsi="宋体" w:cs="Tahoma"/>
                <w:color w:val="auto"/>
                <w:kern w:val="0"/>
                <w:sz w:val="24"/>
                <w:highlight w:val="none"/>
                <w:u w:val="none"/>
              </w:rPr>
              <w:t>电力工程施工总承包三级</w:t>
            </w:r>
            <w:r>
              <w:rPr>
                <w:rFonts w:hint="eastAsia"/>
                <w:bCs/>
                <w:snapToGrid w:val="0"/>
                <w:color w:val="auto"/>
                <w:kern w:val="0"/>
                <w:sz w:val="24"/>
                <w:highlight w:val="none"/>
                <w:u w:val="none"/>
              </w:rPr>
              <w:t>以上（含三级）资质</w:t>
            </w:r>
            <w:r>
              <w:rPr>
                <w:rFonts w:hint="eastAsia"/>
                <w:bCs/>
                <w:snapToGrid w:val="0"/>
                <w:color w:val="auto"/>
                <w:kern w:val="0"/>
                <w:sz w:val="24"/>
                <w:highlight w:val="none"/>
                <w:u w:val="none"/>
                <w:lang w:eastAsia="zh-CN"/>
              </w:rPr>
              <w:t>；</w:t>
            </w:r>
          </w:p>
          <w:p w14:paraId="1E1CF6A0">
            <w:pPr>
              <w:pStyle w:val="22"/>
              <w:numPr>
                <w:ilvl w:val="0"/>
                <w:numId w:val="0"/>
              </w:numPr>
              <w:wordWrap w:val="0"/>
              <w:adjustRightInd w:val="0"/>
              <w:snapToGrid w:val="0"/>
              <w:spacing w:line="440" w:lineRule="exact"/>
              <w:ind w:left="216" w:leftChars="103"/>
              <w:jc w:val="left"/>
              <w:rPr>
                <w:rFonts w:hint="eastAsia"/>
                <w:bCs/>
                <w:snapToGrid w:val="0"/>
                <w:color w:val="auto"/>
                <w:kern w:val="0"/>
                <w:sz w:val="24"/>
                <w:highlight w:val="none"/>
                <w:u w:val="none"/>
              </w:rPr>
            </w:pPr>
            <w:r>
              <w:rPr>
                <w:rFonts w:hint="eastAsia" w:ascii="宋体" w:hAnsi="宋体" w:cs="宋体"/>
                <w:color w:val="auto"/>
                <w:sz w:val="24"/>
                <w:highlight w:val="none"/>
                <w:u w:val="none"/>
                <w:lang w:val="en-US" w:eastAsia="zh-CN"/>
              </w:rPr>
              <w:t>2</w:t>
            </w:r>
            <w:r>
              <w:rPr>
                <w:rFonts w:hint="eastAsia" w:ascii="宋体" w:hAnsi="宋体" w:cs="宋体"/>
                <w:color w:val="auto"/>
                <w:sz w:val="24"/>
                <w:highlight w:val="none"/>
                <w:u w:val="none"/>
              </w:rPr>
              <w:t>）持有国家能源局颁发的《承装</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rPr>
              <w:t>修、试</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rPr>
              <w:t>电力设施许可证》承装</w:t>
            </w:r>
            <w:r>
              <w:rPr>
                <w:rFonts w:hint="eastAsia" w:ascii="宋体" w:hAnsi="宋体" w:cs="宋体"/>
                <w:color w:val="auto"/>
                <w:sz w:val="24"/>
                <w:highlight w:val="none"/>
                <w:u w:val="none"/>
                <w:lang w:eastAsia="zh-CN"/>
              </w:rPr>
              <w:t>类五级</w:t>
            </w:r>
            <w:r>
              <w:rPr>
                <w:rFonts w:hint="eastAsia" w:ascii="宋体" w:hAnsi="宋体" w:cs="宋体"/>
                <w:color w:val="auto"/>
                <w:sz w:val="24"/>
                <w:highlight w:val="none"/>
                <w:u w:val="none"/>
              </w:rPr>
              <w:t>或以上许可，资质须在有效期内。对应于2025年7月1日起换发的电子证照，应为承装类三级或以上许可资格。 【注</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rPr>
              <w:t>依据国家能源局关于做好承装</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rPr>
              <w:t>修、试</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rPr>
              <w:t>电力设施许可证换领和延续工作的通知</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rPr>
              <w:t>国能发资质</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rPr>
              <w:t>2025</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rPr>
              <w:t>44 号</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rPr>
              <w:t>。如有最新政策文件的，从其规定</w:t>
            </w:r>
            <w:r>
              <w:rPr>
                <w:rFonts w:hint="eastAsia" w:ascii="宋体" w:hAnsi="宋体" w:cs="宋体"/>
                <w:color w:val="auto"/>
                <w:sz w:val="24"/>
                <w:highlight w:val="none"/>
                <w:u w:val="none"/>
                <w:lang w:eastAsia="zh-CN"/>
              </w:rPr>
              <w:t>】</w:t>
            </w:r>
            <w:r>
              <w:rPr>
                <w:rFonts w:hint="eastAsia"/>
                <w:bCs/>
                <w:snapToGrid w:val="0"/>
                <w:color w:val="auto"/>
                <w:kern w:val="0"/>
                <w:sz w:val="24"/>
                <w:highlight w:val="none"/>
                <w:u w:val="none"/>
              </w:rPr>
              <w:t>。</w:t>
            </w:r>
          </w:p>
          <w:p w14:paraId="5BA7F08B">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2.4 根据有关文件精神，投标人的企业相关证书到期的，均按该证书的发证机构相关行业主管部门最新文件执行（如自动顺延或推迟办理延期业务的通知），投标人必须将相关文件附在该证书</w:t>
            </w:r>
            <w:r>
              <w:rPr>
                <w:rFonts w:hint="eastAsia" w:ascii="宋体" w:hAnsi="宋体" w:eastAsia="宋体" w:cs="宋体"/>
                <w:snapToGrid w:val="0"/>
                <w:color w:val="auto"/>
                <w:kern w:val="0"/>
                <w:sz w:val="24"/>
                <w:szCs w:val="24"/>
                <w:highlight w:val="none"/>
                <w:lang w:eastAsia="zh-CN"/>
              </w:rPr>
              <w:t>后面</w:t>
            </w:r>
            <w:r>
              <w:rPr>
                <w:rFonts w:hint="eastAsia" w:ascii="宋体" w:hAnsi="宋体" w:eastAsia="宋体" w:cs="宋体"/>
                <w:snapToGrid w:val="0"/>
                <w:color w:val="auto"/>
                <w:kern w:val="0"/>
                <w:sz w:val="24"/>
                <w:szCs w:val="24"/>
                <w:highlight w:val="none"/>
              </w:rPr>
              <w:t>，证明在开标当日继续有效</w:t>
            </w:r>
            <w:r>
              <w:rPr>
                <w:rFonts w:hint="eastAsia" w:ascii="宋体" w:hAnsi="宋体" w:eastAsia="宋体" w:cs="宋体"/>
                <w:color w:val="auto"/>
                <w:sz w:val="24"/>
                <w:szCs w:val="24"/>
                <w:highlight w:val="none"/>
              </w:rPr>
              <w:t>。</w:t>
            </w:r>
          </w:p>
          <w:p w14:paraId="7424FCB3">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3.</w:t>
            </w:r>
            <w:r>
              <w:rPr>
                <w:rFonts w:hint="eastAsia" w:ascii="宋体" w:hAnsi="宋体" w:eastAsia="宋体" w:cs="宋体"/>
                <w:snapToGrid w:val="0"/>
                <w:color w:val="auto"/>
                <w:kern w:val="0"/>
                <w:sz w:val="24"/>
                <w:szCs w:val="24"/>
                <w:highlight w:val="none"/>
              </w:rPr>
              <w:t>相关人员要求</w:t>
            </w:r>
          </w:p>
          <w:p w14:paraId="32C1D06A">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3.1 拟派项目经理为具有</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机电工程</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lang w:val="en-US" w:eastAsia="zh-CN"/>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w:t>
            </w:r>
            <w:r>
              <w:rPr>
                <w:rFonts w:hint="eastAsia" w:ascii="宋体" w:hAnsi="宋体" w:eastAsia="宋体" w:cs="宋体"/>
                <w:snapToGrid w:val="0"/>
                <w:color w:val="auto"/>
                <w:kern w:val="0"/>
                <w:sz w:val="24"/>
                <w:szCs w:val="24"/>
                <w:highlight w:val="none"/>
              </w:rPr>
              <w:t xml:space="preserve">。 </w:t>
            </w:r>
          </w:p>
          <w:p w14:paraId="26DBB02A">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3.2 投标人拟派项目技术负责人须具备</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Tahoma"/>
                <w:color w:val="auto"/>
                <w:kern w:val="0"/>
                <w:sz w:val="24"/>
                <w:highlight w:val="none"/>
                <w:u w:val="single"/>
              </w:rPr>
              <w:t>电力</w:t>
            </w:r>
            <w:r>
              <w:rPr>
                <w:rFonts w:hint="eastAsia" w:ascii="宋体" w:hAnsi="宋体" w:cs="Tahoma"/>
                <w:color w:val="auto"/>
                <w:kern w:val="0"/>
                <w:sz w:val="24"/>
                <w:highlight w:val="none"/>
                <w:u w:val="single"/>
                <w:lang w:val="en-US" w:eastAsia="zh-CN"/>
              </w:rPr>
              <w:t>或电气</w:t>
            </w:r>
            <w:r>
              <w:rPr>
                <w:rFonts w:hint="eastAsia" w:ascii="宋体" w:hAnsi="宋体" w:cs="Tahoma"/>
                <w:color w:val="auto"/>
                <w:kern w:val="0"/>
                <w:sz w:val="24"/>
                <w:highlight w:val="none"/>
                <w:u w:val="single"/>
              </w:rPr>
              <w:t>工程相关</w:t>
            </w:r>
            <w:r>
              <w:rPr>
                <w:rFonts w:hint="eastAsia" w:ascii="宋体" w:hAnsi="宋体" w:eastAsia="宋体" w:cs="Tahoma"/>
                <w:color w:val="auto"/>
                <w:kern w:val="0"/>
                <w:sz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专业</w:t>
            </w:r>
            <w:r>
              <w:rPr>
                <w:rFonts w:hint="eastAsia" w:ascii="宋体" w:hAnsi="宋体" w:eastAsia="宋体" w:cs="宋体"/>
                <w:snapToGrid w:val="0"/>
                <w:color w:val="auto"/>
                <w:kern w:val="0"/>
                <w:sz w:val="24"/>
                <w:szCs w:val="24"/>
                <w:highlight w:val="none"/>
                <w:u w:val="single"/>
              </w:rPr>
              <w:t>中级</w:t>
            </w:r>
            <w:r>
              <w:rPr>
                <w:rFonts w:hint="eastAsia" w:ascii="宋体" w:hAnsi="宋体" w:eastAsia="宋体" w:cs="宋体"/>
                <w:snapToGrid w:val="0"/>
                <w:color w:val="auto"/>
                <w:kern w:val="0"/>
                <w:sz w:val="24"/>
                <w:szCs w:val="24"/>
                <w:highlight w:val="none"/>
              </w:rPr>
              <w:t>或以上技术职称。</w:t>
            </w:r>
          </w:p>
          <w:p w14:paraId="184F5386">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3.3 投标人拟派专职安全生产管理人员须具备有效安全生产考核合格证明（C证，安全生产考核合格证书或广东省建筑施工企业管理人员安全生产考核系统考核合格信息打印页），</w:t>
            </w:r>
            <w:r>
              <w:rPr>
                <w:rFonts w:hint="eastAsia" w:ascii="宋体" w:hAnsi="宋体" w:eastAsia="宋体" w:cs="宋体"/>
                <w:color w:val="auto"/>
                <w:sz w:val="24"/>
                <w:szCs w:val="24"/>
                <w:highlight w:val="none"/>
              </w:rPr>
              <w:t>且不少于1人。</w:t>
            </w:r>
          </w:p>
          <w:p w14:paraId="7EC9A638">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3.4 投标人（包括组成联合体的所有成员单位）与其拟派往本项目管理机构的所有人员之间必须具备合法、唯一的劳动聘用关系（提供社保证明或劳动合同）。拟派人员中具备注册执业资格的，其注册单位须与投标人保持一致。</w:t>
            </w:r>
          </w:p>
          <w:p w14:paraId="3B850A58">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4.</w:t>
            </w:r>
            <w:r>
              <w:rPr>
                <w:rFonts w:hint="eastAsia" w:ascii="宋体" w:hAnsi="宋体" w:eastAsia="宋体" w:cs="宋体"/>
                <w:snapToGrid w:val="0"/>
                <w:color w:val="auto"/>
                <w:kern w:val="0"/>
                <w:sz w:val="24"/>
                <w:szCs w:val="24"/>
                <w:highlight w:val="none"/>
              </w:rPr>
              <w:t>禁止投标条款：</w:t>
            </w:r>
          </w:p>
          <w:p w14:paraId="01675070">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4.1 投标人不得存在下列情形之一：    </w:t>
            </w:r>
          </w:p>
          <w:p w14:paraId="3C89A089">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（1）为招标人不具有独立法人资格的附属机构（单位）；</w:t>
            </w:r>
          </w:p>
          <w:p w14:paraId="4D6A6F24">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（2）为本招标项目前期准备提供设计或咨询服务的；</w:t>
            </w:r>
          </w:p>
          <w:p w14:paraId="53ABEEE3">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（3）与本招标项目的其他投标人为同一个单位负责人；</w:t>
            </w:r>
          </w:p>
          <w:p w14:paraId="30970EE7">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（4）与本招标项目的其他投标人存在控股、管理关系；</w:t>
            </w:r>
          </w:p>
          <w:p w14:paraId="1550448A">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（5</w:t>
            </w:r>
            <w:r>
              <w:rPr>
                <w:rFonts w:hint="eastAsia" w:ascii="宋体" w:hAnsi="宋体" w:eastAsia="宋体" w:cs="宋体"/>
                <w:snapToGrid w:val="0"/>
                <w:color w:val="auto"/>
                <w:kern w:val="0"/>
                <w:sz w:val="24"/>
                <w:szCs w:val="24"/>
                <w:highlight w:val="none"/>
                <w:lang w:eastAsia="zh-CN"/>
              </w:rPr>
              <w:t>）作</w:t>
            </w:r>
            <w:r>
              <w:rPr>
                <w:rFonts w:hint="eastAsia" w:ascii="宋体" w:hAnsi="宋体" w:eastAsia="宋体" w:cs="宋体"/>
                <w:snapToGrid w:val="0"/>
                <w:color w:val="auto"/>
                <w:kern w:val="0"/>
                <w:sz w:val="24"/>
                <w:szCs w:val="24"/>
                <w:highlight w:val="none"/>
              </w:rPr>
              <w:t>为本招标项目的监理人；</w:t>
            </w:r>
          </w:p>
          <w:p w14:paraId="4509A2D6">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（6）为本招标项目的代建人；</w:t>
            </w:r>
          </w:p>
          <w:p w14:paraId="7B57C1A4">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（7</w:t>
            </w:r>
            <w:r>
              <w:rPr>
                <w:rFonts w:hint="eastAsia" w:ascii="宋体" w:hAnsi="宋体" w:eastAsia="宋体" w:cs="宋体"/>
                <w:snapToGrid w:val="0"/>
                <w:color w:val="auto"/>
                <w:kern w:val="0"/>
                <w:sz w:val="24"/>
                <w:szCs w:val="24"/>
                <w:highlight w:val="none"/>
                <w:lang w:eastAsia="zh-CN"/>
              </w:rPr>
              <w:t>）作</w:t>
            </w:r>
            <w:r>
              <w:rPr>
                <w:rFonts w:hint="eastAsia" w:ascii="宋体" w:hAnsi="宋体" w:eastAsia="宋体" w:cs="宋体"/>
                <w:snapToGrid w:val="0"/>
                <w:color w:val="auto"/>
                <w:kern w:val="0"/>
                <w:sz w:val="24"/>
                <w:szCs w:val="24"/>
                <w:highlight w:val="none"/>
              </w:rPr>
              <w:t>为本招标项目的招标代理机构；</w:t>
            </w:r>
          </w:p>
          <w:p w14:paraId="161B799A">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（8）与本招标项目的监理人或代建人或招标代理机构同为一个法定代表人；</w:t>
            </w:r>
          </w:p>
          <w:p w14:paraId="6F879543">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（9）与本招标项目的监理人或代建人或招标代理机构存在控股或参股关系；</w:t>
            </w:r>
          </w:p>
          <w:p w14:paraId="5C1D90C6">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（10）与本招标项目的监理人或代建人或招标代理机构存在相互任职或工作关系；</w:t>
            </w:r>
          </w:p>
          <w:p w14:paraId="6380FF9E">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（11）被依法暂停或者取消投标资格；</w:t>
            </w:r>
          </w:p>
          <w:p w14:paraId="65489952">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（12）被责令停产停业、暂扣或者吊销许可证、暂扣或者吊销执照；</w:t>
            </w:r>
          </w:p>
          <w:p w14:paraId="1CDF7A45">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（13）进入清算程序，或被宣告破产，或其他丧失履约能力的情形；</w:t>
            </w:r>
          </w:p>
          <w:p w14:paraId="4A538FFD">
            <w:pPr>
              <w:keepNext w:val="0"/>
              <w:keepLines w:val="0"/>
              <w:pageBreakBefore w:val="0"/>
              <w:wordWrap w:val="0"/>
              <w:overflowPunct/>
              <w:bidi w:val="0"/>
              <w:adjustRightInd w:val="0"/>
              <w:snapToGrid w:val="0"/>
              <w:spacing w:line="400" w:lineRule="exact"/>
              <w:ind w:left="0" w:leftChars="0" w:firstLine="458" w:firstLineChars="1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7C1111BF">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（15）被“信用中国”网站（https://www.creditchina.gov.cn）发布的《法人和非法人组织公共信用信息报告》列为严重失信主体名单的。</w:t>
            </w:r>
          </w:p>
          <w:p w14:paraId="18B705A5">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4.2 招标人拒绝以下名单中的单位参加本次投标</w:t>
            </w:r>
          </w:p>
          <w:tbl>
            <w:tblPr>
              <w:tblStyle w:val="15"/>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73"/>
              <w:gridCol w:w="3492"/>
            </w:tblGrid>
            <w:tr w14:paraId="4F2E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80" w:type="dxa"/>
                  <w:noWrap w:val="0"/>
                  <w:vAlign w:val="center"/>
                </w:tcPr>
                <w:p w14:paraId="3ED03516">
                  <w:pPr>
                    <w:keepNext w:val="0"/>
                    <w:keepLines w:val="0"/>
                    <w:pageBreakBefore w:val="0"/>
                    <w:wordWrap w:val="0"/>
                    <w:overflowPunct/>
                    <w:bidi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2873" w:type="dxa"/>
                  <w:noWrap w:val="0"/>
                  <w:vAlign w:val="center"/>
                </w:tcPr>
                <w:p w14:paraId="60FCF8AA">
                  <w:pPr>
                    <w:keepNext w:val="0"/>
                    <w:keepLines w:val="0"/>
                    <w:pageBreakBefore w:val="0"/>
                    <w:wordWrap w:val="0"/>
                    <w:overflowPunct/>
                    <w:bidi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p>
              </w:tc>
              <w:tc>
                <w:tcPr>
                  <w:tcW w:w="3492" w:type="dxa"/>
                  <w:noWrap w:val="0"/>
                  <w:vAlign w:val="center"/>
                </w:tcPr>
                <w:p w14:paraId="39D50CED">
                  <w:pPr>
                    <w:keepNext w:val="0"/>
                    <w:keepLines w:val="0"/>
                    <w:pageBreakBefore w:val="0"/>
                    <w:wordWrap w:val="0"/>
                    <w:overflowPunct/>
                    <w:bidi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拒绝原因</w:t>
                  </w:r>
                </w:p>
              </w:tc>
            </w:tr>
            <w:tr w14:paraId="6331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80" w:type="dxa"/>
                  <w:noWrap w:val="0"/>
                  <w:vAlign w:val="center"/>
                </w:tcPr>
                <w:p w14:paraId="705F46D2">
                  <w:pPr>
                    <w:pStyle w:val="22"/>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rPr>
                  </w:pPr>
                  <w:r>
                    <w:rPr>
                      <w:rFonts w:hint="eastAsia" w:ascii="宋体" w:hAnsi="宋体" w:eastAsia="宋体" w:cs="宋体"/>
                      <w:iCs/>
                      <w:snapToGrid w:val="0"/>
                      <w:color w:val="auto"/>
                      <w:kern w:val="0"/>
                      <w:sz w:val="24"/>
                      <w:szCs w:val="24"/>
                      <w:highlight w:val="none"/>
                    </w:rPr>
                    <w:t>1</w:t>
                  </w:r>
                </w:p>
              </w:tc>
              <w:tc>
                <w:tcPr>
                  <w:tcW w:w="2873" w:type="dxa"/>
                  <w:shd w:val="clear" w:color="auto" w:fill="auto"/>
                  <w:noWrap w:val="0"/>
                  <w:vAlign w:val="center"/>
                </w:tcPr>
                <w:p w14:paraId="6E7712FF">
                  <w:pPr>
                    <w:keepNext w:val="0"/>
                    <w:keepLines w:val="0"/>
                    <w:pageBreakBefore w:val="0"/>
                    <w:wordWrap w:val="0"/>
                    <w:overflowPunct/>
                    <w:bidi w:val="0"/>
                    <w:adjustRightInd w:val="0"/>
                    <w:snapToGrid w:val="0"/>
                    <w:spacing w:line="240" w:lineRule="auto"/>
                    <w:rPr>
                      <w:rFonts w:hint="eastAsia" w:ascii="宋体" w:hAnsi="宋体" w:eastAsia="宋体" w:cs="宋体"/>
                      <w:bCs/>
                      <w:snapToGrid w:val="0"/>
                      <w:color w:val="auto"/>
                      <w:kern w:val="0"/>
                      <w:sz w:val="24"/>
                      <w:szCs w:val="24"/>
                      <w:highlight w:val="none"/>
                      <w:lang w:val="en-US" w:eastAsia="en-US" w:bidi="ar-SA"/>
                    </w:rPr>
                  </w:pPr>
                  <w:r>
                    <w:rPr>
                      <w:rFonts w:hint="eastAsia" w:ascii="宋体" w:hAnsi="宋体" w:eastAsia="宋体" w:cs="宋体"/>
                      <w:bCs/>
                      <w:snapToGrid w:val="0"/>
                      <w:color w:val="auto"/>
                      <w:kern w:val="0"/>
                      <w:sz w:val="24"/>
                      <w:szCs w:val="24"/>
                      <w:highlight w:val="none"/>
                      <w:lang w:val="en-US" w:eastAsia="en-US" w:bidi="ar-SA"/>
                    </w:rPr>
                    <w:t>广东联网电力股份有限公司</w:t>
                  </w:r>
                </w:p>
              </w:tc>
              <w:tc>
                <w:tcPr>
                  <w:tcW w:w="3492" w:type="dxa"/>
                  <w:shd w:val="clear" w:color="auto" w:fill="auto"/>
                  <w:noWrap w:val="0"/>
                  <w:vAlign w:val="center"/>
                </w:tcPr>
                <w:p w14:paraId="4BC20184">
                  <w:pPr>
                    <w:pStyle w:val="22"/>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为本招标项目的可行性研究报告编制单位</w:t>
                  </w:r>
                </w:p>
              </w:tc>
            </w:tr>
            <w:tr w14:paraId="3F78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780" w:type="dxa"/>
                  <w:noWrap w:val="0"/>
                  <w:vAlign w:val="center"/>
                </w:tcPr>
                <w:p w14:paraId="1A327752">
                  <w:pPr>
                    <w:pStyle w:val="22"/>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rPr>
                  </w:pPr>
                  <w:r>
                    <w:rPr>
                      <w:rFonts w:hint="eastAsia" w:ascii="宋体" w:hAnsi="宋体" w:eastAsia="宋体" w:cs="宋体"/>
                      <w:iCs/>
                      <w:snapToGrid w:val="0"/>
                      <w:color w:val="auto"/>
                      <w:kern w:val="0"/>
                      <w:sz w:val="24"/>
                      <w:szCs w:val="24"/>
                      <w:highlight w:val="none"/>
                    </w:rPr>
                    <w:t>2</w:t>
                  </w:r>
                </w:p>
              </w:tc>
              <w:tc>
                <w:tcPr>
                  <w:tcW w:w="2873" w:type="dxa"/>
                  <w:shd w:val="clear" w:color="auto" w:fill="auto"/>
                  <w:noWrap w:val="0"/>
                  <w:vAlign w:val="center"/>
                </w:tcPr>
                <w:p w14:paraId="6330459C">
                  <w:pPr>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en-US" w:bidi="ar-SA"/>
                    </w:rPr>
                  </w:pPr>
                  <w:r>
                    <w:rPr>
                      <w:rFonts w:hint="eastAsia" w:ascii="宋体" w:hAnsi="宋体" w:eastAsia="宋体" w:cs="宋体"/>
                      <w:iCs/>
                      <w:snapToGrid w:val="0"/>
                      <w:color w:val="auto"/>
                      <w:kern w:val="0"/>
                      <w:sz w:val="24"/>
                      <w:szCs w:val="24"/>
                      <w:highlight w:val="none"/>
                      <w:lang w:val="en-US" w:eastAsia="en-US" w:bidi="ar-SA"/>
                    </w:rPr>
                    <w:t>韶关市新辉项目管理有限公司</w:t>
                  </w:r>
                </w:p>
              </w:tc>
              <w:tc>
                <w:tcPr>
                  <w:tcW w:w="3492" w:type="dxa"/>
                  <w:shd w:val="clear" w:color="auto" w:fill="auto"/>
                  <w:noWrap w:val="0"/>
                  <w:vAlign w:val="center"/>
                </w:tcPr>
                <w:p w14:paraId="46FB768C">
                  <w:pPr>
                    <w:pStyle w:val="22"/>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为本招标项目的造价咨询单位</w:t>
                  </w:r>
                </w:p>
              </w:tc>
            </w:tr>
            <w:tr w14:paraId="576E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80" w:type="dxa"/>
                  <w:noWrap w:val="0"/>
                  <w:vAlign w:val="center"/>
                </w:tcPr>
                <w:p w14:paraId="6904E741">
                  <w:pPr>
                    <w:pStyle w:val="22"/>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rPr>
                  </w:pPr>
                  <w:r>
                    <w:rPr>
                      <w:rFonts w:hint="eastAsia" w:ascii="宋体" w:hAnsi="宋体" w:eastAsia="宋体" w:cs="宋体"/>
                      <w:iCs/>
                      <w:snapToGrid w:val="0"/>
                      <w:color w:val="auto"/>
                      <w:kern w:val="0"/>
                      <w:sz w:val="24"/>
                      <w:szCs w:val="24"/>
                      <w:highlight w:val="none"/>
                    </w:rPr>
                    <w:t>3</w:t>
                  </w:r>
                </w:p>
              </w:tc>
              <w:tc>
                <w:tcPr>
                  <w:tcW w:w="2873" w:type="dxa"/>
                  <w:shd w:val="clear" w:color="auto" w:fill="auto"/>
                  <w:noWrap w:val="0"/>
                  <w:vAlign w:val="center"/>
                </w:tcPr>
                <w:p w14:paraId="0AE7D163">
                  <w:pPr>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en-US" w:bidi="ar-SA"/>
                    </w:rPr>
                  </w:pPr>
                  <w:r>
                    <w:rPr>
                      <w:rFonts w:hint="eastAsia" w:ascii="宋体" w:hAnsi="宋体" w:eastAsia="宋体" w:cs="宋体"/>
                      <w:iCs/>
                      <w:snapToGrid w:val="0"/>
                      <w:color w:val="auto"/>
                      <w:kern w:val="0"/>
                      <w:sz w:val="24"/>
                      <w:szCs w:val="24"/>
                      <w:highlight w:val="none"/>
                      <w:lang w:val="en-US" w:eastAsia="en-US" w:bidi="ar-SA"/>
                    </w:rPr>
                    <w:t>广东联网电力股份有限公司</w:t>
                  </w:r>
                </w:p>
              </w:tc>
              <w:tc>
                <w:tcPr>
                  <w:tcW w:w="3492" w:type="dxa"/>
                  <w:shd w:val="clear" w:color="auto" w:fill="auto"/>
                  <w:noWrap w:val="0"/>
                  <w:vAlign w:val="center"/>
                </w:tcPr>
                <w:p w14:paraId="61981C05">
                  <w:pPr>
                    <w:pStyle w:val="22"/>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为本招标项目的设计单位</w:t>
                  </w:r>
                </w:p>
              </w:tc>
            </w:tr>
            <w:tr w14:paraId="4E09D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80" w:type="dxa"/>
                  <w:noWrap w:val="0"/>
                  <w:vAlign w:val="center"/>
                </w:tcPr>
                <w:p w14:paraId="7AA6FBE7">
                  <w:pPr>
                    <w:pStyle w:val="22"/>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rPr>
                  </w:pPr>
                  <w:r>
                    <w:rPr>
                      <w:rFonts w:hint="eastAsia" w:ascii="宋体" w:hAnsi="宋体" w:eastAsia="宋体" w:cs="宋体"/>
                      <w:iCs/>
                      <w:snapToGrid w:val="0"/>
                      <w:color w:val="auto"/>
                      <w:kern w:val="0"/>
                      <w:sz w:val="24"/>
                      <w:szCs w:val="24"/>
                      <w:highlight w:val="none"/>
                    </w:rPr>
                    <w:t>4</w:t>
                  </w:r>
                </w:p>
              </w:tc>
              <w:tc>
                <w:tcPr>
                  <w:tcW w:w="2873" w:type="dxa"/>
                  <w:shd w:val="clear" w:color="auto" w:fill="auto"/>
                  <w:noWrap w:val="0"/>
                  <w:vAlign w:val="center"/>
                </w:tcPr>
                <w:p w14:paraId="16484CBE">
                  <w:pPr>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lang w:eastAsia="zh-CN"/>
                    </w:rPr>
                    <w:t>韶关市建韶工程造价咨询有限公司</w:t>
                  </w:r>
                </w:p>
              </w:tc>
              <w:tc>
                <w:tcPr>
                  <w:tcW w:w="3492" w:type="dxa"/>
                  <w:shd w:val="clear" w:color="auto" w:fill="auto"/>
                  <w:noWrap w:val="0"/>
                  <w:vAlign w:val="center"/>
                </w:tcPr>
                <w:p w14:paraId="664B2A55">
                  <w:pPr>
                    <w:pStyle w:val="22"/>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为本招标项目的招标代理机构</w:t>
                  </w:r>
                </w:p>
              </w:tc>
            </w:tr>
            <w:tr w14:paraId="1808F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80" w:type="dxa"/>
                  <w:shd w:val="clear" w:color="auto" w:fill="auto"/>
                  <w:noWrap w:val="0"/>
                  <w:vAlign w:val="center"/>
                </w:tcPr>
                <w:p w14:paraId="77DF39A7">
                  <w:pPr>
                    <w:pStyle w:val="22"/>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6</w:t>
                  </w:r>
                </w:p>
              </w:tc>
              <w:tc>
                <w:tcPr>
                  <w:tcW w:w="2873" w:type="dxa"/>
                  <w:shd w:val="clear" w:color="auto" w:fill="auto"/>
                  <w:noWrap w:val="0"/>
                  <w:vAlign w:val="center"/>
                </w:tcPr>
                <w:p w14:paraId="54F48B8C">
                  <w:pPr>
                    <w:pStyle w:val="22"/>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cs="宋体"/>
                      <w:iCs/>
                      <w:snapToGrid w:val="0"/>
                      <w:color w:val="auto"/>
                      <w:kern w:val="0"/>
                      <w:sz w:val="24"/>
                      <w:szCs w:val="24"/>
                      <w:highlight w:val="none"/>
                      <w:lang w:eastAsia="zh-CN"/>
                    </w:rPr>
                    <w:t>粤北能源投资（广东）有限公司</w:t>
                  </w:r>
                </w:p>
              </w:tc>
              <w:tc>
                <w:tcPr>
                  <w:tcW w:w="3492" w:type="dxa"/>
                  <w:shd w:val="clear" w:color="auto" w:fill="auto"/>
                  <w:noWrap w:val="0"/>
                  <w:vAlign w:val="center"/>
                </w:tcPr>
                <w:p w14:paraId="459E34A1">
                  <w:pPr>
                    <w:pStyle w:val="22"/>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为本招标项目的业主单位</w:t>
                  </w:r>
                </w:p>
              </w:tc>
            </w:tr>
          </w:tbl>
          <w:p w14:paraId="55297E50">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5.</w:t>
            </w:r>
            <w:r>
              <w:rPr>
                <w:rFonts w:hint="eastAsia" w:ascii="宋体" w:hAnsi="宋体" w:eastAsia="宋体" w:cs="宋体"/>
                <w:snapToGrid w:val="0"/>
                <w:color w:val="auto"/>
                <w:kern w:val="0"/>
                <w:sz w:val="24"/>
                <w:szCs w:val="24"/>
                <w:highlight w:val="none"/>
              </w:rPr>
              <w:t>其他要求</w:t>
            </w:r>
          </w:p>
          <w:p w14:paraId="391A3991">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省外企业</w:t>
            </w:r>
            <w:r>
              <w:rPr>
                <w:rFonts w:hint="eastAsia" w:ascii="宋体" w:hAnsi="宋体" w:eastAsia="宋体" w:cs="宋体"/>
                <w:color w:val="auto"/>
                <w:sz w:val="24"/>
                <w:szCs w:val="24"/>
                <w:highlight w:val="none"/>
              </w:rPr>
              <w:t>（组成联合体时指联合体各方）及其拟派往本项目管理机构的所有人员须按照《广东省住房和城乡建设厅关于取消省外建筑企业和人员进粤信息备案有关工作的通知》（粤建市﹝2015﹞52号）规定在“进粤企业和人员诚信信息登记平台”录入相关信息并通过数据规范检查。</w:t>
            </w:r>
          </w:p>
        </w:tc>
      </w:tr>
      <w:tr w14:paraId="72EB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trPr>
        <w:tc>
          <w:tcPr>
            <w:tcW w:w="619" w:type="dxa"/>
            <w:vAlign w:val="center"/>
          </w:tcPr>
          <w:p w14:paraId="6E081D54">
            <w:pPr>
              <w:keepNext w:val="0"/>
              <w:keepLines w:val="0"/>
              <w:pageBreakBefore w:val="0"/>
              <w:widowControl w:val="0"/>
              <w:kinsoku/>
              <w:wordWrap w:val="0"/>
              <w:overflowPunct/>
              <w:topLinePunct/>
              <w:autoSpaceDE/>
              <w:autoSpaceDN/>
              <w:bidi w:val="0"/>
              <w:adjustRightInd w:val="0"/>
              <w:snapToGrid w:val="0"/>
              <w:spacing w:before="19"/>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27</w:t>
            </w:r>
          </w:p>
        </w:tc>
        <w:tc>
          <w:tcPr>
            <w:tcW w:w="1860" w:type="dxa"/>
            <w:vAlign w:val="center"/>
          </w:tcPr>
          <w:p w14:paraId="4A512080">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投标有效期</w:t>
            </w:r>
          </w:p>
        </w:tc>
        <w:tc>
          <w:tcPr>
            <w:tcW w:w="7575" w:type="dxa"/>
            <w:vAlign w:val="center"/>
          </w:tcPr>
          <w:p w14:paraId="0E558CF8">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本次招标的投标有效期为</w:t>
            </w:r>
            <w:r>
              <w:rPr>
                <w:rFonts w:hint="eastAsia" w:asciiTheme="minorEastAsia" w:hAnsiTheme="minorEastAsia" w:eastAsiaTheme="minorEastAsia" w:cstheme="minorEastAsia"/>
                <w:snapToGrid w:val="0"/>
                <w:color w:val="auto"/>
                <w:kern w:val="0"/>
                <w:sz w:val="24"/>
                <w:szCs w:val="24"/>
                <w:highlight w:val="none"/>
                <w:u w:val="single"/>
                <w:lang w:eastAsia="zh-CN"/>
              </w:rPr>
              <w:t>90</w:t>
            </w:r>
            <w:r>
              <w:rPr>
                <w:rFonts w:hint="eastAsia" w:asciiTheme="minorEastAsia" w:hAnsiTheme="minorEastAsia" w:eastAsiaTheme="minorEastAsia" w:cstheme="minorEastAsia"/>
                <w:snapToGrid w:val="0"/>
                <w:color w:val="auto"/>
                <w:kern w:val="0"/>
                <w:sz w:val="24"/>
                <w:szCs w:val="24"/>
                <w:highlight w:val="none"/>
                <w:lang w:eastAsia="zh-CN"/>
              </w:rPr>
              <w:t xml:space="preserve"> 个日历天。</w:t>
            </w:r>
          </w:p>
        </w:tc>
      </w:tr>
      <w:tr w14:paraId="6FB8A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atLeast"/>
        </w:trPr>
        <w:tc>
          <w:tcPr>
            <w:tcW w:w="619" w:type="dxa"/>
            <w:vAlign w:val="center"/>
          </w:tcPr>
          <w:p w14:paraId="682114EE">
            <w:pPr>
              <w:keepNext w:val="0"/>
              <w:keepLines w:val="0"/>
              <w:pageBreakBefore w:val="0"/>
              <w:widowControl w:val="0"/>
              <w:kinsoku/>
              <w:wordWrap w:val="0"/>
              <w:overflowPunct/>
              <w:topLinePunct/>
              <w:autoSpaceDE/>
              <w:autoSpaceDN/>
              <w:bidi w:val="0"/>
              <w:adjustRightInd w:val="0"/>
              <w:snapToGrid w:val="0"/>
              <w:spacing w:before="69" w:line="188" w:lineRule="auto"/>
              <w:ind w:left="205" w:right="84" w:rightChars="4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28</w:t>
            </w:r>
          </w:p>
        </w:tc>
        <w:tc>
          <w:tcPr>
            <w:tcW w:w="1860" w:type="dxa"/>
            <w:vAlign w:val="center"/>
          </w:tcPr>
          <w:p w14:paraId="51432E75">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投标文件组成</w:t>
            </w:r>
          </w:p>
        </w:tc>
        <w:tc>
          <w:tcPr>
            <w:tcW w:w="7575" w:type="dxa"/>
            <w:vAlign w:val="center"/>
          </w:tcPr>
          <w:p w14:paraId="04343C35">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投标文件包括商务标书、经济标书、施工组织设计三个分册。</w:t>
            </w:r>
          </w:p>
        </w:tc>
      </w:tr>
      <w:tr w14:paraId="39D57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600756DB">
            <w:pPr>
              <w:keepNext w:val="0"/>
              <w:keepLines w:val="0"/>
              <w:pageBreakBefore w:val="0"/>
              <w:widowControl w:val="0"/>
              <w:kinsoku/>
              <w:wordWrap w:val="0"/>
              <w:overflowPunct/>
              <w:topLinePunct/>
              <w:autoSpaceDE/>
              <w:autoSpaceDN/>
              <w:bidi w:val="0"/>
              <w:adjustRightInd w:val="0"/>
              <w:snapToGrid w:val="0"/>
              <w:spacing w:before="69" w:line="188" w:lineRule="auto"/>
              <w:ind w:left="205" w:right="84" w:rightChars="4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29</w:t>
            </w:r>
          </w:p>
        </w:tc>
        <w:tc>
          <w:tcPr>
            <w:tcW w:w="1860" w:type="dxa"/>
            <w:vAlign w:val="center"/>
          </w:tcPr>
          <w:p w14:paraId="40146035">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施工组织设计评审方式</w:t>
            </w:r>
          </w:p>
        </w:tc>
        <w:tc>
          <w:tcPr>
            <w:tcW w:w="7575" w:type="dxa"/>
            <w:vAlign w:val="center"/>
          </w:tcPr>
          <w:p w14:paraId="1D15E9B5">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本次招标施工组织设计</w:t>
            </w:r>
            <w:r>
              <w:rPr>
                <w:rFonts w:hint="eastAsia" w:asciiTheme="minorEastAsia" w:hAnsiTheme="minorEastAsia" w:eastAsiaTheme="minorEastAsia" w:cstheme="minorEastAsia"/>
                <w:snapToGrid w:val="0"/>
                <w:color w:val="auto"/>
                <w:kern w:val="0"/>
                <w:sz w:val="24"/>
                <w:szCs w:val="24"/>
                <w:highlight w:val="none"/>
                <w:u w:val="single"/>
                <w:lang w:eastAsia="zh-CN"/>
              </w:rPr>
              <w:t xml:space="preserve"> 不采用 </w:t>
            </w:r>
            <w:r>
              <w:rPr>
                <w:rFonts w:hint="eastAsia" w:asciiTheme="minorEastAsia" w:hAnsiTheme="minorEastAsia" w:eastAsiaTheme="minorEastAsia" w:cstheme="minorEastAsia"/>
                <w:snapToGrid w:val="0"/>
                <w:color w:val="auto"/>
                <w:kern w:val="0"/>
                <w:sz w:val="24"/>
                <w:szCs w:val="24"/>
                <w:highlight w:val="none"/>
                <w:lang w:eastAsia="zh-CN"/>
              </w:rPr>
              <w:t>“暗标”方式进行评审。</w:t>
            </w:r>
          </w:p>
        </w:tc>
      </w:tr>
      <w:tr w14:paraId="0E6F3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3E18ABBE">
            <w:pPr>
              <w:keepNext w:val="0"/>
              <w:keepLines w:val="0"/>
              <w:pageBreakBefore w:val="0"/>
              <w:widowControl w:val="0"/>
              <w:kinsoku/>
              <w:wordWrap w:val="0"/>
              <w:overflowPunct/>
              <w:topLinePunct/>
              <w:autoSpaceDE/>
              <w:autoSpaceDN/>
              <w:bidi w:val="0"/>
              <w:adjustRightInd w:val="0"/>
              <w:snapToGrid w:val="0"/>
              <w:spacing w:before="69" w:line="188" w:lineRule="auto"/>
              <w:ind w:left="209" w:right="84" w:rightChars="4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5"/>
                <w:sz w:val="24"/>
                <w:szCs w:val="24"/>
                <w:highlight w:val="none"/>
              </w:rPr>
              <w:t>30</w:t>
            </w:r>
          </w:p>
        </w:tc>
        <w:tc>
          <w:tcPr>
            <w:tcW w:w="1860" w:type="dxa"/>
            <w:vAlign w:val="center"/>
          </w:tcPr>
          <w:p w14:paraId="02AB03D0">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评标委员会</w:t>
            </w:r>
          </w:p>
        </w:tc>
        <w:tc>
          <w:tcPr>
            <w:tcW w:w="7575" w:type="dxa"/>
            <w:vAlign w:val="top"/>
          </w:tcPr>
          <w:p w14:paraId="1A2AD732">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评标委员会由5人组成，其中招标人代表0人，专家5人。专家从广东省综合评标评审专家库（韶关区域）中随机抽取，其中技术类专家3人，经济类专家 2 人。</w:t>
            </w:r>
          </w:p>
        </w:tc>
      </w:tr>
      <w:tr w14:paraId="62E2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3" w:hRule="atLeast"/>
        </w:trPr>
        <w:tc>
          <w:tcPr>
            <w:tcW w:w="619" w:type="dxa"/>
            <w:vAlign w:val="center"/>
          </w:tcPr>
          <w:p w14:paraId="2BA5104C">
            <w:pPr>
              <w:keepNext w:val="0"/>
              <w:keepLines w:val="0"/>
              <w:pageBreakBefore w:val="0"/>
              <w:widowControl w:val="0"/>
              <w:kinsoku/>
              <w:wordWrap w:val="0"/>
              <w:overflowPunct/>
              <w:topLinePunct/>
              <w:autoSpaceDE/>
              <w:autoSpaceDN/>
              <w:bidi w:val="0"/>
              <w:adjustRightInd w:val="0"/>
              <w:snapToGrid w:val="0"/>
              <w:spacing w:before="258" w:line="188" w:lineRule="auto"/>
              <w:ind w:left="209" w:right="84" w:rightChars="4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5"/>
                <w:sz w:val="24"/>
                <w:szCs w:val="24"/>
                <w:highlight w:val="none"/>
              </w:rPr>
              <w:t>31</w:t>
            </w:r>
          </w:p>
        </w:tc>
        <w:tc>
          <w:tcPr>
            <w:tcW w:w="1860" w:type="dxa"/>
            <w:vAlign w:val="center"/>
          </w:tcPr>
          <w:p w14:paraId="634D7CF3">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评标方法</w:t>
            </w:r>
          </w:p>
        </w:tc>
        <w:tc>
          <w:tcPr>
            <w:tcW w:w="7575" w:type="dxa"/>
            <w:vAlign w:val="center"/>
          </w:tcPr>
          <w:p w14:paraId="1C9AD8C4">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 A＋B 值评标法  □经评审的最低投标价法   ☑综合评估法</w:t>
            </w:r>
          </w:p>
        </w:tc>
      </w:tr>
      <w:tr w14:paraId="54139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2997E770">
            <w:pPr>
              <w:keepNext w:val="0"/>
              <w:keepLines w:val="0"/>
              <w:pageBreakBefore w:val="0"/>
              <w:widowControl w:val="0"/>
              <w:kinsoku/>
              <w:wordWrap w:val="0"/>
              <w:overflowPunct/>
              <w:topLinePunct/>
              <w:autoSpaceDE/>
              <w:autoSpaceDN/>
              <w:bidi w:val="0"/>
              <w:adjustRightInd w:val="0"/>
              <w:snapToGrid w:val="0"/>
              <w:spacing w:before="69" w:line="188" w:lineRule="auto"/>
              <w:ind w:left="209" w:right="84" w:rightChars="40"/>
              <w:rPr>
                <w:rFonts w:hint="eastAsia" w:asciiTheme="minorEastAsia" w:hAnsiTheme="minorEastAsia" w:eastAsiaTheme="minorEastAsia" w:cstheme="minorEastAsia"/>
                <w:color w:val="auto"/>
                <w:spacing w:val="-5"/>
                <w:sz w:val="24"/>
                <w:szCs w:val="24"/>
                <w:highlight w:val="none"/>
                <w:lang w:eastAsia="zh-CN"/>
              </w:rPr>
            </w:pPr>
            <w:r>
              <w:rPr>
                <w:rFonts w:hint="eastAsia" w:asciiTheme="minorEastAsia" w:hAnsiTheme="minorEastAsia" w:eastAsiaTheme="minorEastAsia" w:cstheme="minorEastAsia"/>
                <w:color w:val="auto"/>
                <w:spacing w:val="-5"/>
                <w:sz w:val="24"/>
                <w:szCs w:val="24"/>
                <w:highlight w:val="none"/>
                <w:lang w:eastAsia="zh-CN"/>
              </w:rPr>
              <w:t>3</w:t>
            </w:r>
            <w:r>
              <w:rPr>
                <w:rFonts w:hint="eastAsia" w:asciiTheme="minorEastAsia" w:hAnsiTheme="minorEastAsia" w:eastAsiaTheme="minorEastAsia" w:cstheme="minorEastAsia"/>
                <w:color w:val="auto"/>
                <w:spacing w:val="-5"/>
                <w:sz w:val="24"/>
                <w:szCs w:val="24"/>
                <w:highlight w:val="none"/>
                <w:lang w:val="en-US" w:eastAsia="zh-CN"/>
              </w:rPr>
              <w:t>2</w:t>
            </w:r>
          </w:p>
        </w:tc>
        <w:tc>
          <w:tcPr>
            <w:tcW w:w="1860" w:type="dxa"/>
            <w:vAlign w:val="center"/>
          </w:tcPr>
          <w:p w14:paraId="77C19F78">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招标代理费</w:t>
            </w:r>
          </w:p>
        </w:tc>
        <w:tc>
          <w:tcPr>
            <w:tcW w:w="7575" w:type="dxa"/>
            <w:vAlign w:val="center"/>
          </w:tcPr>
          <w:p w14:paraId="0E809DC8">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本工程的招标代理费由中标人支付，该费用不再另行报价，由投标人在投标报价时综合考虑在内。招标代理服务费为人民币贰万元整（￥20000.00元）。中标人在中标公示结束后三日内须向招标代理机构一次性支付招标代理服务费。</w:t>
            </w:r>
          </w:p>
        </w:tc>
      </w:tr>
      <w:tr w14:paraId="7C14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6A873713">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pacing w:val="-5"/>
                <w:sz w:val="24"/>
                <w:szCs w:val="24"/>
                <w:highlight w:val="none"/>
              </w:rPr>
              <w:t>3</w:t>
            </w:r>
            <w:r>
              <w:rPr>
                <w:rFonts w:hint="eastAsia" w:asciiTheme="minorEastAsia" w:hAnsiTheme="minorEastAsia" w:eastAsiaTheme="minorEastAsia" w:cstheme="minorEastAsia"/>
                <w:color w:val="auto"/>
                <w:spacing w:val="-5"/>
                <w:sz w:val="24"/>
                <w:szCs w:val="24"/>
                <w:highlight w:val="none"/>
                <w:lang w:val="en-US" w:eastAsia="zh-CN"/>
              </w:rPr>
              <w:t>3</w:t>
            </w:r>
          </w:p>
        </w:tc>
        <w:tc>
          <w:tcPr>
            <w:tcW w:w="1860" w:type="dxa"/>
            <w:vAlign w:val="center"/>
          </w:tcPr>
          <w:p w14:paraId="0ABE1136">
            <w:pPr>
              <w:wordWrap w:val="0"/>
              <w:adjustRightInd w:val="0"/>
              <w:snapToGrid w:val="0"/>
              <w:spacing w:line="360" w:lineRule="exact"/>
              <w:jc w:val="center"/>
              <w:rPr>
                <w:rFonts w:ascii="Times New Roman"/>
                <w:snapToGrid w:val="0"/>
                <w:color w:val="auto"/>
                <w:kern w:val="0"/>
                <w:sz w:val="24"/>
                <w:szCs w:val="24"/>
                <w:highlight w:val="none"/>
              </w:rPr>
            </w:pPr>
            <w:r>
              <w:rPr>
                <w:rFonts w:ascii="Times New Roman"/>
                <w:snapToGrid w:val="0"/>
                <w:color w:val="auto"/>
                <w:kern w:val="0"/>
                <w:sz w:val="24"/>
                <w:szCs w:val="24"/>
                <w:highlight w:val="none"/>
              </w:rPr>
              <w:t>招标人</w:t>
            </w:r>
          </w:p>
          <w:p w14:paraId="6C74298F">
            <w:pPr>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szCs w:val="24"/>
                <w:highlight w:val="none"/>
                <w:lang w:eastAsia="zh-CN"/>
              </w:rPr>
            </w:pPr>
            <w:r>
              <w:rPr>
                <w:rFonts w:ascii="Times New Roman"/>
                <w:snapToGrid w:val="0"/>
                <w:color w:val="auto"/>
                <w:kern w:val="0"/>
                <w:sz w:val="24"/>
                <w:szCs w:val="24"/>
                <w:highlight w:val="none"/>
              </w:rPr>
              <w:t>联系方式</w:t>
            </w:r>
          </w:p>
        </w:tc>
        <w:tc>
          <w:tcPr>
            <w:tcW w:w="7575" w:type="dxa"/>
            <w:vAlign w:val="center"/>
          </w:tcPr>
          <w:p w14:paraId="02B1F81C">
            <w:pPr>
              <w:wordWrap w:val="0"/>
              <w:adjustRightInd w:val="0"/>
              <w:snapToGrid w:val="0"/>
              <w:spacing w:line="400" w:lineRule="exact"/>
              <w:jc w:val="left"/>
              <w:rPr>
                <w:rFonts w:hint="eastAsia" w:eastAsia="宋体"/>
                <w:snapToGrid w:val="0"/>
                <w:color w:val="auto"/>
                <w:kern w:val="0"/>
                <w:sz w:val="24"/>
                <w:szCs w:val="24"/>
                <w:highlight w:val="none"/>
                <w:lang w:eastAsia="zh-CN"/>
              </w:rPr>
            </w:pPr>
            <w:r>
              <w:rPr>
                <w:rFonts w:hint="eastAsia"/>
                <w:snapToGrid w:val="0"/>
                <w:color w:val="auto"/>
                <w:kern w:val="0"/>
                <w:sz w:val="24"/>
                <w:szCs w:val="24"/>
                <w:highlight w:val="none"/>
              </w:rPr>
              <w:t>单位名称</w:t>
            </w:r>
            <w:r>
              <w:rPr>
                <w:rFonts w:hint="eastAsia"/>
                <w:snapToGrid w:val="0"/>
                <w:color w:val="auto"/>
                <w:kern w:val="0"/>
                <w:sz w:val="24"/>
                <w:szCs w:val="24"/>
                <w:highlight w:val="none"/>
                <w:lang w:eastAsia="zh-CN"/>
              </w:rPr>
              <w:t>：粤北能源投资（广东）有限公司</w:t>
            </w:r>
          </w:p>
          <w:p w14:paraId="5E4E30DB">
            <w:pPr>
              <w:wordWrap w:val="0"/>
              <w:adjustRightInd w:val="0"/>
              <w:snapToGrid w:val="0"/>
              <w:spacing w:line="400" w:lineRule="exact"/>
              <w:jc w:val="left"/>
              <w:rPr>
                <w:rFonts w:hint="default"/>
                <w:snapToGrid w:val="0"/>
                <w:color w:val="auto"/>
                <w:kern w:val="0"/>
                <w:sz w:val="24"/>
                <w:szCs w:val="24"/>
                <w:highlight w:val="none"/>
                <w:lang w:val="en-US" w:eastAsia="zh-CN"/>
              </w:rPr>
            </w:pPr>
            <w:r>
              <w:rPr>
                <w:rFonts w:hint="eastAsia"/>
                <w:snapToGrid w:val="0"/>
                <w:color w:val="auto"/>
                <w:kern w:val="0"/>
                <w:sz w:val="24"/>
                <w:szCs w:val="24"/>
                <w:highlight w:val="none"/>
              </w:rPr>
              <w:t>办公地址</w:t>
            </w:r>
            <w:r>
              <w:rPr>
                <w:rFonts w:hint="eastAsia" w:ascii="Times New Roman"/>
                <w:snapToGrid w:val="0"/>
                <w:color w:val="auto"/>
                <w:kern w:val="0"/>
                <w:sz w:val="24"/>
                <w:szCs w:val="24"/>
                <w:highlight w:val="none"/>
              </w:rPr>
              <w:t>：广东省韶关市武江区工业中路19号</w:t>
            </w:r>
          </w:p>
          <w:p w14:paraId="59BAAE11">
            <w:pPr>
              <w:pStyle w:val="22"/>
              <w:wordWrap w:val="0"/>
              <w:adjustRightInd w:val="0"/>
              <w:snapToGrid w:val="0"/>
              <w:spacing w:line="440" w:lineRule="exact"/>
              <w:jc w:val="left"/>
              <w:rPr>
                <w:rFonts w:hint="eastAsia" w:eastAsia="宋体"/>
                <w:snapToGrid w:val="0"/>
                <w:color w:val="auto"/>
                <w:kern w:val="0"/>
                <w:sz w:val="24"/>
                <w:szCs w:val="24"/>
                <w:highlight w:val="none"/>
                <w:lang w:eastAsia="zh-CN"/>
              </w:rPr>
            </w:pPr>
            <w:r>
              <w:rPr>
                <w:rFonts w:hint="eastAsia"/>
                <w:snapToGrid w:val="0"/>
                <w:color w:val="auto"/>
                <w:kern w:val="0"/>
                <w:sz w:val="24"/>
                <w:szCs w:val="24"/>
                <w:highlight w:val="none"/>
              </w:rPr>
              <w:t>联系人（部门）：</w:t>
            </w:r>
            <w:r>
              <w:rPr>
                <w:rFonts w:hint="eastAsia"/>
                <w:snapToGrid w:val="0"/>
                <w:color w:val="auto"/>
                <w:kern w:val="0"/>
                <w:sz w:val="24"/>
                <w:szCs w:val="24"/>
                <w:highlight w:val="none"/>
                <w:lang w:eastAsia="zh-CN"/>
              </w:rPr>
              <w:t>胡工</w:t>
            </w:r>
            <w:r>
              <w:rPr>
                <w:rFonts w:hint="eastAsia"/>
                <w:snapToGrid w:val="0"/>
                <w:color w:val="auto"/>
                <w:kern w:val="0"/>
                <w:sz w:val="24"/>
                <w:szCs w:val="24"/>
                <w:highlight w:val="none"/>
                <w:lang w:val="en-US" w:eastAsia="zh-CN"/>
              </w:rPr>
              <w:t xml:space="preserve">   </w:t>
            </w:r>
          </w:p>
          <w:p w14:paraId="0E94FA5A">
            <w:pPr>
              <w:wordWrap w:val="0"/>
              <w:adjustRightInd w:val="0"/>
              <w:snapToGrid w:val="0"/>
              <w:spacing w:line="400" w:lineRule="exact"/>
              <w:jc w:val="left"/>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imes New Roman"/>
                <w:snapToGrid w:val="0"/>
                <w:color w:val="auto"/>
                <w:kern w:val="0"/>
                <w:sz w:val="24"/>
                <w:szCs w:val="24"/>
                <w:highlight w:val="none"/>
              </w:rPr>
              <w:t>联系电话：0751-</w:t>
            </w:r>
            <w:r>
              <w:rPr>
                <w:rFonts w:hint="eastAsia" w:ascii="Times New Roman"/>
                <w:snapToGrid w:val="0"/>
                <w:color w:val="auto"/>
                <w:kern w:val="0"/>
                <w:sz w:val="24"/>
                <w:szCs w:val="24"/>
                <w:highlight w:val="none"/>
                <w:lang w:val="en-US" w:eastAsia="zh-CN"/>
              </w:rPr>
              <w:t>8705331</w:t>
            </w:r>
            <w:r>
              <w:rPr>
                <w:rFonts w:hint="eastAsia" w:ascii="Times New Roman"/>
                <w:snapToGrid w:val="0"/>
                <w:color w:val="auto"/>
                <w:kern w:val="0"/>
                <w:sz w:val="24"/>
                <w:szCs w:val="24"/>
                <w:highlight w:val="none"/>
              </w:rPr>
              <w:t xml:space="preserve"> </w:t>
            </w:r>
          </w:p>
        </w:tc>
      </w:tr>
      <w:tr w14:paraId="7F50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0A5B9024">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pacing w:val="-5"/>
                <w:sz w:val="24"/>
                <w:szCs w:val="24"/>
                <w:highlight w:val="none"/>
                <w:lang w:eastAsia="zh-CN"/>
              </w:rPr>
            </w:pPr>
            <w:r>
              <w:rPr>
                <w:rFonts w:hint="eastAsia" w:asciiTheme="minorEastAsia" w:hAnsiTheme="minorEastAsia" w:eastAsiaTheme="minorEastAsia" w:cstheme="minorEastAsia"/>
                <w:color w:val="auto"/>
                <w:spacing w:val="-5"/>
                <w:sz w:val="24"/>
                <w:szCs w:val="24"/>
                <w:highlight w:val="none"/>
                <w:lang w:eastAsia="zh-CN"/>
              </w:rPr>
              <w:t>3</w:t>
            </w:r>
            <w:r>
              <w:rPr>
                <w:rFonts w:hint="eastAsia" w:asciiTheme="minorEastAsia" w:hAnsiTheme="minorEastAsia" w:eastAsiaTheme="minorEastAsia" w:cstheme="minorEastAsia"/>
                <w:color w:val="auto"/>
                <w:spacing w:val="-5"/>
                <w:sz w:val="24"/>
                <w:szCs w:val="24"/>
                <w:highlight w:val="none"/>
                <w:lang w:val="en-US" w:eastAsia="zh-CN"/>
              </w:rPr>
              <w:t>4</w:t>
            </w:r>
          </w:p>
        </w:tc>
        <w:tc>
          <w:tcPr>
            <w:tcW w:w="1860" w:type="dxa"/>
            <w:vAlign w:val="center"/>
          </w:tcPr>
          <w:p w14:paraId="07C32CCE">
            <w:pPr>
              <w:wordWrap w:val="0"/>
              <w:adjustRightInd w:val="0"/>
              <w:snapToGrid w:val="0"/>
              <w:spacing w:line="360" w:lineRule="exact"/>
              <w:jc w:val="center"/>
              <w:rPr>
                <w:rFonts w:ascii="Times New Roman"/>
                <w:snapToGrid w:val="0"/>
                <w:color w:val="auto"/>
                <w:kern w:val="0"/>
                <w:sz w:val="24"/>
                <w:szCs w:val="24"/>
                <w:highlight w:val="none"/>
              </w:rPr>
            </w:pPr>
            <w:r>
              <w:rPr>
                <w:rFonts w:ascii="Times New Roman"/>
                <w:snapToGrid w:val="0"/>
                <w:color w:val="auto"/>
                <w:kern w:val="0"/>
                <w:sz w:val="24"/>
                <w:szCs w:val="24"/>
                <w:highlight w:val="none"/>
              </w:rPr>
              <w:t>招标代理机构</w:t>
            </w:r>
          </w:p>
          <w:p w14:paraId="7E2A3169">
            <w:pPr>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szCs w:val="24"/>
                <w:highlight w:val="none"/>
                <w:lang w:eastAsia="zh-CN"/>
              </w:rPr>
            </w:pPr>
            <w:r>
              <w:rPr>
                <w:rFonts w:ascii="Times New Roman"/>
                <w:snapToGrid w:val="0"/>
                <w:color w:val="auto"/>
                <w:kern w:val="0"/>
                <w:sz w:val="24"/>
                <w:szCs w:val="24"/>
                <w:highlight w:val="none"/>
              </w:rPr>
              <w:t>联系方式</w:t>
            </w:r>
          </w:p>
        </w:tc>
        <w:tc>
          <w:tcPr>
            <w:tcW w:w="7575" w:type="dxa"/>
            <w:vAlign w:val="center"/>
          </w:tcPr>
          <w:p w14:paraId="7A58BB7B">
            <w:pPr>
              <w:wordWrap w:val="0"/>
              <w:adjustRightInd w:val="0"/>
              <w:snapToGrid w:val="0"/>
              <w:spacing w:line="400" w:lineRule="exact"/>
              <w:jc w:val="left"/>
              <w:rPr>
                <w:rFonts w:hint="eastAsia" w:ascii="Times New Roman"/>
                <w:snapToGrid w:val="0"/>
                <w:color w:val="auto"/>
                <w:kern w:val="0"/>
                <w:sz w:val="24"/>
                <w:szCs w:val="24"/>
                <w:highlight w:val="none"/>
              </w:rPr>
            </w:pPr>
            <w:r>
              <w:rPr>
                <w:rFonts w:hint="eastAsia" w:ascii="Times New Roman"/>
                <w:snapToGrid w:val="0"/>
                <w:color w:val="auto"/>
                <w:kern w:val="0"/>
                <w:sz w:val="24"/>
                <w:szCs w:val="24"/>
                <w:highlight w:val="none"/>
              </w:rPr>
              <w:t>单位名称：韶关市建韶工程造价咨询有限公司</w:t>
            </w:r>
          </w:p>
          <w:p w14:paraId="25C4BE44">
            <w:pPr>
              <w:wordWrap w:val="0"/>
              <w:adjustRightInd w:val="0"/>
              <w:snapToGrid w:val="0"/>
              <w:spacing w:line="400" w:lineRule="exact"/>
              <w:jc w:val="left"/>
              <w:rPr>
                <w:rFonts w:hint="eastAsia" w:ascii="Times New Roman"/>
                <w:snapToGrid w:val="0"/>
                <w:color w:val="auto"/>
                <w:kern w:val="0"/>
                <w:sz w:val="24"/>
                <w:szCs w:val="24"/>
                <w:highlight w:val="none"/>
              </w:rPr>
            </w:pPr>
            <w:r>
              <w:rPr>
                <w:rFonts w:hint="eastAsia" w:ascii="Times New Roman"/>
                <w:snapToGrid w:val="0"/>
                <w:color w:val="auto"/>
                <w:kern w:val="0"/>
                <w:sz w:val="24"/>
                <w:szCs w:val="24"/>
                <w:highlight w:val="none"/>
              </w:rPr>
              <w:t>办公地址：韶关市武江区工业东路24号阳光康地A幢第二层商铺</w:t>
            </w:r>
          </w:p>
          <w:p w14:paraId="29EBE84B">
            <w:pPr>
              <w:wordWrap w:val="0"/>
              <w:adjustRightInd w:val="0"/>
              <w:snapToGrid w:val="0"/>
              <w:spacing w:line="400" w:lineRule="exact"/>
              <w:jc w:val="left"/>
              <w:rPr>
                <w:rFonts w:hint="eastAsia" w:ascii="Times New Roman" w:eastAsia="宋体"/>
                <w:snapToGrid w:val="0"/>
                <w:color w:val="auto"/>
                <w:kern w:val="0"/>
                <w:sz w:val="24"/>
                <w:szCs w:val="24"/>
                <w:highlight w:val="none"/>
                <w:lang w:eastAsia="zh-CN"/>
              </w:rPr>
            </w:pPr>
            <w:r>
              <w:rPr>
                <w:rFonts w:hint="eastAsia" w:ascii="Times New Roman"/>
                <w:snapToGrid w:val="0"/>
                <w:color w:val="auto"/>
                <w:kern w:val="0"/>
                <w:sz w:val="24"/>
                <w:szCs w:val="24"/>
                <w:highlight w:val="none"/>
              </w:rPr>
              <w:t>联系人：</w:t>
            </w:r>
            <w:r>
              <w:rPr>
                <w:rFonts w:hint="eastAsia" w:ascii="Times New Roman"/>
                <w:snapToGrid w:val="0"/>
                <w:color w:val="auto"/>
                <w:kern w:val="0"/>
                <w:sz w:val="24"/>
                <w:szCs w:val="24"/>
                <w:highlight w:val="none"/>
                <w:lang w:eastAsia="zh-CN"/>
              </w:rPr>
              <w:t>郑</w:t>
            </w:r>
            <w:r>
              <w:rPr>
                <w:rFonts w:hint="eastAsia" w:ascii="Times New Roman"/>
                <w:snapToGrid w:val="0"/>
                <w:color w:val="auto"/>
                <w:kern w:val="0"/>
                <w:sz w:val="24"/>
                <w:szCs w:val="24"/>
                <w:highlight w:val="none"/>
              </w:rPr>
              <w:t>工</w:t>
            </w:r>
            <w:r>
              <w:rPr>
                <w:rFonts w:hint="eastAsia" w:ascii="Times New Roman" w:eastAsia="宋体"/>
                <w:snapToGrid w:val="0"/>
                <w:color w:val="auto"/>
                <w:kern w:val="0"/>
                <w:sz w:val="24"/>
                <w:szCs w:val="24"/>
                <w:highlight w:val="none"/>
                <w:lang w:eastAsia="zh-CN"/>
              </w:rPr>
              <w:t>、杨工</w:t>
            </w:r>
          </w:p>
          <w:p w14:paraId="2718C6C9">
            <w:pPr>
              <w:wordWrap w:val="0"/>
              <w:adjustRightInd w:val="0"/>
              <w:snapToGrid w:val="0"/>
              <w:spacing w:line="400" w:lineRule="exact"/>
              <w:jc w:val="left"/>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imes New Roman"/>
                <w:snapToGrid w:val="0"/>
                <w:color w:val="auto"/>
                <w:kern w:val="0"/>
                <w:sz w:val="24"/>
                <w:szCs w:val="24"/>
                <w:highlight w:val="none"/>
              </w:rPr>
              <w:t>联系电话：0751-8616600</w:t>
            </w:r>
          </w:p>
        </w:tc>
      </w:tr>
      <w:tr w14:paraId="7FD4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13D02F3F">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pacing w:val="-5"/>
                <w:sz w:val="24"/>
                <w:szCs w:val="24"/>
                <w:highlight w:val="none"/>
                <w:lang w:eastAsia="zh-CN"/>
              </w:rPr>
            </w:pPr>
            <w:r>
              <w:rPr>
                <w:rFonts w:hint="eastAsia" w:asciiTheme="minorEastAsia" w:hAnsiTheme="minorEastAsia" w:eastAsiaTheme="minorEastAsia" w:cstheme="minorEastAsia"/>
                <w:color w:val="auto"/>
                <w:spacing w:val="-5"/>
                <w:sz w:val="24"/>
                <w:szCs w:val="24"/>
                <w:highlight w:val="none"/>
                <w:lang w:eastAsia="zh-CN"/>
              </w:rPr>
              <w:t>3</w:t>
            </w:r>
            <w:r>
              <w:rPr>
                <w:rFonts w:hint="eastAsia" w:asciiTheme="minorEastAsia" w:hAnsiTheme="minorEastAsia" w:eastAsiaTheme="minorEastAsia" w:cstheme="minorEastAsia"/>
                <w:color w:val="auto"/>
                <w:spacing w:val="-5"/>
                <w:sz w:val="24"/>
                <w:szCs w:val="24"/>
                <w:highlight w:val="none"/>
                <w:lang w:val="en-US" w:eastAsia="zh-CN"/>
              </w:rPr>
              <w:t>5</w:t>
            </w:r>
          </w:p>
        </w:tc>
        <w:tc>
          <w:tcPr>
            <w:tcW w:w="1860" w:type="dxa"/>
            <w:vAlign w:val="center"/>
          </w:tcPr>
          <w:p w14:paraId="61041A03">
            <w:pPr>
              <w:wordWrap w:val="0"/>
              <w:adjustRightInd w:val="0"/>
              <w:snapToGrid w:val="0"/>
              <w:spacing w:line="360" w:lineRule="exact"/>
              <w:jc w:val="center"/>
              <w:rPr>
                <w:rFonts w:ascii="Times New Roman"/>
                <w:snapToGrid w:val="0"/>
                <w:color w:val="auto"/>
                <w:kern w:val="0"/>
                <w:sz w:val="24"/>
                <w:szCs w:val="24"/>
                <w:highlight w:val="none"/>
              </w:rPr>
            </w:pPr>
            <w:r>
              <w:rPr>
                <w:rFonts w:ascii="Times New Roman"/>
                <w:snapToGrid w:val="0"/>
                <w:color w:val="auto"/>
                <w:kern w:val="0"/>
                <w:sz w:val="24"/>
                <w:szCs w:val="24"/>
                <w:highlight w:val="none"/>
              </w:rPr>
              <w:t>交易场所</w:t>
            </w:r>
          </w:p>
          <w:p w14:paraId="2CEB522F">
            <w:pPr>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szCs w:val="24"/>
                <w:highlight w:val="none"/>
                <w:lang w:eastAsia="zh-CN"/>
              </w:rPr>
            </w:pPr>
            <w:r>
              <w:rPr>
                <w:rFonts w:ascii="Times New Roman"/>
                <w:snapToGrid w:val="0"/>
                <w:color w:val="auto"/>
                <w:kern w:val="0"/>
                <w:sz w:val="24"/>
                <w:szCs w:val="24"/>
                <w:highlight w:val="none"/>
              </w:rPr>
              <w:t>联系方式</w:t>
            </w:r>
          </w:p>
        </w:tc>
        <w:tc>
          <w:tcPr>
            <w:tcW w:w="7575" w:type="dxa"/>
            <w:vAlign w:val="center"/>
          </w:tcPr>
          <w:p w14:paraId="78100BB5">
            <w:pPr>
              <w:wordWrap w:val="0"/>
              <w:adjustRightInd w:val="0"/>
              <w:snapToGrid w:val="0"/>
              <w:spacing w:line="400" w:lineRule="exact"/>
              <w:jc w:val="left"/>
              <w:rPr>
                <w:rFonts w:hint="eastAsia"/>
                <w:snapToGrid w:val="0"/>
                <w:color w:val="auto"/>
                <w:kern w:val="0"/>
                <w:sz w:val="24"/>
                <w:szCs w:val="24"/>
                <w:highlight w:val="none"/>
              </w:rPr>
            </w:pPr>
            <w:r>
              <w:rPr>
                <w:rFonts w:hint="eastAsia"/>
                <w:snapToGrid w:val="0"/>
                <w:color w:val="auto"/>
                <w:kern w:val="0"/>
                <w:sz w:val="24"/>
                <w:szCs w:val="24"/>
                <w:highlight w:val="none"/>
              </w:rPr>
              <w:t>单位名称：韶关市公共资源交易中心</w:t>
            </w:r>
          </w:p>
          <w:p w14:paraId="63B3EF31">
            <w:pPr>
              <w:wordWrap w:val="0"/>
              <w:adjustRightInd w:val="0"/>
              <w:snapToGrid w:val="0"/>
              <w:spacing w:line="400" w:lineRule="exact"/>
              <w:jc w:val="left"/>
              <w:rPr>
                <w:rFonts w:hint="eastAsia"/>
                <w:snapToGrid w:val="0"/>
                <w:color w:val="auto"/>
                <w:kern w:val="0"/>
                <w:sz w:val="24"/>
                <w:szCs w:val="24"/>
                <w:highlight w:val="none"/>
              </w:rPr>
            </w:pPr>
            <w:r>
              <w:rPr>
                <w:rFonts w:hint="eastAsia"/>
                <w:snapToGrid w:val="0"/>
                <w:color w:val="auto"/>
                <w:kern w:val="0"/>
                <w:sz w:val="24"/>
                <w:szCs w:val="24"/>
                <w:highlight w:val="none"/>
              </w:rPr>
              <w:t>办公地址：广东省韶关市武江区西联镇</w:t>
            </w:r>
          </w:p>
          <w:p w14:paraId="6DE520E2">
            <w:pPr>
              <w:wordWrap w:val="0"/>
              <w:adjustRightInd w:val="0"/>
              <w:snapToGrid w:val="0"/>
              <w:spacing w:line="400" w:lineRule="exact"/>
              <w:jc w:val="left"/>
              <w:rPr>
                <w:rFonts w:hint="eastAsia"/>
                <w:snapToGrid w:val="0"/>
                <w:color w:val="auto"/>
                <w:kern w:val="0"/>
                <w:sz w:val="24"/>
                <w:szCs w:val="24"/>
                <w:highlight w:val="none"/>
              </w:rPr>
            </w:pPr>
            <w:r>
              <w:rPr>
                <w:rFonts w:hint="eastAsia"/>
                <w:snapToGrid w:val="0"/>
                <w:color w:val="auto"/>
                <w:kern w:val="0"/>
                <w:sz w:val="24"/>
                <w:szCs w:val="24"/>
                <w:highlight w:val="none"/>
              </w:rPr>
              <w:t>联系人（部门）：工程交易部</w:t>
            </w:r>
          </w:p>
          <w:p w14:paraId="3CA6A23A">
            <w:pPr>
              <w:wordWrap w:val="0"/>
              <w:adjustRightInd w:val="0"/>
              <w:snapToGrid w:val="0"/>
              <w:spacing w:line="400" w:lineRule="exact"/>
              <w:rPr>
                <w:rFonts w:hint="eastAsia" w:asciiTheme="minorEastAsia" w:hAnsiTheme="minorEastAsia" w:eastAsiaTheme="minorEastAsia" w:cstheme="minorEastAsia"/>
                <w:snapToGrid w:val="0"/>
                <w:color w:val="auto"/>
                <w:kern w:val="0"/>
                <w:sz w:val="24"/>
                <w:szCs w:val="24"/>
                <w:highlight w:val="none"/>
                <w:lang w:eastAsia="zh-CN"/>
              </w:rPr>
            </w:pPr>
            <w:r>
              <w:rPr>
                <w:rFonts w:hint="eastAsia"/>
                <w:snapToGrid w:val="0"/>
                <w:color w:val="auto"/>
                <w:kern w:val="0"/>
                <w:sz w:val="24"/>
                <w:szCs w:val="24"/>
                <w:highlight w:val="none"/>
              </w:rPr>
              <w:t>联系电话：0751-8633211</w:t>
            </w:r>
          </w:p>
        </w:tc>
      </w:tr>
      <w:tr w14:paraId="2E04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45478860">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default" w:asciiTheme="minorEastAsia" w:hAnsiTheme="minorEastAsia" w:eastAsiaTheme="minorEastAsia" w:cstheme="minorEastAsia"/>
                <w:color w:val="auto"/>
                <w:spacing w:val="-5"/>
                <w:sz w:val="28"/>
                <w:szCs w:val="28"/>
                <w:highlight w:val="none"/>
                <w:lang w:val="en-US" w:eastAsia="zh-CN"/>
              </w:rPr>
            </w:pPr>
            <w:r>
              <w:rPr>
                <w:rFonts w:hint="eastAsia" w:asciiTheme="minorEastAsia" w:hAnsiTheme="minorEastAsia" w:eastAsiaTheme="minorEastAsia" w:cstheme="minorEastAsia"/>
                <w:color w:val="auto"/>
                <w:spacing w:val="-5"/>
                <w:sz w:val="24"/>
                <w:szCs w:val="24"/>
                <w:highlight w:val="none"/>
                <w:lang w:val="en-US" w:eastAsia="zh-CN"/>
              </w:rPr>
              <w:t>36</w:t>
            </w:r>
          </w:p>
        </w:tc>
        <w:tc>
          <w:tcPr>
            <w:tcW w:w="1860" w:type="dxa"/>
            <w:vAlign w:val="center"/>
          </w:tcPr>
          <w:p w14:paraId="51DFB9DE">
            <w:pPr>
              <w:wordWrap w:val="0"/>
              <w:adjustRightInd w:val="0"/>
              <w:snapToGrid w:val="0"/>
              <w:spacing w:line="400" w:lineRule="exact"/>
              <w:jc w:val="center"/>
              <w:rPr>
                <w:rFonts w:ascii="Times New Roman"/>
                <w:snapToGrid w:val="0"/>
                <w:color w:val="auto"/>
                <w:kern w:val="0"/>
                <w:sz w:val="24"/>
                <w:szCs w:val="24"/>
                <w:highlight w:val="none"/>
              </w:rPr>
            </w:pPr>
            <w:r>
              <w:rPr>
                <w:rFonts w:ascii="Times New Roman"/>
                <w:snapToGrid w:val="0"/>
                <w:color w:val="auto"/>
                <w:kern w:val="0"/>
                <w:sz w:val="24"/>
                <w:szCs w:val="24"/>
                <w:highlight w:val="none"/>
              </w:rPr>
              <w:t>行政监督部门</w:t>
            </w:r>
          </w:p>
          <w:p w14:paraId="2C5C4CF3">
            <w:pPr>
              <w:pStyle w:val="2"/>
              <w:ind w:firstLine="240" w:firstLineChars="100"/>
              <w:rPr>
                <w:rFonts w:hint="eastAsia"/>
                <w:color w:val="auto"/>
                <w:highlight w:val="none"/>
              </w:rPr>
            </w:pPr>
            <w:r>
              <w:rPr>
                <w:rFonts w:ascii="Times New Roman"/>
                <w:snapToGrid w:val="0"/>
                <w:color w:val="auto"/>
                <w:kern w:val="0"/>
                <w:sz w:val="24"/>
                <w:szCs w:val="24"/>
                <w:highlight w:val="none"/>
              </w:rPr>
              <w:t>联系方式</w:t>
            </w:r>
          </w:p>
        </w:tc>
        <w:tc>
          <w:tcPr>
            <w:tcW w:w="7575" w:type="dxa"/>
            <w:vAlign w:val="center"/>
          </w:tcPr>
          <w:p w14:paraId="3F0AC453">
            <w:pPr>
              <w:wordWrap w:val="0"/>
              <w:adjustRightInd w:val="0"/>
              <w:snapToGrid w:val="0"/>
              <w:spacing w:line="400" w:lineRule="exact"/>
              <w:jc w:val="left"/>
              <w:rPr>
                <w:rFonts w:ascii="Times New Roman"/>
                <w:snapToGrid w:val="0"/>
                <w:color w:val="auto"/>
                <w:kern w:val="0"/>
                <w:sz w:val="24"/>
                <w:szCs w:val="24"/>
                <w:highlight w:val="none"/>
              </w:rPr>
            </w:pPr>
            <w:r>
              <w:rPr>
                <w:rFonts w:ascii="Times New Roman"/>
                <w:snapToGrid w:val="0"/>
                <w:color w:val="auto"/>
                <w:kern w:val="0"/>
                <w:sz w:val="24"/>
                <w:szCs w:val="24"/>
                <w:highlight w:val="none"/>
              </w:rPr>
              <w:t>单位名称：</w:t>
            </w:r>
            <w:r>
              <w:rPr>
                <w:rFonts w:ascii="Times New Roman"/>
                <w:snapToGrid w:val="0"/>
                <w:color w:val="auto"/>
                <w:kern w:val="0"/>
                <w:sz w:val="24"/>
                <w:szCs w:val="24"/>
                <w:highlight w:val="none"/>
              </w:rPr>
              <w:fldChar w:fldCharType="begin"/>
            </w:r>
            <w:r>
              <w:rPr>
                <w:rFonts w:ascii="Times New Roman"/>
                <w:snapToGrid w:val="0"/>
                <w:color w:val="auto"/>
                <w:kern w:val="0"/>
                <w:sz w:val="24"/>
                <w:szCs w:val="24"/>
                <w:highlight w:val="none"/>
              </w:rPr>
              <w:instrText xml:space="preserve"> HYPERLINK "http://www.baidu.com/link?url=To8jlHcD1_hx7plWzT83EfzQK8hvsX351cywy6UQGz5hQuKwLrA9iU9j6gfKrb1tTV--re_Ief2zn-uSOyE1MjMUaAkjlfwMnBbRzbRFy2xI-QKWGHo0suCMqBQdPqRHLtVR7AZepOK8DrmOrgNwKVMQN0kJyiOkhUX_F8r2-e7Cnz7yx_n_3XxgyvMqXsz1r7N1tMWDmEOcSN9d3GHTG1B9FvXGNji-UONHj5B2IV7" \t "https://www.baidu.com/_blank" </w:instrText>
            </w:r>
            <w:r>
              <w:rPr>
                <w:rFonts w:ascii="Times New Roman"/>
                <w:snapToGrid w:val="0"/>
                <w:color w:val="auto"/>
                <w:kern w:val="0"/>
                <w:sz w:val="24"/>
                <w:szCs w:val="24"/>
                <w:highlight w:val="none"/>
              </w:rPr>
              <w:fldChar w:fldCharType="separate"/>
            </w:r>
            <w:r>
              <w:rPr>
                <w:rFonts w:ascii="Times New Roman"/>
                <w:snapToGrid w:val="0"/>
                <w:color w:val="auto"/>
                <w:kern w:val="0"/>
                <w:sz w:val="24"/>
                <w:szCs w:val="24"/>
                <w:highlight w:val="none"/>
              </w:rPr>
              <w:t>韶关市金财投资集团有限公司</w:t>
            </w:r>
            <w:r>
              <w:rPr>
                <w:rFonts w:ascii="Times New Roman"/>
                <w:snapToGrid w:val="0"/>
                <w:color w:val="auto"/>
                <w:kern w:val="0"/>
                <w:sz w:val="24"/>
                <w:szCs w:val="24"/>
                <w:highlight w:val="none"/>
              </w:rPr>
              <w:fldChar w:fldCharType="end"/>
            </w:r>
          </w:p>
          <w:p w14:paraId="24066E31">
            <w:pPr>
              <w:wordWrap w:val="0"/>
              <w:adjustRightInd w:val="0"/>
              <w:snapToGrid w:val="0"/>
              <w:spacing w:line="400" w:lineRule="exact"/>
              <w:jc w:val="left"/>
              <w:rPr>
                <w:rFonts w:ascii="Times New Roman"/>
                <w:snapToGrid w:val="0"/>
                <w:color w:val="auto"/>
                <w:kern w:val="0"/>
                <w:sz w:val="24"/>
                <w:szCs w:val="24"/>
                <w:highlight w:val="none"/>
              </w:rPr>
            </w:pPr>
            <w:r>
              <w:rPr>
                <w:rFonts w:ascii="Times New Roman"/>
                <w:snapToGrid w:val="0"/>
                <w:color w:val="auto"/>
                <w:kern w:val="0"/>
                <w:sz w:val="24"/>
                <w:szCs w:val="24"/>
                <w:highlight w:val="none"/>
              </w:rPr>
              <w:t>办公地址：广东省韶关市武江区惠民北路68号</w:t>
            </w:r>
          </w:p>
          <w:p w14:paraId="09394A62">
            <w:pPr>
              <w:wordWrap w:val="0"/>
              <w:adjustRightInd w:val="0"/>
              <w:snapToGrid w:val="0"/>
              <w:spacing w:line="400" w:lineRule="exact"/>
              <w:jc w:val="left"/>
              <w:rPr>
                <w:rFonts w:ascii="Times New Roman"/>
                <w:snapToGrid w:val="0"/>
                <w:color w:val="auto"/>
                <w:kern w:val="0"/>
                <w:sz w:val="24"/>
                <w:szCs w:val="24"/>
                <w:highlight w:val="none"/>
              </w:rPr>
            </w:pPr>
            <w:r>
              <w:rPr>
                <w:rFonts w:ascii="Times New Roman"/>
                <w:snapToGrid w:val="0"/>
                <w:color w:val="auto"/>
                <w:kern w:val="0"/>
                <w:sz w:val="24"/>
                <w:szCs w:val="24"/>
                <w:highlight w:val="none"/>
              </w:rPr>
              <w:t>联系人（部门）：纪检监察审计室</w:t>
            </w:r>
          </w:p>
          <w:p w14:paraId="5300F996">
            <w:pPr>
              <w:wordWrap w:val="0"/>
              <w:adjustRightInd w:val="0"/>
              <w:snapToGrid w:val="0"/>
              <w:spacing w:line="400" w:lineRule="exact"/>
              <w:jc w:val="left"/>
              <w:rPr>
                <w:rFonts w:hint="eastAsia" w:ascii="宋体" w:hAnsi="宋体" w:cs="宋体"/>
                <w:snapToGrid w:val="0"/>
                <w:color w:val="auto"/>
                <w:kern w:val="0"/>
                <w:sz w:val="24"/>
                <w:szCs w:val="24"/>
                <w:highlight w:val="none"/>
              </w:rPr>
            </w:pPr>
            <w:r>
              <w:rPr>
                <w:rFonts w:ascii="Times New Roman"/>
                <w:snapToGrid w:val="0"/>
                <w:color w:val="auto"/>
                <w:kern w:val="0"/>
                <w:sz w:val="24"/>
                <w:szCs w:val="24"/>
                <w:highlight w:val="none"/>
              </w:rPr>
              <w:t>联系电话：0751-8705971</w:t>
            </w:r>
          </w:p>
        </w:tc>
      </w:tr>
    </w:tbl>
    <w:p w14:paraId="21F0C4A2">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pacing w:val="-3"/>
          <w:sz w:val="24"/>
          <w:szCs w:val="24"/>
          <w:highlight w:val="none"/>
        </w:rPr>
        <w:br w:type="page"/>
      </w:r>
    </w:p>
    <w:p w14:paraId="12046B46">
      <w:pPr>
        <w:keepNext w:val="0"/>
        <w:keepLines w:val="0"/>
        <w:pageBreakBefore w:val="0"/>
        <w:widowControl w:val="0"/>
        <w:kinsoku/>
        <w:wordWrap w:val="0"/>
        <w:overflowPunct/>
        <w:topLinePunct/>
        <w:autoSpaceDE/>
        <w:autoSpaceDN/>
        <w:bidi w:val="0"/>
        <w:adjustRightInd w:val="0"/>
        <w:snapToGrid w:val="0"/>
        <w:spacing w:before="156" w:line="219" w:lineRule="auto"/>
        <w:ind w:left="17" w:right="84" w:rightChars="40"/>
        <w:jc w:val="left"/>
        <w:outlineLvl w:val="1"/>
        <w:rPr>
          <w:rFonts w:hint="eastAsia" w:ascii="宋体" w:hAnsi="宋体" w:eastAsia="宋体" w:cs="宋体"/>
          <w:color w:val="auto"/>
          <w:highlight w:val="none"/>
        </w:rPr>
      </w:pPr>
      <w:bookmarkStart w:id="6" w:name="_Toc8870"/>
      <w:r>
        <w:rPr>
          <w:rFonts w:hint="eastAsia" w:ascii="宋体" w:hAnsi="宋体" w:eastAsia="宋体" w:cs="宋体"/>
          <w:b/>
          <w:bCs/>
          <w:color w:val="auto"/>
          <w:spacing w:val="-3"/>
          <w:sz w:val="24"/>
          <w:szCs w:val="24"/>
          <w:highlight w:val="none"/>
        </w:rPr>
        <w:t>第二节 重要事项时间地点一览表</w:t>
      </w:r>
      <w:bookmarkEnd w:id="6"/>
    </w:p>
    <w:p w14:paraId="6BB82484">
      <w:pPr>
        <w:pStyle w:val="6"/>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highlight w:val="none"/>
        </w:rPr>
      </w:pPr>
    </w:p>
    <w:tbl>
      <w:tblPr>
        <w:tblStyle w:val="15"/>
        <w:tblW w:w="10179" w:type="dxa"/>
        <w:tblInd w:w="-147"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57" w:type="dxa"/>
          <w:bottom w:w="0" w:type="dxa"/>
          <w:right w:w="57" w:type="dxa"/>
        </w:tblCellMar>
      </w:tblPr>
      <w:tblGrid>
        <w:gridCol w:w="491"/>
        <w:gridCol w:w="1756"/>
        <w:gridCol w:w="7932"/>
      </w:tblGrid>
      <w:tr w14:paraId="08C316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940" w:hRule="atLeast"/>
        </w:trPr>
        <w:tc>
          <w:tcPr>
            <w:tcW w:w="491" w:type="dxa"/>
            <w:tcBorders>
              <w:top w:val="single" w:color="080000" w:sz="4" w:space="0"/>
              <w:left w:val="single" w:color="080000" w:sz="4" w:space="0"/>
              <w:bottom w:val="single" w:color="080000" w:sz="4" w:space="0"/>
              <w:right w:val="single" w:color="080000" w:sz="4" w:space="0"/>
            </w:tcBorders>
            <w:vAlign w:val="center"/>
          </w:tcPr>
          <w:p w14:paraId="7E53C9DD">
            <w:pPr>
              <w:pStyle w:val="22"/>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756" w:type="dxa"/>
            <w:tcBorders>
              <w:top w:val="single" w:color="080000" w:sz="4" w:space="0"/>
              <w:left w:val="single" w:color="080000" w:sz="4" w:space="0"/>
              <w:bottom w:val="single" w:color="080000" w:sz="4" w:space="0"/>
              <w:right w:val="single" w:color="080000" w:sz="4" w:space="0"/>
            </w:tcBorders>
            <w:vAlign w:val="center"/>
          </w:tcPr>
          <w:p w14:paraId="12343EF8">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招标公告</w:t>
            </w:r>
          </w:p>
          <w:p w14:paraId="5AD9942A">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 xml:space="preserve">发布时间 </w:t>
            </w:r>
          </w:p>
        </w:tc>
        <w:tc>
          <w:tcPr>
            <w:tcW w:w="7932" w:type="dxa"/>
            <w:tcBorders>
              <w:top w:val="single" w:color="080000" w:sz="4" w:space="0"/>
              <w:left w:val="single" w:color="080000" w:sz="4" w:space="0"/>
              <w:bottom w:val="single" w:color="080000" w:sz="4" w:space="0"/>
              <w:right w:val="single" w:color="080000" w:sz="4" w:space="0"/>
            </w:tcBorders>
            <w:vAlign w:val="center"/>
          </w:tcPr>
          <w:p w14:paraId="44A61E6D">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SA"/>
              </w:rPr>
              <w:t>2025</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 xml:space="preserve"> 12  </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 xml:space="preserve"> 19  </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18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00  </w:t>
            </w:r>
            <w:r>
              <w:rPr>
                <w:rFonts w:hint="eastAsia" w:ascii="宋体" w:hAnsi="宋体" w:eastAsia="宋体" w:cs="宋体"/>
                <w:color w:val="auto"/>
                <w:kern w:val="0"/>
                <w:sz w:val="24"/>
                <w:szCs w:val="24"/>
                <w:highlight w:val="none"/>
                <w:lang w:val="en-US" w:eastAsia="zh-CN" w:bidi="ar-SA"/>
              </w:rPr>
              <w:t>分</w:t>
            </w:r>
          </w:p>
        </w:tc>
      </w:tr>
      <w:tr w14:paraId="19F8505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952" w:hRule="atLeast"/>
        </w:trPr>
        <w:tc>
          <w:tcPr>
            <w:tcW w:w="491" w:type="dxa"/>
            <w:tcBorders>
              <w:top w:val="single" w:color="080000" w:sz="4" w:space="0"/>
              <w:left w:val="single" w:color="080000" w:sz="4" w:space="0"/>
              <w:bottom w:val="single" w:color="080000" w:sz="4" w:space="0"/>
              <w:right w:val="single" w:color="080000" w:sz="4" w:space="0"/>
            </w:tcBorders>
            <w:vAlign w:val="center"/>
          </w:tcPr>
          <w:p w14:paraId="6B2B6ECD">
            <w:pPr>
              <w:pStyle w:val="22"/>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756" w:type="dxa"/>
            <w:tcBorders>
              <w:top w:val="single" w:color="080000" w:sz="4" w:space="0"/>
              <w:left w:val="single" w:color="080000" w:sz="4" w:space="0"/>
              <w:bottom w:val="single" w:color="080000" w:sz="4" w:space="0"/>
              <w:right w:val="single" w:color="080000" w:sz="4" w:space="0"/>
            </w:tcBorders>
            <w:vAlign w:val="center"/>
          </w:tcPr>
          <w:p w14:paraId="20840B09">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 xml:space="preserve">获取招标文件截止时间 </w:t>
            </w:r>
          </w:p>
        </w:tc>
        <w:tc>
          <w:tcPr>
            <w:tcW w:w="7932" w:type="dxa"/>
            <w:tcBorders>
              <w:top w:val="single" w:color="080000" w:sz="4" w:space="0"/>
              <w:left w:val="single" w:color="080000" w:sz="4" w:space="0"/>
              <w:bottom w:val="single" w:color="080000" w:sz="4" w:space="0"/>
              <w:right w:val="single" w:color="080000" w:sz="4" w:space="0"/>
            </w:tcBorders>
            <w:vAlign w:val="center"/>
          </w:tcPr>
          <w:p w14:paraId="75F4BA72">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SA"/>
              </w:rPr>
              <w:t>2026</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 xml:space="preserve">  01  </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 xml:space="preserve">  09  </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9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分</w:t>
            </w:r>
          </w:p>
        </w:tc>
      </w:tr>
      <w:tr w14:paraId="7990B92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986" w:hRule="atLeast"/>
        </w:trPr>
        <w:tc>
          <w:tcPr>
            <w:tcW w:w="491" w:type="dxa"/>
            <w:tcBorders>
              <w:top w:val="single" w:color="080000" w:sz="4" w:space="0"/>
              <w:left w:val="single" w:color="080000" w:sz="4" w:space="0"/>
              <w:bottom w:val="single" w:color="080000" w:sz="4" w:space="0"/>
              <w:right w:val="single" w:color="080000" w:sz="4" w:space="0"/>
            </w:tcBorders>
            <w:vAlign w:val="center"/>
          </w:tcPr>
          <w:p w14:paraId="42D906A5">
            <w:pPr>
              <w:pStyle w:val="22"/>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756" w:type="dxa"/>
            <w:tcBorders>
              <w:top w:val="single" w:color="080000" w:sz="4" w:space="0"/>
              <w:left w:val="single" w:color="080000" w:sz="4" w:space="0"/>
              <w:bottom w:val="single" w:color="080000" w:sz="4" w:space="0"/>
              <w:right w:val="single" w:color="080000" w:sz="4" w:space="0"/>
            </w:tcBorders>
            <w:vAlign w:val="center"/>
          </w:tcPr>
          <w:p w14:paraId="39B3D658">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网上提问</w:t>
            </w:r>
          </w:p>
          <w:p w14:paraId="14C98F03">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 xml:space="preserve">截止时间 </w:t>
            </w:r>
          </w:p>
        </w:tc>
        <w:tc>
          <w:tcPr>
            <w:tcW w:w="7932" w:type="dxa"/>
            <w:tcBorders>
              <w:top w:val="single" w:color="080000" w:sz="4" w:space="0"/>
              <w:left w:val="single" w:color="080000" w:sz="4" w:space="0"/>
              <w:bottom w:val="single" w:color="080000" w:sz="4" w:space="0"/>
              <w:right w:val="single" w:color="080000" w:sz="4" w:space="0"/>
            </w:tcBorders>
            <w:vAlign w:val="center"/>
          </w:tcPr>
          <w:p w14:paraId="75938A76">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SA"/>
              </w:rPr>
              <w:t>2025</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 xml:space="preserve"> 12  </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16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00 </w:t>
            </w:r>
            <w:r>
              <w:rPr>
                <w:rFonts w:hint="eastAsia" w:ascii="宋体" w:hAnsi="宋体" w:eastAsia="宋体" w:cs="宋体"/>
                <w:color w:val="auto"/>
                <w:kern w:val="0"/>
                <w:sz w:val="24"/>
                <w:szCs w:val="24"/>
                <w:highlight w:val="none"/>
                <w:lang w:val="en-US" w:eastAsia="zh-CN" w:bidi="ar-SA"/>
              </w:rPr>
              <w:t>分</w:t>
            </w:r>
          </w:p>
        </w:tc>
      </w:tr>
      <w:tr w14:paraId="3B110E4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951" w:hRule="atLeast"/>
        </w:trPr>
        <w:tc>
          <w:tcPr>
            <w:tcW w:w="491" w:type="dxa"/>
            <w:tcBorders>
              <w:top w:val="single" w:color="080000" w:sz="4" w:space="0"/>
              <w:left w:val="single" w:color="080000" w:sz="4" w:space="0"/>
              <w:bottom w:val="single" w:color="080000" w:sz="4" w:space="0"/>
              <w:right w:val="single" w:color="080000" w:sz="4" w:space="0"/>
            </w:tcBorders>
            <w:vAlign w:val="center"/>
          </w:tcPr>
          <w:p w14:paraId="471C1F2F">
            <w:pPr>
              <w:pStyle w:val="22"/>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756" w:type="dxa"/>
            <w:tcBorders>
              <w:top w:val="single" w:color="080000" w:sz="4" w:space="0"/>
              <w:left w:val="single" w:color="080000" w:sz="4" w:space="0"/>
              <w:bottom w:val="single" w:color="080000" w:sz="4" w:space="0"/>
              <w:right w:val="single" w:color="080000" w:sz="4" w:space="0"/>
            </w:tcBorders>
            <w:vAlign w:val="center"/>
          </w:tcPr>
          <w:p w14:paraId="38CFF048">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网上答疑</w:t>
            </w:r>
          </w:p>
          <w:p w14:paraId="3C1E0F02">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时间</w:t>
            </w:r>
          </w:p>
        </w:tc>
        <w:tc>
          <w:tcPr>
            <w:tcW w:w="7932" w:type="dxa"/>
            <w:tcBorders>
              <w:top w:val="single" w:color="080000" w:sz="4" w:space="0"/>
              <w:left w:val="single" w:color="080000" w:sz="4" w:space="0"/>
              <w:bottom w:val="single" w:color="080000" w:sz="4" w:space="0"/>
              <w:right w:val="single" w:color="080000" w:sz="4" w:space="0"/>
            </w:tcBorders>
            <w:vAlign w:val="center"/>
          </w:tcPr>
          <w:p w14:paraId="71547709">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SA"/>
              </w:rPr>
              <w:t xml:space="preserve">2025 </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 xml:space="preserve"> 12 </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16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分至</w:t>
            </w:r>
            <w:r>
              <w:rPr>
                <w:rFonts w:hint="eastAsia" w:ascii="宋体" w:hAnsi="宋体" w:eastAsia="宋体" w:cs="宋体"/>
                <w:color w:val="auto"/>
                <w:kern w:val="0"/>
                <w:sz w:val="24"/>
                <w:szCs w:val="24"/>
                <w:highlight w:val="none"/>
                <w:u w:val="single"/>
                <w:lang w:val="en-US" w:eastAsia="zh-CN" w:bidi="ar-SA"/>
              </w:rPr>
              <w:t>2026</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 xml:space="preserve"> 01 </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 xml:space="preserve"> 02 </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16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00</w:t>
            </w:r>
            <w:r>
              <w:rPr>
                <w:rFonts w:hint="eastAsia" w:ascii="宋体" w:hAnsi="宋体" w:eastAsia="宋体" w:cs="宋体"/>
                <w:color w:val="auto"/>
                <w:kern w:val="0"/>
                <w:sz w:val="24"/>
                <w:szCs w:val="24"/>
                <w:highlight w:val="none"/>
                <w:lang w:val="en-US" w:eastAsia="zh-CN" w:bidi="ar-SA"/>
              </w:rPr>
              <w:t>分</w:t>
            </w:r>
          </w:p>
        </w:tc>
      </w:tr>
      <w:tr w14:paraId="2262473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1638" w:hRule="atLeast"/>
        </w:trPr>
        <w:tc>
          <w:tcPr>
            <w:tcW w:w="491" w:type="dxa"/>
            <w:tcBorders>
              <w:top w:val="single" w:color="080000" w:sz="4" w:space="0"/>
              <w:left w:val="single" w:color="080000" w:sz="4" w:space="0"/>
              <w:bottom w:val="single" w:color="080000" w:sz="4" w:space="0"/>
              <w:right w:val="single" w:color="080000" w:sz="4" w:space="0"/>
            </w:tcBorders>
            <w:vAlign w:val="center"/>
          </w:tcPr>
          <w:p w14:paraId="2ECD74D2">
            <w:pPr>
              <w:pStyle w:val="22"/>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756" w:type="dxa"/>
            <w:tcBorders>
              <w:top w:val="single" w:color="080000" w:sz="4" w:space="0"/>
              <w:left w:val="single" w:color="080000" w:sz="4" w:space="0"/>
              <w:bottom w:val="single" w:color="080000" w:sz="4" w:space="0"/>
              <w:right w:val="single" w:color="080000" w:sz="4" w:space="0"/>
            </w:tcBorders>
            <w:vAlign w:val="center"/>
          </w:tcPr>
          <w:p w14:paraId="0605F92E">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投标保证缴</w:t>
            </w:r>
          </w:p>
          <w:p w14:paraId="284B7D46">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纳截止时间</w:t>
            </w:r>
          </w:p>
        </w:tc>
        <w:tc>
          <w:tcPr>
            <w:tcW w:w="7932" w:type="dxa"/>
            <w:tcBorders>
              <w:top w:val="single" w:color="080000" w:sz="4" w:space="0"/>
              <w:left w:val="single" w:color="080000" w:sz="4" w:space="0"/>
              <w:bottom w:val="single" w:color="080000" w:sz="4" w:space="0"/>
              <w:right w:val="single" w:color="080000" w:sz="4" w:space="0"/>
            </w:tcBorders>
            <w:vAlign w:val="center"/>
          </w:tcPr>
          <w:p w14:paraId="0F29A9B7">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投标保证金到账截止时间：</w:t>
            </w:r>
            <w:r>
              <w:rPr>
                <w:rFonts w:hint="eastAsia" w:ascii="宋体" w:hAnsi="宋体" w:eastAsia="宋体" w:cs="宋体"/>
                <w:color w:val="auto"/>
                <w:kern w:val="0"/>
                <w:sz w:val="24"/>
                <w:szCs w:val="24"/>
                <w:highlight w:val="none"/>
                <w:u w:val="single"/>
                <w:lang w:val="en-US" w:eastAsia="zh-CN" w:bidi="ar-SA"/>
              </w:rPr>
              <w:t>2026</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 xml:space="preserve">  01 </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 xml:space="preserve"> 08 </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9</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分；</w:t>
            </w:r>
          </w:p>
          <w:p w14:paraId="38467AD5">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投标保证担保上传截止时间：</w:t>
            </w:r>
            <w:r>
              <w:rPr>
                <w:rFonts w:hint="eastAsia" w:ascii="宋体" w:hAnsi="宋体" w:eastAsia="宋体" w:cs="宋体"/>
                <w:color w:val="auto"/>
                <w:kern w:val="0"/>
                <w:sz w:val="24"/>
                <w:szCs w:val="24"/>
                <w:highlight w:val="none"/>
                <w:u w:val="single"/>
                <w:lang w:val="en-US" w:eastAsia="zh-CN" w:bidi="ar-SA"/>
              </w:rPr>
              <w:t>2026</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 xml:space="preserve"> 01</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 xml:space="preserve"> 08 </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9 </w:t>
            </w:r>
            <w:r>
              <w:rPr>
                <w:rFonts w:hint="eastAsia" w:ascii="宋体" w:hAnsi="宋体" w:eastAsia="宋体" w:cs="宋体"/>
                <w:color w:val="auto"/>
                <w:kern w:val="0"/>
                <w:sz w:val="24"/>
                <w:szCs w:val="24"/>
                <w:highlight w:val="none"/>
                <w:lang w:val="en-US" w:eastAsia="zh-CN" w:bidi="ar-SA"/>
              </w:rPr>
              <w:t>时</w:t>
            </w:r>
            <w:bookmarkStart w:id="243" w:name="_GoBack"/>
            <w:bookmarkEnd w:id="243"/>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分；</w:t>
            </w:r>
          </w:p>
          <w:p w14:paraId="7A4DE236">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lang w:val="en-US" w:eastAsia="zh-CN" w:bidi="ar-SA"/>
              </w:rPr>
              <w:t>投标保证保险投保截止时间：</w:t>
            </w:r>
            <w:r>
              <w:rPr>
                <w:rFonts w:hint="eastAsia" w:ascii="宋体" w:hAnsi="宋体" w:eastAsia="宋体" w:cs="宋体"/>
                <w:color w:val="auto"/>
                <w:kern w:val="0"/>
                <w:sz w:val="24"/>
                <w:szCs w:val="24"/>
                <w:highlight w:val="none"/>
                <w:u w:val="single"/>
                <w:lang w:val="en-US" w:eastAsia="zh-CN" w:bidi="ar-SA"/>
              </w:rPr>
              <w:t>2026</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 xml:space="preserve"> 01 </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 xml:space="preserve"> 08</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9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分。</w:t>
            </w:r>
          </w:p>
        </w:tc>
      </w:tr>
      <w:tr w14:paraId="26A6406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996" w:hRule="atLeast"/>
        </w:trPr>
        <w:tc>
          <w:tcPr>
            <w:tcW w:w="491" w:type="dxa"/>
            <w:tcBorders>
              <w:top w:val="single" w:color="080000" w:sz="4" w:space="0"/>
              <w:left w:val="single" w:color="080000" w:sz="4" w:space="0"/>
              <w:bottom w:val="single" w:color="080000" w:sz="4" w:space="0"/>
              <w:right w:val="single" w:color="080000" w:sz="4" w:space="0"/>
            </w:tcBorders>
            <w:vAlign w:val="center"/>
          </w:tcPr>
          <w:p w14:paraId="4780D2D8">
            <w:pPr>
              <w:pStyle w:val="22"/>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756" w:type="dxa"/>
            <w:tcBorders>
              <w:top w:val="single" w:color="080000" w:sz="4" w:space="0"/>
              <w:left w:val="single" w:color="080000" w:sz="4" w:space="0"/>
              <w:bottom w:val="single" w:color="080000" w:sz="4" w:space="0"/>
              <w:right w:val="single" w:color="080000" w:sz="4" w:space="0"/>
            </w:tcBorders>
            <w:vAlign w:val="center"/>
          </w:tcPr>
          <w:p w14:paraId="68123129">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电子投标</w:t>
            </w:r>
          </w:p>
          <w:p w14:paraId="6C367952">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 xml:space="preserve">截止时间 </w:t>
            </w:r>
          </w:p>
        </w:tc>
        <w:tc>
          <w:tcPr>
            <w:tcW w:w="7932" w:type="dxa"/>
            <w:tcBorders>
              <w:top w:val="single" w:color="080000" w:sz="4" w:space="0"/>
              <w:left w:val="single" w:color="080000" w:sz="4" w:space="0"/>
              <w:bottom w:val="single" w:color="080000" w:sz="4" w:space="0"/>
              <w:right w:val="single" w:color="080000" w:sz="4" w:space="0"/>
            </w:tcBorders>
            <w:vAlign w:val="center"/>
          </w:tcPr>
          <w:p w14:paraId="1D2FFA2E">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SA"/>
              </w:rPr>
              <w:t>2026</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 xml:space="preserve"> 01 </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 xml:space="preserve"> 09 </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9</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分</w:t>
            </w:r>
          </w:p>
        </w:tc>
      </w:tr>
      <w:tr w14:paraId="06E8BA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920" w:hRule="atLeast"/>
        </w:trPr>
        <w:tc>
          <w:tcPr>
            <w:tcW w:w="491" w:type="dxa"/>
            <w:tcBorders>
              <w:top w:val="single" w:color="080000" w:sz="4" w:space="0"/>
              <w:left w:val="single" w:color="080000" w:sz="4" w:space="0"/>
              <w:bottom w:val="single" w:color="080000" w:sz="4" w:space="0"/>
              <w:right w:val="single" w:color="080000" w:sz="4" w:space="0"/>
            </w:tcBorders>
            <w:vAlign w:val="center"/>
          </w:tcPr>
          <w:p w14:paraId="3C0C0234">
            <w:pPr>
              <w:pStyle w:val="22"/>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7</w:t>
            </w:r>
          </w:p>
        </w:tc>
        <w:tc>
          <w:tcPr>
            <w:tcW w:w="1756" w:type="dxa"/>
            <w:tcBorders>
              <w:top w:val="single" w:color="080000" w:sz="4" w:space="0"/>
              <w:left w:val="single" w:color="080000" w:sz="4" w:space="0"/>
              <w:bottom w:val="single" w:color="080000" w:sz="4" w:space="0"/>
              <w:right w:val="single" w:color="080000" w:sz="4" w:space="0"/>
            </w:tcBorders>
            <w:vAlign w:val="center"/>
          </w:tcPr>
          <w:p w14:paraId="7B147CED">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 xml:space="preserve">开标时间 </w:t>
            </w:r>
          </w:p>
        </w:tc>
        <w:tc>
          <w:tcPr>
            <w:tcW w:w="7932" w:type="dxa"/>
            <w:tcBorders>
              <w:top w:val="single" w:color="080000" w:sz="4" w:space="0"/>
              <w:left w:val="single" w:color="080000" w:sz="4" w:space="0"/>
              <w:bottom w:val="single" w:color="080000" w:sz="4" w:space="0"/>
              <w:right w:val="single" w:color="080000" w:sz="4" w:space="0"/>
            </w:tcBorders>
            <w:vAlign w:val="center"/>
          </w:tcPr>
          <w:p w14:paraId="30D526B8">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SA"/>
              </w:rPr>
              <w:t>2026</w:t>
            </w:r>
            <w:r>
              <w:rPr>
                <w:rFonts w:hint="eastAsia" w:ascii="宋体" w:hAnsi="宋体" w:eastAsia="宋体" w:cs="宋体"/>
                <w:snapToGrid w:val="0"/>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 xml:space="preserve"> 01 </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 xml:space="preserve"> 09</w:t>
            </w:r>
            <w:r>
              <w:rPr>
                <w:rFonts w:hint="eastAsia" w:ascii="宋体" w:hAnsi="宋体" w:eastAsia="宋体" w:cs="宋体"/>
                <w:snapToGrid w:val="0"/>
                <w:color w:val="auto"/>
                <w:kern w:val="0"/>
                <w:sz w:val="24"/>
                <w:szCs w:val="24"/>
                <w:highlight w:val="none"/>
                <w:lang w:val="en-US" w:eastAsia="zh-CN" w:bidi="ar-SA"/>
              </w:rPr>
              <w:t>日</w:t>
            </w:r>
            <w:r>
              <w:rPr>
                <w:rFonts w:hint="eastAsia" w:ascii="宋体" w:hAnsi="宋体" w:eastAsia="宋体" w:cs="宋体"/>
                <w:snapToGrid w:val="0"/>
                <w:color w:val="auto"/>
                <w:kern w:val="0"/>
                <w:sz w:val="24"/>
                <w:szCs w:val="24"/>
                <w:highlight w:val="none"/>
                <w:u w:val="single"/>
                <w:lang w:val="en-US" w:eastAsia="zh-CN" w:bidi="ar-SA"/>
              </w:rPr>
              <w:t xml:space="preserve"> 9 </w:t>
            </w:r>
            <w:r>
              <w:rPr>
                <w:rFonts w:hint="eastAsia" w:ascii="宋体" w:hAnsi="宋体" w:eastAsia="宋体" w:cs="宋体"/>
                <w:snapToGrid w:val="0"/>
                <w:color w:val="auto"/>
                <w:kern w:val="0"/>
                <w:sz w:val="24"/>
                <w:szCs w:val="24"/>
                <w:highlight w:val="none"/>
                <w:lang w:val="en-US" w:eastAsia="zh-CN" w:bidi="ar-SA"/>
              </w:rPr>
              <w:t>时</w:t>
            </w:r>
            <w:r>
              <w:rPr>
                <w:rFonts w:hint="eastAsia" w:ascii="宋体" w:hAnsi="宋体" w:eastAsia="宋体" w:cs="宋体"/>
                <w:snapToGrid w:val="0"/>
                <w:color w:val="auto"/>
                <w:kern w:val="0"/>
                <w:sz w:val="24"/>
                <w:szCs w:val="24"/>
                <w:highlight w:val="none"/>
                <w:u w:val="single"/>
                <w:lang w:val="en-US" w:eastAsia="zh-CN" w:bidi="ar-SA"/>
              </w:rPr>
              <w:t xml:space="preserve"> 30 </w:t>
            </w:r>
            <w:r>
              <w:rPr>
                <w:rFonts w:hint="eastAsia" w:ascii="宋体" w:hAnsi="宋体" w:eastAsia="宋体" w:cs="宋体"/>
                <w:snapToGrid w:val="0"/>
                <w:color w:val="auto"/>
                <w:kern w:val="0"/>
                <w:sz w:val="24"/>
                <w:szCs w:val="24"/>
                <w:highlight w:val="none"/>
                <w:lang w:val="en-US" w:eastAsia="zh-CN" w:bidi="ar-SA"/>
              </w:rPr>
              <w:t>分</w:t>
            </w:r>
          </w:p>
        </w:tc>
      </w:tr>
      <w:tr w14:paraId="4EE915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1197" w:hRule="atLeast"/>
        </w:trPr>
        <w:tc>
          <w:tcPr>
            <w:tcW w:w="491" w:type="dxa"/>
            <w:tcBorders>
              <w:top w:val="single" w:color="080000" w:sz="4" w:space="0"/>
              <w:left w:val="single" w:color="080000" w:sz="4" w:space="0"/>
              <w:bottom w:val="single" w:color="080000" w:sz="4" w:space="0"/>
              <w:right w:val="single" w:color="080000" w:sz="4" w:space="0"/>
            </w:tcBorders>
            <w:vAlign w:val="center"/>
          </w:tcPr>
          <w:p w14:paraId="7910F806">
            <w:pPr>
              <w:pStyle w:val="22"/>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8</w:t>
            </w:r>
          </w:p>
        </w:tc>
        <w:tc>
          <w:tcPr>
            <w:tcW w:w="1756" w:type="dxa"/>
            <w:tcBorders>
              <w:top w:val="single" w:color="080000" w:sz="4" w:space="0"/>
              <w:left w:val="single" w:color="080000" w:sz="4" w:space="0"/>
              <w:bottom w:val="single" w:color="080000" w:sz="4" w:space="0"/>
              <w:right w:val="single" w:color="080000" w:sz="4" w:space="0"/>
            </w:tcBorders>
            <w:vAlign w:val="center"/>
          </w:tcPr>
          <w:p w14:paraId="44620FBD">
            <w:pPr>
              <w:pStyle w:val="22"/>
              <w:wordWrap w:val="0"/>
              <w:adjustRightInd w:val="0"/>
              <w:snapToGrid w:val="0"/>
              <w:jc w:val="center"/>
              <w:rPr>
                <w:rFonts w:hint="eastAsia" w:ascii="宋体" w:hAnsi="宋体" w:eastAsia="宋体" w:cs="宋体"/>
                <w:b w:val="0"/>
                <w:bCs w:val="0"/>
                <w:snapToGrid w:val="0"/>
                <w:color w:val="auto"/>
                <w:kern w:val="0"/>
                <w:sz w:val="24"/>
                <w:szCs w:val="24"/>
                <w:highlight w:val="none"/>
              </w:rPr>
            </w:pPr>
            <w:r>
              <w:rPr>
                <w:rFonts w:hint="eastAsia"/>
                <w:snapToGrid w:val="0"/>
                <w:color w:val="auto"/>
                <w:kern w:val="0"/>
                <w:sz w:val="24"/>
                <w:highlight w:val="none"/>
              </w:rPr>
              <w:t xml:space="preserve">开标地点 </w:t>
            </w:r>
          </w:p>
        </w:tc>
        <w:tc>
          <w:tcPr>
            <w:tcW w:w="7932" w:type="dxa"/>
            <w:tcBorders>
              <w:top w:val="single" w:color="080000" w:sz="4" w:space="0"/>
              <w:left w:val="single" w:color="080000" w:sz="4" w:space="0"/>
              <w:bottom w:val="single" w:color="080000" w:sz="4" w:space="0"/>
              <w:right w:val="single" w:color="080000" w:sz="4" w:space="0"/>
            </w:tcBorders>
            <w:vAlign w:val="center"/>
          </w:tcPr>
          <w:p w14:paraId="2589DBA0">
            <w:pPr>
              <w:pStyle w:val="12"/>
              <w:wordWrap w:val="0"/>
              <w:adjustRightInd w:val="0"/>
              <w:snapToGrid w:val="0"/>
              <w:spacing w:line="240" w:lineRule="auto"/>
              <w:jc w:val="left"/>
              <w:rPr>
                <w:rFonts w:hint="eastAsia" w:cs="宋体"/>
                <w:snapToGrid w:val="0"/>
                <w:color w:val="auto"/>
                <w:kern w:val="0"/>
                <w:szCs w:val="24"/>
                <w:highlight w:val="none"/>
              </w:rPr>
            </w:pPr>
            <w:r>
              <w:rPr>
                <w:rFonts w:hint="eastAsia" w:cs="宋体"/>
                <w:snapToGrid w:val="0"/>
                <w:color w:val="auto"/>
                <w:kern w:val="0"/>
                <w:szCs w:val="24"/>
                <w:highlight w:val="none"/>
              </w:rPr>
              <w:t>开标场所：韶关市公共资源交易中心</w:t>
            </w:r>
          </w:p>
          <w:p w14:paraId="6996BAC0">
            <w:pPr>
              <w:pStyle w:val="12"/>
              <w:wordWrap w:val="0"/>
              <w:adjustRightInd w:val="0"/>
              <w:snapToGrid w:val="0"/>
              <w:spacing w:line="240" w:lineRule="auto"/>
              <w:jc w:val="left"/>
              <w:rPr>
                <w:rFonts w:hint="eastAsia" w:ascii="宋体" w:hAnsi="宋体" w:eastAsia="宋体" w:cs="宋体"/>
                <w:b w:val="0"/>
                <w:bCs w:val="0"/>
                <w:snapToGrid w:val="0"/>
                <w:color w:val="auto"/>
                <w:kern w:val="0"/>
                <w:sz w:val="24"/>
                <w:szCs w:val="24"/>
                <w:highlight w:val="none"/>
              </w:rPr>
            </w:pPr>
            <w:r>
              <w:rPr>
                <w:rFonts w:hint="eastAsia" w:cs="宋体"/>
                <w:snapToGrid w:val="0"/>
                <w:color w:val="auto"/>
                <w:kern w:val="0"/>
                <w:szCs w:val="24"/>
                <w:highlight w:val="none"/>
              </w:rPr>
              <w:t>地址：广东省韶关市武江区西联镇，具体递交场所以当日现场通知为准</w:t>
            </w:r>
            <w:r>
              <w:rPr>
                <w:rFonts w:hint="eastAsia"/>
                <w:snapToGrid w:val="0"/>
                <w:color w:val="auto"/>
                <w:kern w:val="0"/>
                <w:szCs w:val="24"/>
                <w:highlight w:val="none"/>
              </w:rPr>
              <w:t>。</w:t>
            </w:r>
          </w:p>
        </w:tc>
      </w:tr>
      <w:tr w14:paraId="56FDA0F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1732" w:hRule="atLeast"/>
        </w:trPr>
        <w:tc>
          <w:tcPr>
            <w:tcW w:w="2247" w:type="dxa"/>
            <w:gridSpan w:val="2"/>
            <w:tcBorders>
              <w:top w:val="single" w:color="080000" w:sz="4" w:space="0"/>
              <w:left w:val="single" w:color="080000" w:sz="4" w:space="0"/>
              <w:bottom w:val="single" w:color="080000" w:sz="4" w:space="0"/>
              <w:right w:val="single" w:color="080000" w:sz="4" w:space="0"/>
            </w:tcBorders>
            <w:vAlign w:val="center"/>
          </w:tcPr>
          <w:p w14:paraId="6A39F122">
            <w:pPr>
              <w:pStyle w:val="22"/>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备注</w:t>
            </w:r>
          </w:p>
        </w:tc>
        <w:tc>
          <w:tcPr>
            <w:tcW w:w="7932" w:type="dxa"/>
            <w:tcBorders>
              <w:top w:val="single" w:color="080000" w:sz="4" w:space="0"/>
              <w:left w:val="single" w:color="080000" w:sz="4" w:space="0"/>
              <w:bottom w:val="single" w:color="080000" w:sz="4" w:space="0"/>
              <w:right w:val="single" w:color="080000" w:sz="4" w:space="0"/>
            </w:tcBorders>
            <w:vAlign w:val="center"/>
          </w:tcPr>
          <w:p w14:paraId="4313370D">
            <w:pPr>
              <w:pStyle w:val="22"/>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tbl>
    <w:p w14:paraId="7F0C25BC">
      <w:pPr>
        <w:keepNext w:val="0"/>
        <w:keepLines w:val="0"/>
        <w:pageBreakBefore w:val="0"/>
        <w:widowControl w:val="0"/>
        <w:tabs>
          <w:tab w:val="left" w:pos="8820"/>
        </w:tabs>
        <w:kinsoku/>
        <w:wordWrap w:val="0"/>
        <w:overflowPunct/>
        <w:topLinePunct/>
        <w:autoSpaceDE/>
        <w:autoSpaceDN/>
        <w:bidi w:val="0"/>
        <w:adjustRightInd w:val="0"/>
        <w:snapToGrid w:val="0"/>
        <w:ind w:right="84" w:rightChars="40"/>
        <w:rPr>
          <w:rFonts w:hint="eastAsia" w:ascii="宋体" w:hAnsi="宋体" w:eastAsia="宋体" w:cs="宋体"/>
          <w:b w:val="0"/>
          <w:bCs w:val="0"/>
          <w:color w:val="auto"/>
          <w:sz w:val="24"/>
          <w:szCs w:val="24"/>
          <w:highlight w:val="none"/>
        </w:rPr>
        <w:sectPr>
          <w:headerReference r:id="rId6" w:type="default"/>
          <w:footerReference r:id="rId7" w:type="default"/>
          <w:pgSz w:w="11906" w:h="16839"/>
          <w:pgMar w:top="1440" w:right="1080" w:bottom="1440" w:left="1080" w:header="0" w:footer="1085" w:gutter="0"/>
          <w:pgBorders>
            <w:top w:val="none" w:sz="0" w:space="0"/>
            <w:left w:val="none" w:sz="0" w:space="0"/>
            <w:bottom w:val="none" w:sz="0" w:space="0"/>
            <w:right w:val="none" w:sz="0" w:space="0"/>
          </w:pgBorders>
          <w:cols w:space="720" w:num="1"/>
        </w:sectPr>
      </w:pPr>
    </w:p>
    <w:p w14:paraId="58A3191A">
      <w:pPr>
        <w:keepNext w:val="0"/>
        <w:keepLines w:val="0"/>
        <w:pageBreakBefore w:val="0"/>
        <w:widowControl w:val="0"/>
        <w:kinsoku/>
        <w:wordWrap w:val="0"/>
        <w:overflowPunct/>
        <w:topLinePunct/>
        <w:autoSpaceDE/>
        <w:autoSpaceDN/>
        <w:bidi w:val="0"/>
        <w:adjustRightInd w:val="0"/>
        <w:snapToGrid w:val="0"/>
        <w:ind w:right="84" w:rightChars="40"/>
        <w:jc w:val="center"/>
        <w:outlineLvl w:val="1"/>
        <w:rPr>
          <w:rFonts w:hint="eastAsia" w:ascii="宋体" w:hAnsi="宋体" w:eastAsia="宋体" w:cs="宋体"/>
          <w:color w:val="auto"/>
          <w:sz w:val="24"/>
          <w:szCs w:val="24"/>
          <w:highlight w:val="none"/>
        </w:rPr>
      </w:pPr>
      <w:bookmarkStart w:id="7" w:name="_Toc15564"/>
      <w:r>
        <w:rPr>
          <w:rFonts w:hint="eastAsia" w:ascii="宋体" w:hAnsi="宋体" w:eastAsia="宋体" w:cs="宋体"/>
          <w:b/>
          <w:bCs/>
          <w:color w:val="auto"/>
          <w:spacing w:val="-3"/>
          <w:sz w:val="24"/>
          <w:szCs w:val="24"/>
          <w:highlight w:val="none"/>
        </w:rPr>
        <w:t>第三节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投标人须知正文</w:t>
      </w:r>
      <w:bookmarkEnd w:id="7"/>
    </w:p>
    <w:p w14:paraId="7F1B6CE7">
      <w:pPr>
        <w:pStyle w:val="6"/>
        <w:keepNext w:val="0"/>
        <w:keepLines w:val="0"/>
        <w:pageBreakBefore w:val="0"/>
        <w:widowControl w:val="0"/>
        <w:kinsoku/>
        <w:wordWrap w:val="0"/>
        <w:overflowPunct/>
        <w:topLinePunct/>
        <w:autoSpaceDE/>
        <w:autoSpaceDN/>
        <w:bidi w:val="0"/>
        <w:adjustRightInd w:val="0"/>
        <w:snapToGrid w:val="0"/>
        <w:spacing w:line="256" w:lineRule="auto"/>
        <w:ind w:right="84" w:rightChars="40"/>
        <w:rPr>
          <w:rFonts w:hint="eastAsia" w:ascii="宋体" w:hAnsi="宋体" w:eastAsia="宋体" w:cs="宋体"/>
          <w:color w:val="auto"/>
          <w:highlight w:val="none"/>
        </w:rPr>
      </w:pPr>
    </w:p>
    <w:p w14:paraId="1F0A09EA">
      <w:pPr>
        <w:pStyle w:val="6"/>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5A953563">
      <w:pPr>
        <w:keepNext w:val="0"/>
        <w:keepLines w:val="0"/>
        <w:pageBreakBefore w:val="0"/>
        <w:widowControl w:val="0"/>
        <w:suppressLineNumbers w:val="0"/>
        <w:tabs>
          <w:tab w:val="left" w:pos="9040"/>
          <w:tab w:val="left" w:pos="9240"/>
        </w:tabs>
        <w:kinsoku/>
        <w:wordWrap w:val="0"/>
        <w:overflowPunct/>
        <w:topLinePunct/>
        <w:autoSpaceDE/>
        <w:autoSpaceDN/>
        <w:bidi w:val="0"/>
        <w:adjustRightInd w:val="0"/>
        <w:snapToGrid w:val="0"/>
        <w:spacing w:line="360" w:lineRule="auto"/>
        <w:ind w:right="84" w:rightChars="40" w:firstLine="480" w:firstLineChars="200"/>
        <w:jc w:val="left"/>
        <w:textAlignment w:val="baseline"/>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kern w:val="0"/>
          <w:sz w:val="24"/>
          <w:szCs w:val="24"/>
          <w:highlight w:val="none"/>
          <w:u w:val="single"/>
          <w:lang w:eastAsia="zh-CN"/>
        </w:rPr>
        <w:t>浈江区黄金村客运站场分布式屋顶光伏项目、浈江区南郊六公里力士通站场分布式屋顶光伏项目工程施工</w:t>
      </w:r>
      <w:r>
        <w:rPr>
          <w:rFonts w:hint="eastAsia" w:ascii="宋体" w:hAnsi="宋体" w:eastAsia="宋体" w:cs="宋体"/>
          <w:snapToGrid w:val="0"/>
          <w:color w:val="auto"/>
          <w:kern w:val="0"/>
          <w:sz w:val="24"/>
          <w:szCs w:val="24"/>
          <w:highlight w:val="none"/>
        </w:rPr>
        <w:t>业经</w:t>
      </w:r>
      <w:r>
        <w:rPr>
          <w:rFonts w:hint="eastAsia" w:ascii="宋体" w:hAnsi="宋体" w:eastAsia="宋体" w:cs="宋体"/>
          <w:color w:val="auto"/>
          <w:kern w:val="0"/>
          <w:sz w:val="24"/>
          <w:szCs w:val="24"/>
          <w:highlight w:val="none"/>
          <w:u w:val="single"/>
          <w:lang w:eastAsia="zh-CN"/>
        </w:rPr>
        <w:t>韶关市发展和改革局</w:t>
      </w:r>
      <w:r>
        <w:rPr>
          <w:rFonts w:hint="eastAsia" w:ascii="宋体" w:hAnsi="宋体" w:eastAsia="宋体" w:cs="宋体"/>
          <w:snapToGrid w:val="0"/>
          <w:color w:val="auto"/>
          <w:kern w:val="0"/>
          <w:sz w:val="24"/>
          <w:szCs w:val="24"/>
          <w:highlight w:val="none"/>
          <w:u w:val="none"/>
        </w:rPr>
        <w:t>批准建设</w:t>
      </w:r>
      <w:r>
        <w:rPr>
          <w:rFonts w:hint="eastAsia" w:ascii="宋体" w:hAnsi="宋体" w:eastAsia="宋体" w:cs="宋体"/>
          <w:snapToGrid w:val="0"/>
          <w:color w:val="auto"/>
          <w:kern w:val="0"/>
          <w:sz w:val="24"/>
          <w:szCs w:val="24"/>
          <w:highlight w:val="none"/>
        </w:rPr>
        <w:t>，项目代码为</w:t>
      </w:r>
      <w:r>
        <w:rPr>
          <w:rFonts w:hint="eastAsia" w:ascii="宋体" w:hAnsi="宋体" w:eastAsia="宋体" w:cs="宋体"/>
          <w:snapToGrid w:val="0"/>
          <w:color w:val="auto"/>
          <w:kern w:val="0"/>
          <w:sz w:val="24"/>
          <w:szCs w:val="24"/>
          <w:highlight w:val="none"/>
          <w:u w:val="single"/>
          <w:lang w:eastAsia="zh-CN"/>
        </w:rPr>
        <w:t>2502-440204-04-01-451549；2502-440204-04-01-723112</w:t>
      </w:r>
      <w:r>
        <w:rPr>
          <w:rFonts w:hint="eastAsia" w:ascii="宋体" w:hAnsi="宋体" w:eastAsia="宋体" w:cs="宋体"/>
          <w:snapToGrid w:val="0"/>
          <w:color w:val="auto"/>
          <w:kern w:val="0"/>
          <w:sz w:val="24"/>
          <w:szCs w:val="24"/>
          <w:highlight w:val="none"/>
        </w:rPr>
        <w:t>。项目业主为：</w:t>
      </w:r>
      <w:r>
        <w:rPr>
          <w:rFonts w:hint="eastAsia" w:ascii="宋体" w:hAnsi="宋体" w:eastAsia="宋体" w:cs="宋体"/>
          <w:snapToGrid w:val="0"/>
          <w:color w:val="auto"/>
          <w:kern w:val="0"/>
          <w:sz w:val="24"/>
          <w:szCs w:val="24"/>
          <w:highlight w:val="none"/>
          <w:u w:val="single"/>
          <w:lang w:eastAsia="zh-CN"/>
        </w:rPr>
        <w:t>粤北能源投资（广东）有限公司</w:t>
      </w:r>
      <w:r>
        <w:rPr>
          <w:rFonts w:hint="eastAsia" w:ascii="宋体" w:hAnsi="宋体" w:eastAsia="宋体" w:cs="宋体"/>
          <w:snapToGrid w:val="0"/>
          <w:color w:val="auto"/>
          <w:kern w:val="0"/>
          <w:sz w:val="24"/>
          <w:szCs w:val="24"/>
          <w:highlight w:val="none"/>
        </w:rPr>
        <w:t>，建设资金：</w:t>
      </w:r>
      <w:r>
        <w:rPr>
          <w:rFonts w:hint="eastAsia" w:ascii="宋体" w:hAnsi="宋体" w:eastAsia="宋体" w:cs="宋体"/>
          <w:bCs/>
          <w:color w:val="auto"/>
          <w:sz w:val="24"/>
          <w:szCs w:val="24"/>
          <w:highlight w:val="none"/>
          <w:u w:val="single"/>
        </w:rPr>
        <w:t xml:space="preserve">企业自筹 </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32"/>
          <w:highlight w:val="none"/>
        </w:rPr>
        <w:t>出资比例</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rPr>
        <w:t>100%</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rPr>
        <w:t>，</w:t>
      </w:r>
      <w:r>
        <w:rPr>
          <w:rFonts w:hint="eastAsia" w:ascii="宋体" w:hAnsi="宋体" w:eastAsia="宋体" w:cs="宋体"/>
          <w:snapToGrid w:val="0"/>
          <w:color w:val="auto"/>
          <w:kern w:val="0"/>
          <w:sz w:val="24"/>
          <w:szCs w:val="24"/>
          <w:highlight w:val="none"/>
        </w:rPr>
        <w:t>招标人为</w:t>
      </w:r>
      <w:r>
        <w:rPr>
          <w:rFonts w:hint="eastAsia" w:ascii="宋体" w:hAnsi="宋体" w:eastAsia="宋体" w:cs="宋体"/>
          <w:color w:val="auto"/>
          <w:kern w:val="0"/>
          <w:sz w:val="24"/>
          <w:szCs w:val="24"/>
          <w:highlight w:val="none"/>
          <w:u w:val="single"/>
          <w:lang w:eastAsia="zh-CN"/>
        </w:rPr>
        <w:t>粤北能源投资（广东）有限公司</w:t>
      </w:r>
      <w:r>
        <w:rPr>
          <w:rFonts w:hint="eastAsia" w:ascii="宋体" w:hAnsi="宋体" w:eastAsia="宋体" w:cs="宋体"/>
          <w:snapToGrid w:val="0"/>
          <w:color w:val="auto"/>
          <w:kern w:val="0"/>
          <w:sz w:val="24"/>
          <w:szCs w:val="24"/>
          <w:highlight w:val="none"/>
        </w:rPr>
        <w:t>，招标代理机构为</w:t>
      </w:r>
      <w:r>
        <w:rPr>
          <w:rFonts w:hint="eastAsia" w:ascii="宋体" w:hAnsi="宋体" w:eastAsia="宋体" w:cs="宋体"/>
          <w:color w:val="auto"/>
          <w:kern w:val="0"/>
          <w:sz w:val="24"/>
          <w:szCs w:val="24"/>
          <w:highlight w:val="none"/>
          <w:u w:val="single"/>
          <w:lang w:eastAsia="zh-CN"/>
        </w:rPr>
        <w:t>韶关市建韶工程造价咨询有限公司</w:t>
      </w:r>
      <w:r>
        <w:rPr>
          <w:rFonts w:hint="eastAsia" w:ascii="宋体" w:hAnsi="宋体" w:eastAsia="宋体" w:cs="宋体"/>
          <w:snapToGrid w:val="0"/>
          <w:color w:val="auto"/>
          <w:kern w:val="0"/>
          <w:sz w:val="24"/>
          <w:szCs w:val="24"/>
          <w:highlight w:val="none"/>
        </w:rPr>
        <w:t>。项目已具备招标条件，现对该项目的</w:t>
      </w:r>
      <w:r>
        <w:rPr>
          <w:rFonts w:hint="eastAsia" w:ascii="宋体" w:hAnsi="宋体" w:eastAsia="宋体" w:cs="宋体"/>
          <w:snapToGrid w:val="0"/>
          <w:color w:val="auto"/>
          <w:kern w:val="0"/>
          <w:sz w:val="24"/>
          <w:szCs w:val="24"/>
          <w:highlight w:val="none"/>
          <w:u w:val="single"/>
          <w:lang w:val="en-US" w:eastAsia="zh-CN"/>
        </w:rPr>
        <w:t>工程</w:t>
      </w:r>
      <w:r>
        <w:rPr>
          <w:rFonts w:hint="eastAsia" w:ascii="宋体" w:hAnsi="宋体" w:eastAsia="宋体" w:cs="宋体"/>
          <w:snapToGrid w:val="0"/>
          <w:color w:val="auto"/>
          <w:kern w:val="0"/>
          <w:sz w:val="24"/>
          <w:szCs w:val="24"/>
          <w:highlight w:val="none"/>
          <w:u w:val="single"/>
        </w:rPr>
        <w:t>施工</w:t>
      </w:r>
      <w:r>
        <w:rPr>
          <w:rFonts w:hint="eastAsia" w:ascii="宋体" w:hAnsi="宋体" w:eastAsia="宋体" w:cs="宋体"/>
          <w:snapToGrid w:val="0"/>
          <w:color w:val="auto"/>
          <w:kern w:val="0"/>
          <w:sz w:val="24"/>
          <w:szCs w:val="24"/>
          <w:highlight w:val="none"/>
        </w:rPr>
        <w:t>进行公开招标</w:t>
      </w:r>
      <w:r>
        <w:rPr>
          <w:rFonts w:hint="eastAsia" w:ascii="宋体" w:hAnsi="宋体" w:eastAsia="宋体" w:cs="宋体"/>
          <w:snapToGrid w:val="0"/>
          <w:color w:val="auto"/>
          <w:kern w:val="0"/>
          <w:sz w:val="24"/>
          <w:szCs w:val="24"/>
          <w:highlight w:val="none"/>
          <w:lang w:eastAsia="zh-CN"/>
        </w:rPr>
        <w:t>。</w:t>
      </w:r>
    </w:p>
    <w:p w14:paraId="10327E78">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41" w:firstLineChars="275"/>
        <w:textAlignment w:val="baseline"/>
        <w:outlineLvl w:val="2"/>
        <w:rPr>
          <w:rFonts w:hint="eastAsia" w:ascii="宋体" w:hAnsi="宋体" w:eastAsia="宋体" w:cs="宋体"/>
          <w:color w:val="auto"/>
          <w:sz w:val="24"/>
          <w:szCs w:val="24"/>
          <w:highlight w:val="none"/>
        </w:rPr>
      </w:pPr>
      <w:bookmarkStart w:id="8" w:name="bookmark59"/>
      <w:bookmarkEnd w:id="8"/>
      <w:bookmarkStart w:id="9" w:name="bookmark52"/>
      <w:bookmarkEnd w:id="9"/>
      <w:bookmarkStart w:id="10" w:name="bookmark73"/>
      <w:bookmarkEnd w:id="10"/>
      <w:bookmarkStart w:id="11" w:name="_Toc15993"/>
      <w:bookmarkStart w:id="12" w:name="_Toc7786"/>
      <w:r>
        <w:rPr>
          <w:rFonts w:hint="eastAsia" w:ascii="宋体" w:hAnsi="宋体" w:eastAsia="宋体" w:cs="宋体"/>
          <w:b/>
          <w:bCs/>
          <w:color w:val="auto"/>
          <w:spacing w:val="-4"/>
          <w:sz w:val="24"/>
          <w:szCs w:val="24"/>
          <w:highlight w:val="none"/>
        </w:rPr>
        <w:t>1</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4"/>
          <w:sz w:val="24"/>
          <w:szCs w:val="24"/>
          <w:highlight w:val="none"/>
        </w:rPr>
        <w:t>．项目概况、招标范围和标段划分、投标费用等</w:t>
      </w:r>
      <w:bookmarkEnd w:id="11"/>
      <w:bookmarkEnd w:id="12"/>
    </w:p>
    <w:p w14:paraId="46528D6F">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35" w:firstLineChars="27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1.1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5"/>
          <w:sz w:val="24"/>
          <w:szCs w:val="24"/>
          <w:highlight w:val="none"/>
        </w:rPr>
        <w:t>项目概况</w:t>
      </w:r>
    </w:p>
    <w:p w14:paraId="7A5C7DCA">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2" w:firstLineChars="275"/>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1.1.1  </w:t>
      </w:r>
      <w:r>
        <w:rPr>
          <w:rFonts w:hint="eastAsia" w:ascii="宋体" w:hAnsi="宋体" w:eastAsia="宋体" w:cs="宋体"/>
          <w:color w:val="auto"/>
          <w:spacing w:val="-2"/>
          <w:sz w:val="24"/>
          <w:szCs w:val="24"/>
          <w:highlight w:val="none"/>
        </w:rPr>
        <w:t>建设地点：</w:t>
      </w:r>
      <w:r>
        <w:rPr>
          <w:rFonts w:hint="eastAsia" w:ascii="宋体" w:hAnsi="宋体" w:eastAsia="宋体" w:cs="宋体"/>
          <w:color w:val="auto"/>
          <w:spacing w:val="-2"/>
          <w:sz w:val="24"/>
          <w:szCs w:val="24"/>
          <w:highlight w:val="none"/>
          <w:u w:val="single"/>
          <w:lang w:val="en-US" w:eastAsia="zh-CN"/>
        </w:rPr>
        <w:t>韶关市浈江区</w:t>
      </w:r>
      <w:r>
        <w:rPr>
          <w:rFonts w:hint="eastAsia" w:ascii="宋体" w:hAnsi="宋体" w:eastAsia="宋体" w:cs="宋体"/>
          <w:color w:val="auto"/>
          <w:sz w:val="24"/>
          <w:szCs w:val="24"/>
          <w:highlight w:val="none"/>
          <w:u w:val="single"/>
          <w:lang w:val="en-US" w:eastAsia="zh-CN"/>
        </w:rPr>
        <w:t>。</w:t>
      </w:r>
    </w:p>
    <w:p w14:paraId="27C99B58">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2" w:firstLineChars="275"/>
        <w:textAlignment w:val="baseline"/>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宋体" w:hAnsi="宋体" w:eastAsia="宋体" w:cs="宋体"/>
          <w:b/>
          <w:bCs/>
          <w:color w:val="auto"/>
          <w:spacing w:val="-2"/>
          <w:sz w:val="24"/>
          <w:szCs w:val="24"/>
          <w:highlight w:val="none"/>
        </w:rPr>
        <w:t xml:space="preserve">1.1.2  </w:t>
      </w:r>
      <w:r>
        <w:rPr>
          <w:rFonts w:hint="eastAsia" w:ascii="宋体" w:hAnsi="宋体" w:eastAsia="宋体" w:cs="宋体"/>
          <w:color w:val="auto"/>
          <w:spacing w:val="-2"/>
          <w:sz w:val="24"/>
          <w:szCs w:val="24"/>
          <w:highlight w:val="none"/>
        </w:rPr>
        <w:t>建设内容和规模：</w:t>
      </w:r>
      <w:r>
        <w:rPr>
          <w:rFonts w:hint="eastAsia" w:asciiTheme="minorEastAsia" w:hAnsiTheme="minorEastAsia" w:eastAsiaTheme="minorEastAsia" w:cstheme="minorEastAsia"/>
          <w:snapToGrid w:val="0"/>
          <w:color w:val="auto"/>
          <w:kern w:val="0"/>
          <w:sz w:val="24"/>
          <w:szCs w:val="24"/>
          <w:highlight w:val="none"/>
          <w:lang w:val="en-US" w:eastAsia="zh-CN"/>
        </w:rPr>
        <w:t>项目利用南郊六公里力士通站场屋顶、黄金村公交客运站车棚面积约 26818 平方米，建设分布式光伏项目，建设规模约为3936.72kWp。</w:t>
      </w:r>
    </w:p>
    <w:p w14:paraId="3265AE08">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2" w:firstLineChars="275"/>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1.1.3  </w:t>
      </w:r>
      <w:r>
        <w:rPr>
          <w:rFonts w:hint="eastAsia" w:asciiTheme="minorEastAsia" w:hAnsiTheme="minorEastAsia" w:eastAsiaTheme="minorEastAsia" w:cstheme="minorEastAsia"/>
          <w:snapToGrid w:val="0"/>
          <w:color w:val="auto"/>
          <w:kern w:val="0"/>
          <w:sz w:val="24"/>
          <w:szCs w:val="24"/>
          <w:highlight w:val="none"/>
          <w:lang w:val="en-US" w:eastAsia="zh-CN"/>
        </w:rPr>
        <w:t>项目总投资约1424万元，本次招标工程费约562万元。</w:t>
      </w:r>
    </w:p>
    <w:p w14:paraId="07E1EE27">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63" w:firstLineChars="275"/>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z w:val="24"/>
          <w:szCs w:val="24"/>
          <w:highlight w:val="none"/>
          <w:u w:val="none"/>
          <w:lang w:val="en-US" w:eastAsia="zh-CN"/>
        </w:rPr>
        <w:t>1</w:t>
      </w:r>
      <w:r>
        <w:rPr>
          <w:rFonts w:hint="eastAsia" w:ascii="宋体" w:hAnsi="宋体" w:eastAsia="宋体" w:cs="宋体"/>
          <w:b/>
          <w:bCs/>
          <w:color w:val="auto"/>
          <w:spacing w:val="-2"/>
          <w:sz w:val="24"/>
          <w:szCs w:val="24"/>
          <w:highlight w:val="none"/>
          <w:u w:val="none"/>
          <w:lang w:val="en-US" w:eastAsia="zh-CN"/>
        </w:rPr>
        <w:t xml:space="preserve">.2 </w:t>
      </w:r>
      <w:r>
        <w:rPr>
          <w:rFonts w:hint="eastAsia" w:ascii="宋体" w:hAnsi="宋体" w:eastAsia="宋体" w:cs="宋体"/>
          <w:color w:val="auto"/>
          <w:sz w:val="24"/>
          <w:szCs w:val="24"/>
          <w:highlight w:val="none"/>
          <w:u w:val="none"/>
          <w:lang w:val="en-US" w:eastAsia="zh-CN"/>
        </w:rPr>
        <w:t xml:space="preserve"> 招标范围和标段划分</w:t>
      </w:r>
    </w:p>
    <w:p w14:paraId="087C32F2">
      <w:pPr>
        <w:pStyle w:val="22"/>
        <w:keepNext w:val="0"/>
        <w:keepLines w:val="0"/>
        <w:pageBreakBefore w:val="0"/>
        <w:widowControl w:val="0"/>
        <w:kinsoku/>
        <w:wordWrap w:val="0"/>
        <w:overflowPunct/>
        <w:topLinePunct/>
        <w:autoSpaceDE/>
        <w:autoSpaceDN/>
        <w:bidi w:val="0"/>
        <w:adjustRightInd w:val="0"/>
        <w:snapToGrid w:val="0"/>
        <w:spacing w:line="360" w:lineRule="auto"/>
        <w:ind w:firstLine="711" w:firstLineChars="300"/>
        <w:jc w:val="left"/>
        <w:textAlignment w:val="auto"/>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1.2.1  </w:t>
      </w:r>
      <w:r>
        <w:rPr>
          <w:rFonts w:hint="eastAsia" w:ascii="宋体" w:hAnsi="宋体" w:eastAsia="宋体" w:cs="宋体"/>
          <w:color w:val="auto"/>
          <w:spacing w:val="-2"/>
          <w:sz w:val="24"/>
          <w:szCs w:val="24"/>
          <w:highlight w:val="none"/>
        </w:rPr>
        <w:t>招标范围：</w:t>
      </w:r>
    </w:p>
    <w:p w14:paraId="03498955">
      <w:pPr>
        <w:pStyle w:val="22"/>
        <w:keepNext w:val="0"/>
        <w:keepLines w:val="0"/>
        <w:pageBreakBefore w:val="0"/>
        <w:widowControl w:val="0"/>
        <w:kinsoku/>
        <w:wordWrap w:val="0"/>
        <w:overflowPunct/>
        <w:topLinePunct/>
        <w:autoSpaceDE/>
        <w:autoSpaceDN/>
        <w:bidi w:val="0"/>
        <w:adjustRightInd w:val="0"/>
        <w:snapToGrid w:val="0"/>
        <w:spacing w:line="360" w:lineRule="auto"/>
        <w:ind w:firstLine="723" w:firstLineChars="300"/>
        <w:jc w:val="left"/>
        <w:textAlignment w:val="auto"/>
        <w:rPr>
          <w:rFonts w:hint="eastAsia"/>
          <w:snapToGrid w:val="0"/>
          <w:color w:val="auto"/>
          <w:kern w:val="0"/>
          <w:sz w:val="24"/>
          <w:highlight w:val="none"/>
        </w:rPr>
      </w:pPr>
      <w:r>
        <w:rPr>
          <w:rFonts w:hint="eastAsia"/>
          <w:b/>
          <w:bCs/>
          <w:snapToGrid w:val="0"/>
          <w:color w:val="auto"/>
          <w:kern w:val="0"/>
          <w:sz w:val="24"/>
          <w:highlight w:val="none"/>
        </w:rPr>
        <w:t>工程</w:t>
      </w:r>
      <w:r>
        <w:rPr>
          <w:rFonts w:hint="eastAsia"/>
          <w:b/>
          <w:bCs/>
          <w:snapToGrid w:val="0"/>
          <w:color w:val="auto"/>
          <w:kern w:val="0"/>
          <w:sz w:val="24"/>
          <w:highlight w:val="none"/>
          <w:lang w:val="en-US" w:eastAsia="zh-CN"/>
        </w:rPr>
        <w:t>建设</w:t>
      </w:r>
      <w:r>
        <w:rPr>
          <w:rFonts w:hint="eastAsia"/>
          <w:b/>
          <w:bCs/>
          <w:snapToGrid w:val="0"/>
          <w:color w:val="auto"/>
          <w:kern w:val="0"/>
          <w:sz w:val="24"/>
          <w:highlight w:val="none"/>
        </w:rPr>
        <w:t>：</w:t>
      </w:r>
      <w:r>
        <w:rPr>
          <w:rFonts w:hint="eastAsia"/>
          <w:snapToGrid w:val="0"/>
          <w:color w:val="auto"/>
          <w:kern w:val="0"/>
          <w:sz w:val="24"/>
          <w:highlight w:val="none"/>
        </w:rPr>
        <w:t>包括</w:t>
      </w:r>
      <w:r>
        <w:rPr>
          <w:rFonts w:hint="eastAsia"/>
          <w:snapToGrid w:val="0"/>
          <w:color w:val="auto"/>
          <w:kern w:val="0"/>
          <w:sz w:val="24"/>
          <w:highlight w:val="none"/>
          <w:lang w:val="en-US" w:eastAsia="zh-CN"/>
        </w:rPr>
        <w:t>但</w:t>
      </w:r>
      <w:r>
        <w:rPr>
          <w:rFonts w:hint="eastAsia"/>
          <w:snapToGrid w:val="0"/>
          <w:color w:val="auto"/>
          <w:kern w:val="0"/>
          <w:sz w:val="24"/>
          <w:highlight w:val="none"/>
        </w:rPr>
        <w:t>不限于现场施工、设备安装（包括并网柜、汇流箱、</w:t>
      </w:r>
      <w:r>
        <w:rPr>
          <w:rFonts w:hint="eastAsia" w:ascii="Times New Roman" w:hAnsi="Times New Roman" w:cs="Times New Roman"/>
          <w:snapToGrid w:val="0"/>
          <w:color w:val="auto"/>
          <w:kern w:val="0"/>
          <w:sz w:val="24"/>
          <w:highlight w:val="none"/>
          <w:lang w:val="en-US" w:eastAsia="zh-CN"/>
        </w:rPr>
        <w:t>计量柜、光伏组件、逆变器</w:t>
      </w:r>
      <w:r>
        <w:rPr>
          <w:rFonts w:hint="eastAsia" w:cs="Times New Roman"/>
          <w:snapToGrid w:val="0"/>
          <w:color w:val="auto"/>
          <w:kern w:val="0"/>
          <w:sz w:val="24"/>
          <w:highlight w:val="none"/>
          <w:lang w:val="en-US" w:eastAsia="zh-CN"/>
        </w:rPr>
        <w:t>、电缆</w:t>
      </w:r>
      <w:r>
        <w:rPr>
          <w:rFonts w:hint="eastAsia" w:ascii="Times New Roman" w:hAnsi="Times New Roman" w:cs="Times New Roman"/>
          <w:snapToGrid w:val="0"/>
          <w:color w:val="auto"/>
          <w:kern w:val="0"/>
          <w:sz w:val="24"/>
          <w:highlight w:val="none"/>
          <w:lang w:val="en-US" w:eastAsia="zh-CN"/>
        </w:rPr>
        <w:t>等与本工程相关的所有配电设备安装，主要材料甲供）、管理、试验及相关鉴定测试、系统调试、试运营、竣工验收、完成并网发电要求，质量缺陷责任期内的技术服务与缺陷修复、投入使用、保修期的保修工作等全部工程实施内容。</w:t>
      </w:r>
    </w:p>
    <w:p w14:paraId="6DB8926D">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720" w:firstLineChars="300"/>
        <w:textAlignment w:val="baseline"/>
        <w:rPr>
          <w:rFonts w:hint="eastAsia" w:ascii="宋体" w:hAnsi="宋体" w:eastAsia="宋体" w:cs="宋体"/>
          <w:color w:val="auto"/>
          <w:sz w:val="24"/>
          <w:szCs w:val="24"/>
          <w:highlight w:val="none"/>
          <w:lang w:eastAsia="zh-CN"/>
        </w:rPr>
      </w:pPr>
      <w:r>
        <w:rPr>
          <w:rFonts w:hint="eastAsia"/>
          <w:b/>
          <w:bCs/>
          <w:snapToGrid w:val="0"/>
          <w:color w:val="auto"/>
          <w:kern w:val="0"/>
          <w:sz w:val="24"/>
          <w:highlight w:val="none"/>
        </w:rPr>
        <w:t>其他：</w:t>
      </w:r>
      <w:r>
        <w:rPr>
          <w:rFonts w:hint="eastAsia"/>
          <w:snapToGrid w:val="0"/>
          <w:color w:val="auto"/>
          <w:kern w:val="0"/>
          <w:sz w:val="24"/>
          <w:highlight w:val="none"/>
        </w:rPr>
        <w:t>项目备案至并网发电后整体交付使用和相关验收手续办理工作，期间一切手续办理及协调工作。</w:t>
      </w:r>
    </w:p>
    <w:p w14:paraId="42569C86">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2" w:firstLineChars="275"/>
        <w:textAlignment w:val="baseline"/>
        <w:outlineLvl w:val="9"/>
        <w:rPr>
          <w:rFonts w:hint="eastAsia" w:ascii="宋体" w:hAnsi="宋体" w:eastAsia="宋体" w:cs="宋体"/>
          <w:color w:val="auto"/>
          <w:sz w:val="24"/>
          <w:szCs w:val="24"/>
          <w:highlight w:val="none"/>
        </w:rPr>
      </w:pPr>
      <w:bookmarkStart w:id="13" w:name="_Toc28202"/>
      <w:bookmarkStart w:id="14" w:name="_Toc20855"/>
      <w:bookmarkStart w:id="15" w:name="_Toc24593"/>
      <w:bookmarkStart w:id="16" w:name="_Toc14190"/>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标段划分：本招标项目不划分标段。</w:t>
      </w:r>
      <w:bookmarkEnd w:id="13"/>
      <w:bookmarkEnd w:id="14"/>
      <w:bookmarkEnd w:id="15"/>
      <w:bookmarkEnd w:id="16"/>
    </w:p>
    <w:p w14:paraId="09EE4B31">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  </w:t>
      </w:r>
      <w:r>
        <w:rPr>
          <w:rFonts w:hint="eastAsia" w:ascii="宋体" w:hAnsi="宋体" w:eastAsia="宋体" w:cs="宋体"/>
          <w:color w:val="auto"/>
          <w:spacing w:val="-1"/>
          <w:sz w:val="24"/>
          <w:szCs w:val="24"/>
          <w:highlight w:val="none"/>
        </w:rPr>
        <w:t>投标费用：投标人应承担所有准备和参加投标的相关费用，不</w:t>
      </w:r>
      <w:r>
        <w:rPr>
          <w:rFonts w:hint="eastAsia" w:ascii="宋体" w:hAnsi="宋体" w:eastAsia="宋体" w:cs="宋体"/>
          <w:color w:val="auto"/>
          <w:spacing w:val="-2"/>
          <w:sz w:val="24"/>
          <w:szCs w:val="24"/>
          <w:highlight w:val="none"/>
        </w:rPr>
        <w:t>论投标结果如</w:t>
      </w:r>
      <w:r>
        <w:rPr>
          <w:rFonts w:hint="eastAsia" w:ascii="宋体" w:hAnsi="宋体" w:eastAsia="宋体" w:cs="宋体"/>
          <w:color w:val="auto"/>
          <w:spacing w:val="-1"/>
          <w:sz w:val="24"/>
          <w:szCs w:val="24"/>
          <w:highlight w:val="none"/>
        </w:rPr>
        <w:t>何，招标人均无义务和责任承担这些费用。</w:t>
      </w:r>
    </w:p>
    <w:p w14:paraId="499E1505">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30" w:firstLineChars="27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rPr>
        <w:t xml:space="preserve">1.4  </w:t>
      </w:r>
      <w:r>
        <w:rPr>
          <w:rFonts w:hint="eastAsia" w:ascii="宋体" w:hAnsi="宋体" w:eastAsia="宋体" w:cs="宋体"/>
          <w:color w:val="auto"/>
          <w:spacing w:val="-6"/>
          <w:sz w:val="24"/>
          <w:szCs w:val="24"/>
          <w:highlight w:val="none"/>
        </w:rPr>
        <w:t>招标代理费用：</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82"/>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w:t>
      </w:r>
      <w:r>
        <w:rPr>
          <w:rFonts w:hint="eastAsia" w:ascii="宋体" w:hAnsi="宋体" w:eastAsia="宋体" w:cs="宋体"/>
          <w:color w:val="auto"/>
          <w:spacing w:val="6"/>
          <w:sz w:val="24"/>
          <w:szCs w:val="24"/>
          <w:highlight w:val="none"/>
        </w:rPr>
        <w:t>项目业主</w:t>
      </w:r>
      <w:r>
        <w:rPr>
          <w:rFonts w:hint="eastAsia" w:ascii="宋体" w:hAnsi="宋体" w:eastAsia="宋体" w:cs="宋体"/>
          <w:color w:val="auto"/>
          <w:spacing w:val="-6"/>
          <w:sz w:val="24"/>
          <w:szCs w:val="24"/>
          <w:highlight w:val="none"/>
          <w:shd w:val="clear" w:color="auto" w:fill="FFFFFF"/>
        </w:rPr>
        <w:t>支</w:t>
      </w:r>
      <w:r>
        <w:rPr>
          <w:rFonts w:hint="eastAsia" w:ascii="宋体" w:hAnsi="宋体" w:eastAsia="宋体" w:cs="宋体"/>
          <w:color w:val="auto"/>
          <w:spacing w:val="-6"/>
          <w:sz w:val="24"/>
          <w:szCs w:val="24"/>
          <w:highlight w:val="none"/>
        </w:rPr>
        <w:t>付</w:t>
      </w:r>
      <w:r>
        <w:rPr>
          <w:rFonts w:hint="eastAsia" w:ascii="宋体" w:hAnsi="宋体" w:eastAsia="宋体" w:cs="宋体"/>
          <w:color w:val="auto"/>
          <w:position w:val="-6"/>
          <w:sz w:val="24"/>
          <w:szCs w:val="24"/>
          <w:highlight w:val="none"/>
          <w:shd w:val="clear" w:color="auto" w:fill="FFFFFF"/>
          <w:lang w:eastAsia="zh-CN"/>
        </w:rPr>
        <w:t xml:space="preserve"> </w:t>
      </w:r>
      <w:r>
        <w:rPr>
          <w:rFonts w:hint="eastAsia" w:ascii="宋体" w:hAnsi="宋体" w:eastAsia="宋体" w:cs="宋体"/>
          <w:color w:val="auto"/>
          <w:spacing w:val="-6"/>
          <w:sz w:val="24"/>
          <w:szCs w:val="24"/>
          <w:highlight w:val="none"/>
          <w:shd w:val="clear" w:color="auto" w:fill="FFFFFF"/>
          <w:lang w:eastAsia="zh-CN"/>
        </w:rPr>
        <w:t>☑</w:t>
      </w:r>
      <w:r>
        <w:rPr>
          <w:rFonts w:hint="eastAsia" w:ascii="宋体" w:hAnsi="宋体" w:eastAsia="宋体" w:cs="宋体"/>
          <w:color w:val="auto"/>
          <w:spacing w:val="-81"/>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由中标人支付。</w:t>
      </w:r>
    </w:p>
    <w:p w14:paraId="558C1E08">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41" w:firstLineChars="275"/>
        <w:textAlignment w:val="baseline"/>
        <w:outlineLvl w:val="2"/>
        <w:rPr>
          <w:rFonts w:hint="eastAsia" w:ascii="宋体" w:hAnsi="宋体" w:eastAsia="宋体" w:cs="宋体"/>
          <w:b/>
          <w:bCs/>
          <w:color w:val="auto"/>
          <w:spacing w:val="-4"/>
          <w:sz w:val="24"/>
          <w:szCs w:val="24"/>
          <w:highlight w:val="none"/>
        </w:rPr>
      </w:pPr>
      <w:bookmarkStart w:id="17" w:name="_Toc17294"/>
      <w:r>
        <w:rPr>
          <w:rFonts w:hint="eastAsia" w:ascii="宋体" w:hAnsi="宋体" w:eastAsia="宋体" w:cs="宋体"/>
          <w:b/>
          <w:bCs/>
          <w:color w:val="auto"/>
          <w:spacing w:val="-4"/>
          <w:sz w:val="24"/>
          <w:szCs w:val="24"/>
          <w:highlight w:val="none"/>
          <w:lang w:eastAsia="zh-CN"/>
        </w:rPr>
        <w:t>2.投标人</w:t>
      </w:r>
      <w:r>
        <w:rPr>
          <w:rFonts w:hint="eastAsia" w:ascii="宋体" w:hAnsi="宋体" w:eastAsia="宋体" w:cs="宋体"/>
          <w:b/>
          <w:bCs/>
          <w:color w:val="auto"/>
          <w:spacing w:val="-4"/>
          <w:sz w:val="24"/>
          <w:szCs w:val="24"/>
          <w:highlight w:val="none"/>
        </w:rPr>
        <w:t>资质要求</w:t>
      </w:r>
      <w:bookmarkEnd w:id="17"/>
    </w:p>
    <w:p w14:paraId="327743FC">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2.1.</w:t>
      </w:r>
      <w:r>
        <w:rPr>
          <w:rFonts w:hint="eastAsia" w:ascii="宋体" w:hAnsi="宋体" w:eastAsia="宋体" w:cs="宋体"/>
          <w:color w:val="auto"/>
          <w:spacing w:val="-1"/>
          <w:sz w:val="24"/>
          <w:szCs w:val="24"/>
          <w:highlight w:val="none"/>
        </w:rPr>
        <w:t>本次招标</w:t>
      </w:r>
      <w:r>
        <w:rPr>
          <w:rFonts w:hint="eastAsia" w:ascii="宋体" w:hAnsi="宋体" w:eastAsia="宋体" w:cs="宋体"/>
          <w:color w:val="auto"/>
          <w:spacing w:val="-1"/>
          <w:sz w:val="24"/>
          <w:szCs w:val="24"/>
          <w:highlight w:val="none"/>
          <w:lang w:eastAsia="zh-CN"/>
        </w:rPr>
        <w:t>不</w:t>
      </w:r>
      <w:r>
        <w:rPr>
          <w:rFonts w:hint="eastAsia" w:ascii="宋体" w:hAnsi="宋体" w:eastAsia="宋体" w:cs="宋体"/>
          <w:color w:val="auto"/>
          <w:spacing w:val="-1"/>
          <w:sz w:val="24"/>
          <w:szCs w:val="24"/>
          <w:highlight w:val="none"/>
        </w:rPr>
        <w:t>接受联合体投标。</w:t>
      </w:r>
    </w:p>
    <w:p w14:paraId="340249A2">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lang w:val="en-US" w:eastAsia="zh-CN"/>
        </w:rPr>
        <w:t>2.</w:t>
      </w:r>
      <w:r>
        <w:rPr>
          <w:rFonts w:hint="eastAsia" w:ascii="宋体" w:hAnsi="宋体" w:eastAsia="宋体" w:cs="宋体"/>
          <w:b/>
          <w:bCs/>
          <w:color w:val="auto"/>
          <w:spacing w:val="-1"/>
          <w:sz w:val="24"/>
          <w:szCs w:val="24"/>
          <w:highlight w:val="none"/>
        </w:rPr>
        <w:t>2</w:t>
      </w:r>
      <w:r>
        <w:rPr>
          <w:rFonts w:hint="eastAsia" w:ascii="宋体" w:hAnsi="宋体" w:eastAsia="宋体" w:cs="宋体"/>
          <w:color w:val="auto"/>
          <w:spacing w:val="-1"/>
          <w:sz w:val="24"/>
          <w:szCs w:val="24"/>
          <w:highlight w:val="none"/>
        </w:rPr>
        <w:t>．资质要求</w:t>
      </w:r>
    </w:p>
    <w:p w14:paraId="486A35E7">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lang w:val="en-US" w:eastAsia="zh-CN"/>
        </w:rPr>
        <w:t>2.</w:t>
      </w:r>
      <w:r>
        <w:rPr>
          <w:rFonts w:hint="eastAsia" w:ascii="宋体" w:hAnsi="宋体" w:eastAsia="宋体" w:cs="宋体"/>
          <w:b/>
          <w:bCs/>
          <w:color w:val="auto"/>
          <w:spacing w:val="-1"/>
          <w:sz w:val="24"/>
          <w:szCs w:val="24"/>
          <w:highlight w:val="none"/>
        </w:rPr>
        <w:t>2.1</w:t>
      </w:r>
      <w:r>
        <w:rPr>
          <w:rFonts w:hint="eastAsia" w:ascii="宋体" w:hAnsi="宋体" w:eastAsia="宋体" w:cs="宋体"/>
          <w:color w:val="auto"/>
          <w:spacing w:val="-1"/>
          <w:sz w:val="24"/>
          <w:szCs w:val="24"/>
          <w:highlight w:val="none"/>
        </w:rPr>
        <w:t xml:space="preserve"> 投标人须具备独立法人资格，按国家法律经营。</w:t>
      </w:r>
    </w:p>
    <w:p w14:paraId="17D7EC91">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lang w:val="en-US" w:eastAsia="zh-CN"/>
        </w:rPr>
        <w:t>2.</w:t>
      </w:r>
      <w:r>
        <w:rPr>
          <w:rFonts w:hint="eastAsia" w:ascii="宋体" w:hAnsi="宋体" w:eastAsia="宋体" w:cs="宋体"/>
          <w:b/>
          <w:bCs/>
          <w:color w:val="auto"/>
          <w:spacing w:val="-1"/>
          <w:sz w:val="24"/>
          <w:szCs w:val="24"/>
          <w:highlight w:val="none"/>
        </w:rPr>
        <w:t>2.2</w:t>
      </w:r>
      <w:r>
        <w:rPr>
          <w:rFonts w:hint="eastAsia" w:ascii="宋体" w:hAnsi="宋体" w:eastAsia="宋体" w:cs="宋体"/>
          <w:color w:val="auto"/>
          <w:spacing w:val="-1"/>
          <w:sz w:val="24"/>
          <w:szCs w:val="24"/>
          <w:highlight w:val="none"/>
        </w:rPr>
        <w:t xml:space="preserve"> 投标人须持有建设行政主管部门颁发的企业资质证书及安全生产许可证。</w:t>
      </w:r>
    </w:p>
    <w:p w14:paraId="3D8A662A">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lang w:eastAsia="zh-CN"/>
        </w:rPr>
      </w:pPr>
      <w:r>
        <w:rPr>
          <w:rFonts w:hint="eastAsia" w:ascii="宋体" w:hAnsi="宋体" w:eastAsia="宋体" w:cs="宋体"/>
          <w:b/>
          <w:bCs/>
          <w:color w:val="auto"/>
          <w:spacing w:val="-1"/>
          <w:sz w:val="24"/>
          <w:szCs w:val="24"/>
          <w:highlight w:val="none"/>
          <w:lang w:val="en-US" w:eastAsia="zh-CN"/>
        </w:rPr>
        <w:t xml:space="preserve">2.2.3 </w:t>
      </w:r>
      <w:r>
        <w:rPr>
          <w:rFonts w:hint="eastAsia"/>
          <w:bCs/>
          <w:snapToGrid w:val="0"/>
          <w:color w:val="auto"/>
          <w:kern w:val="0"/>
          <w:sz w:val="24"/>
          <w:highlight w:val="none"/>
        </w:rPr>
        <w:t>参加投标的投标人必须</w:t>
      </w:r>
      <w:r>
        <w:rPr>
          <w:rFonts w:hint="eastAsia" w:eastAsia="宋体"/>
          <w:bCs/>
          <w:snapToGrid w:val="0"/>
          <w:color w:val="auto"/>
          <w:kern w:val="0"/>
          <w:sz w:val="24"/>
          <w:highlight w:val="none"/>
          <w:lang w:eastAsia="zh-CN"/>
        </w:rPr>
        <w:t>同时</w:t>
      </w:r>
      <w:r>
        <w:rPr>
          <w:rFonts w:hint="eastAsia"/>
          <w:bCs/>
          <w:snapToGrid w:val="0"/>
          <w:color w:val="auto"/>
          <w:kern w:val="0"/>
          <w:sz w:val="24"/>
          <w:highlight w:val="none"/>
        </w:rPr>
        <w:t>具备以下资质</w:t>
      </w:r>
      <w:r>
        <w:rPr>
          <w:rFonts w:hint="eastAsia" w:ascii="宋体" w:hAnsi="宋体" w:eastAsia="宋体" w:cs="宋体"/>
          <w:color w:val="auto"/>
          <w:spacing w:val="-1"/>
          <w:sz w:val="24"/>
          <w:szCs w:val="24"/>
          <w:highlight w:val="none"/>
          <w:lang w:eastAsia="zh-CN"/>
        </w:rPr>
        <w:t>：</w:t>
      </w:r>
    </w:p>
    <w:p w14:paraId="45D5B333">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1）</w:t>
      </w:r>
      <w:r>
        <w:rPr>
          <w:rFonts w:hint="eastAsia" w:ascii="宋体" w:hAnsi="宋体" w:eastAsia="宋体" w:cs="宋体"/>
          <w:color w:val="auto"/>
          <w:spacing w:val="-1"/>
          <w:sz w:val="24"/>
          <w:szCs w:val="24"/>
          <w:highlight w:val="none"/>
        </w:rPr>
        <w:t>建设行政主管部门颁发的电力工程施工总承包三级以上（含三级）资质</w:t>
      </w:r>
      <w:r>
        <w:rPr>
          <w:rFonts w:hint="eastAsia" w:ascii="宋体" w:hAnsi="宋体" w:eastAsia="宋体" w:cs="宋体"/>
          <w:color w:val="auto"/>
          <w:spacing w:val="-1"/>
          <w:sz w:val="24"/>
          <w:szCs w:val="24"/>
          <w:highlight w:val="none"/>
          <w:lang w:eastAsia="zh-CN"/>
        </w:rPr>
        <w:t>；</w:t>
      </w:r>
    </w:p>
    <w:p w14:paraId="5C95FDCE">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lang w:val="en-US" w:eastAsia="zh-CN"/>
        </w:rPr>
        <w:t>2</w:t>
      </w:r>
      <w:r>
        <w:rPr>
          <w:rFonts w:hint="eastAsia" w:ascii="宋体" w:hAnsi="宋体" w:eastAsia="宋体" w:cs="宋体"/>
          <w:color w:val="auto"/>
          <w:spacing w:val="-1"/>
          <w:sz w:val="24"/>
          <w:szCs w:val="24"/>
          <w:highlight w:val="none"/>
        </w:rPr>
        <w:t>）持有国家能源局颁发的《承装</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修、试</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电力设施许可证》承装</w:t>
      </w:r>
      <w:r>
        <w:rPr>
          <w:rFonts w:hint="eastAsia" w:ascii="宋体" w:hAnsi="宋体" w:eastAsia="宋体" w:cs="宋体"/>
          <w:color w:val="auto"/>
          <w:spacing w:val="-1"/>
          <w:sz w:val="24"/>
          <w:szCs w:val="24"/>
          <w:highlight w:val="none"/>
          <w:lang w:eastAsia="zh-CN"/>
        </w:rPr>
        <w:t>类</w:t>
      </w:r>
      <w:r>
        <w:rPr>
          <w:rFonts w:hint="eastAsia" w:ascii="宋体" w:hAnsi="宋体" w:eastAsia="宋体" w:cs="宋体"/>
          <w:color w:val="auto"/>
          <w:spacing w:val="-1"/>
          <w:sz w:val="24"/>
          <w:szCs w:val="24"/>
          <w:highlight w:val="none"/>
        </w:rPr>
        <w:t>五级或以上许可，资质须在有效期内。对应于2025年7月1日起换发的电子证照，应为承装类三级或以上许可资格。 【注</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依据国家能源局关于做好承装</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修、试</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电力设施许可证换领和延续工作的通知</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国能发资质</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2025</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44 号</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。如有最新政策文件的，从其规定</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w:t>
      </w:r>
    </w:p>
    <w:p w14:paraId="47571B68">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lang w:val="en-US" w:eastAsia="zh-CN"/>
        </w:rPr>
        <w:t>2</w:t>
      </w:r>
      <w:r>
        <w:rPr>
          <w:rFonts w:hint="eastAsia" w:ascii="宋体" w:hAnsi="宋体" w:eastAsia="宋体" w:cs="宋体"/>
          <w:b/>
          <w:bCs/>
          <w:color w:val="auto"/>
          <w:spacing w:val="-1"/>
          <w:sz w:val="24"/>
          <w:szCs w:val="24"/>
          <w:highlight w:val="none"/>
        </w:rPr>
        <w:t>.2.4</w:t>
      </w:r>
      <w:r>
        <w:rPr>
          <w:rFonts w:hint="eastAsia" w:ascii="宋体" w:hAnsi="宋体" w:eastAsia="宋体" w:cs="宋体"/>
          <w:color w:val="auto"/>
          <w:spacing w:val="-1"/>
          <w:sz w:val="24"/>
          <w:szCs w:val="24"/>
          <w:highlight w:val="none"/>
        </w:rPr>
        <w:t xml:space="preserve"> 根据有关文件精神，投标人的企业相关证书到期的，均按该证书的发证机构相关行业主管部门最新文件执行（如自动顺延或推迟办理延期业务的通知），投标人必须将相关文件附在该证书</w:t>
      </w:r>
      <w:r>
        <w:rPr>
          <w:rFonts w:hint="eastAsia" w:ascii="宋体" w:hAnsi="宋体" w:eastAsia="宋体" w:cs="宋体"/>
          <w:color w:val="auto"/>
          <w:spacing w:val="-1"/>
          <w:sz w:val="24"/>
          <w:szCs w:val="24"/>
          <w:highlight w:val="none"/>
          <w:lang w:eastAsia="zh-CN"/>
        </w:rPr>
        <w:t>后面</w:t>
      </w:r>
      <w:r>
        <w:rPr>
          <w:rFonts w:hint="eastAsia" w:ascii="宋体" w:hAnsi="宋体" w:eastAsia="宋体" w:cs="宋体"/>
          <w:color w:val="auto"/>
          <w:spacing w:val="-1"/>
          <w:sz w:val="24"/>
          <w:szCs w:val="24"/>
          <w:highlight w:val="none"/>
        </w:rPr>
        <w:t>，证明在开标当日继续有效。</w:t>
      </w:r>
    </w:p>
    <w:p w14:paraId="23DBFD4D">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2.3 </w:t>
      </w:r>
      <w:r>
        <w:rPr>
          <w:rFonts w:hint="eastAsia" w:ascii="宋体" w:hAnsi="宋体" w:eastAsia="宋体" w:cs="宋体"/>
          <w:color w:val="auto"/>
          <w:spacing w:val="-1"/>
          <w:sz w:val="24"/>
          <w:szCs w:val="24"/>
          <w:highlight w:val="none"/>
        </w:rPr>
        <w:t>相关人员要求</w:t>
      </w:r>
    </w:p>
    <w:p w14:paraId="4E5161CE">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2.3.1</w:t>
      </w:r>
      <w:r>
        <w:rPr>
          <w:rFonts w:hint="eastAsia" w:ascii="宋体" w:hAnsi="宋体" w:eastAsia="宋体" w:cs="宋体"/>
          <w:color w:val="auto"/>
          <w:spacing w:val="-1"/>
          <w:sz w:val="24"/>
          <w:szCs w:val="24"/>
          <w:highlight w:val="none"/>
        </w:rPr>
        <w:t>拟派项目经理为具有机电工程</w:t>
      </w:r>
      <w:r>
        <w:rPr>
          <w:rFonts w:hint="eastAsia" w:ascii="宋体" w:hAnsi="宋体" w:eastAsia="宋体" w:cs="宋体"/>
          <w:color w:val="auto"/>
          <w:spacing w:val="-1"/>
          <w:sz w:val="24"/>
          <w:szCs w:val="24"/>
          <w:highlight w:val="none"/>
          <w:lang w:val="en-US" w:eastAsia="zh-CN"/>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w:t>
      </w:r>
      <w:r>
        <w:rPr>
          <w:rFonts w:hint="eastAsia" w:ascii="宋体" w:hAnsi="宋体" w:eastAsia="宋体" w:cs="宋体"/>
          <w:color w:val="auto"/>
          <w:spacing w:val="-1"/>
          <w:sz w:val="24"/>
          <w:szCs w:val="24"/>
          <w:highlight w:val="none"/>
        </w:rPr>
        <w:t xml:space="preserve">。  </w:t>
      </w:r>
    </w:p>
    <w:p w14:paraId="1712E036">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2.3.2</w:t>
      </w:r>
      <w:r>
        <w:rPr>
          <w:rFonts w:hint="eastAsia" w:ascii="宋体" w:hAnsi="宋体" w:eastAsia="宋体" w:cs="宋体"/>
          <w:color w:val="auto"/>
          <w:spacing w:val="-1"/>
          <w:sz w:val="24"/>
          <w:szCs w:val="24"/>
          <w:highlight w:val="none"/>
        </w:rPr>
        <w:t>投标人拟派项目技术负责人须具备</w:t>
      </w:r>
      <w:r>
        <w:rPr>
          <w:rFonts w:hint="eastAsia" w:ascii="宋体" w:hAnsi="宋体" w:cs="Tahoma"/>
          <w:color w:val="auto"/>
          <w:kern w:val="0"/>
          <w:sz w:val="24"/>
          <w:highlight w:val="none"/>
          <w:u w:val="none"/>
        </w:rPr>
        <w:t>电力</w:t>
      </w:r>
      <w:r>
        <w:rPr>
          <w:rFonts w:hint="eastAsia" w:ascii="宋体" w:hAnsi="宋体" w:cs="Tahoma"/>
          <w:color w:val="auto"/>
          <w:kern w:val="0"/>
          <w:sz w:val="24"/>
          <w:highlight w:val="none"/>
          <w:u w:val="none"/>
          <w:lang w:val="en-US" w:eastAsia="zh-CN"/>
        </w:rPr>
        <w:t>或电气</w:t>
      </w:r>
      <w:r>
        <w:rPr>
          <w:rFonts w:hint="eastAsia" w:ascii="宋体" w:hAnsi="宋体" w:cs="Tahoma"/>
          <w:color w:val="auto"/>
          <w:kern w:val="0"/>
          <w:sz w:val="24"/>
          <w:highlight w:val="none"/>
          <w:u w:val="none"/>
        </w:rPr>
        <w:t>工程</w:t>
      </w:r>
      <w:r>
        <w:rPr>
          <w:rFonts w:hint="eastAsia" w:ascii="宋体" w:hAnsi="宋体" w:eastAsia="宋体" w:cs="宋体"/>
          <w:color w:val="auto"/>
          <w:spacing w:val="-1"/>
          <w:sz w:val="24"/>
          <w:szCs w:val="24"/>
          <w:highlight w:val="none"/>
        </w:rPr>
        <w:t>相关专业中级或以上技术职称。</w:t>
      </w:r>
    </w:p>
    <w:p w14:paraId="25F7D6B6">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2.3.3 </w:t>
      </w:r>
      <w:r>
        <w:rPr>
          <w:rFonts w:hint="eastAsia" w:ascii="宋体" w:hAnsi="宋体" w:eastAsia="宋体" w:cs="宋体"/>
          <w:color w:val="auto"/>
          <w:spacing w:val="-1"/>
          <w:sz w:val="24"/>
          <w:szCs w:val="24"/>
          <w:highlight w:val="none"/>
        </w:rPr>
        <w:t xml:space="preserve">拟派专职安全生产管理人员须具备有效安全生产考核合格证明（C证，安全生产考核合格证书或“广东省建筑施工企业管理人员安全生产考核信息系统”考核合格信息打印页），且不少于1人。 </w:t>
      </w:r>
    </w:p>
    <w:p w14:paraId="0DA6AD60">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2.3.4</w:t>
      </w:r>
      <w:r>
        <w:rPr>
          <w:rFonts w:hint="eastAsia" w:ascii="宋体" w:hAnsi="宋体" w:eastAsia="宋体" w:cs="宋体"/>
          <w:color w:val="auto"/>
          <w:spacing w:val="-1"/>
          <w:sz w:val="24"/>
          <w:szCs w:val="24"/>
          <w:highlight w:val="none"/>
        </w:rPr>
        <w:t xml:space="preserve"> 投标人（包括组成联合体的所有成员单位）与其拟派往本项目管理机构的所有人员之间必须具备合法、唯一的劳动聘用关系（提供社保证明或劳动合同）。拟派人员中具备注册执业资格的，其注册单位须与投标人保持一致。</w:t>
      </w:r>
    </w:p>
    <w:p w14:paraId="41F9D7F6">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2.4</w:t>
      </w:r>
      <w:r>
        <w:rPr>
          <w:rFonts w:hint="eastAsia" w:ascii="宋体" w:hAnsi="宋体" w:eastAsia="宋体" w:cs="宋体"/>
          <w:color w:val="auto"/>
          <w:spacing w:val="-1"/>
          <w:sz w:val="24"/>
          <w:szCs w:val="24"/>
          <w:highlight w:val="none"/>
        </w:rPr>
        <w:t xml:space="preserve"> 禁止投标条款</w:t>
      </w:r>
    </w:p>
    <w:p w14:paraId="55F4E8BA">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2.4.1 </w:t>
      </w:r>
      <w:r>
        <w:rPr>
          <w:rFonts w:hint="eastAsia" w:ascii="宋体" w:hAnsi="宋体" w:eastAsia="宋体" w:cs="宋体"/>
          <w:color w:val="auto"/>
          <w:spacing w:val="-1"/>
          <w:sz w:val="24"/>
          <w:szCs w:val="24"/>
          <w:highlight w:val="none"/>
        </w:rPr>
        <w:t>投标人不得存在下列情形之一：</w:t>
      </w:r>
    </w:p>
    <w:p w14:paraId="12C018A8">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（1）为招标人不具有独立法人资格的附属机构（单位）；</w:t>
      </w:r>
    </w:p>
    <w:p w14:paraId="60FCAE67">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（2）为本招标项目前期准备提供设计或咨询服务的；</w:t>
      </w:r>
    </w:p>
    <w:p w14:paraId="027F4F48">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（3）与本招标项目的其他投标人为同一个单位负责人；</w:t>
      </w:r>
    </w:p>
    <w:p w14:paraId="495930B1">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（4）与本招标项目的其他投标人存在控股、管理关系；</w:t>
      </w:r>
    </w:p>
    <w:p w14:paraId="796A930B">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（5</w:t>
      </w:r>
      <w:r>
        <w:rPr>
          <w:rFonts w:hint="eastAsia" w:ascii="宋体" w:hAnsi="宋体" w:eastAsia="宋体" w:cs="宋体"/>
          <w:color w:val="auto"/>
          <w:spacing w:val="-1"/>
          <w:sz w:val="24"/>
          <w:szCs w:val="24"/>
          <w:highlight w:val="none"/>
          <w:lang w:eastAsia="zh-CN"/>
        </w:rPr>
        <w:t>）作</w:t>
      </w:r>
      <w:r>
        <w:rPr>
          <w:rFonts w:hint="eastAsia" w:ascii="宋体" w:hAnsi="宋体" w:eastAsia="宋体" w:cs="宋体"/>
          <w:color w:val="auto"/>
          <w:spacing w:val="-1"/>
          <w:sz w:val="24"/>
          <w:szCs w:val="24"/>
          <w:highlight w:val="none"/>
        </w:rPr>
        <w:t>为本招标项目的监理人；</w:t>
      </w:r>
    </w:p>
    <w:p w14:paraId="7A337164">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（6）为本招标项目的代建人；</w:t>
      </w:r>
    </w:p>
    <w:p w14:paraId="03036926">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（7</w:t>
      </w:r>
      <w:r>
        <w:rPr>
          <w:rFonts w:hint="eastAsia" w:ascii="宋体" w:hAnsi="宋体" w:eastAsia="宋体" w:cs="宋体"/>
          <w:color w:val="auto"/>
          <w:spacing w:val="-1"/>
          <w:sz w:val="24"/>
          <w:szCs w:val="24"/>
          <w:highlight w:val="none"/>
          <w:lang w:eastAsia="zh-CN"/>
        </w:rPr>
        <w:t>）作</w:t>
      </w:r>
      <w:r>
        <w:rPr>
          <w:rFonts w:hint="eastAsia" w:ascii="宋体" w:hAnsi="宋体" w:eastAsia="宋体" w:cs="宋体"/>
          <w:color w:val="auto"/>
          <w:spacing w:val="-1"/>
          <w:sz w:val="24"/>
          <w:szCs w:val="24"/>
          <w:highlight w:val="none"/>
        </w:rPr>
        <w:t>为本招标项目的招标代理机构；</w:t>
      </w:r>
    </w:p>
    <w:p w14:paraId="618C55DA">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（8）与本招标项目的监理人或代建人或招标代理机构同为一个法定代表人；</w:t>
      </w:r>
    </w:p>
    <w:p w14:paraId="35D95A59">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（9）与本招标项目的监理人或代建人或招标代理机构存在控股或参股关系；</w:t>
      </w:r>
    </w:p>
    <w:p w14:paraId="68BC355D">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（10）与本招标项目的监理人或代建人或招标代理机构存在相互任职或工作关系；</w:t>
      </w:r>
    </w:p>
    <w:p w14:paraId="09E0E232">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（11）被依法暂停或者取消投标资格；</w:t>
      </w:r>
    </w:p>
    <w:p w14:paraId="7F7F5FC6">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（12）被责令停产停业、暂扣或者吊销许可证、暂扣或者吊销执照；</w:t>
      </w:r>
    </w:p>
    <w:p w14:paraId="1B4EBAE3">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（13）进入清算程序，或被宣告破产，或其他丧失履约能力的情形；</w:t>
      </w:r>
    </w:p>
    <w:p w14:paraId="39BC91C2">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（14）在最近三年内发生重大工程质量或安全问题（以相关行业主管部门的行政处罚决定或司法机关出具的有关法律文书为准）；</w:t>
      </w:r>
    </w:p>
    <w:p w14:paraId="78CBC1F4">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（15）被“信用中国”网站（https://www.creditchina.gov.cn）发布的《法人和非法人组织公共信用信息报告》列为严重失信主体名单的。</w:t>
      </w:r>
    </w:p>
    <w:p w14:paraId="17E2FDFF">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2.4.2</w:t>
      </w:r>
      <w:r>
        <w:rPr>
          <w:rFonts w:hint="eastAsia" w:ascii="宋体" w:hAnsi="宋体" w:eastAsia="宋体" w:cs="宋体"/>
          <w:color w:val="auto"/>
          <w:spacing w:val="-1"/>
          <w:sz w:val="24"/>
          <w:szCs w:val="24"/>
          <w:highlight w:val="none"/>
        </w:rPr>
        <w:t xml:space="preserve"> 招标人拒绝以下名单中的单位参加本次投标：</w:t>
      </w:r>
    </w:p>
    <w:p w14:paraId="7AC5A647">
      <w:pPr>
        <w:keepNext w:val="0"/>
        <w:keepLines w:val="0"/>
        <w:pageBreakBefore w:val="0"/>
        <w:widowControl w:val="0"/>
        <w:kinsoku/>
        <w:wordWrap w:val="0"/>
        <w:overflowPunct/>
        <w:topLinePunct/>
        <w:autoSpaceDE/>
        <w:autoSpaceDN/>
        <w:bidi w:val="0"/>
        <w:adjustRightInd w:val="0"/>
        <w:snapToGrid w:val="0"/>
        <w:spacing w:line="360" w:lineRule="auto"/>
        <w:ind w:right="84" w:rightChars="40"/>
        <w:rPr>
          <w:rFonts w:hint="eastAsia" w:ascii="宋体" w:hAnsi="宋体" w:eastAsia="宋体" w:cs="宋体"/>
          <w:color w:val="auto"/>
          <w:sz w:val="2"/>
          <w:highlight w:val="none"/>
        </w:rPr>
      </w:pPr>
    </w:p>
    <w:tbl>
      <w:tblPr>
        <w:tblStyle w:val="15"/>
        <w:tblW w:w="9451"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4051"/>
        <w:gridCol w:w="4620"/>
      </w:tblGrid>
      <w:tr w14:paraId="4D638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80" w:type="dxa"/>
            <w:noWrap w:val="0"/>
            <w:vAlign w:val="center"/>
          </w:tcPr>
          <w:p w14:paraId="0605B7C0">
            <w:pPr>
              <w:keepNext w:val="0"/>
              <w:keepLines w:val="0"/>
              <w:pageBreakBefore w:val="0"/>
              <w:wordWrap w:val="0"/>
              <w:overflowPunct/>
              <w:bidi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4051" w:type="dxa"/>
            <w:noWrap w:val="0"/>
            <w:vAlign w:val="center"/>
          </w:tcPr>
          <w:p w14:paraId="7F748F40">
            <w:pPr>
              <w:keepNext w:val="0"/>
              <w:keepLines w:val="0"/>
              <w:pageBreakBefore w:val="0"/>
              <w:wordWrap w:val="0"/>
              <w:overflowPunct/>
              <w:bidi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p>
        </w:tc>
        <w:tc>
          <w:tcPr>
            <w:tcW w:w="4620" w:type="dxa"/>
            <w:noWrap w:val="0"/>
            <w:vAlign w:val="center"/>
          </w:tcPr>
          <w:p w14:paraId="6BC9E93C">
            <w:pPr>
              <w:keepNext w:val="0"/>
              <w:keepLines w:val="0"/>
              <w:pageBreakBefore w:val="0"/>
              <w:wordWrap w:val="0"/>
              <w:overflowPunct/>
              <w:bidi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拒绝原因</w:t>
            </w:r>
          </w:p>
        </w:tc>
      </w:tr>
      <w:tr w14:paraId="2EFC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80" w:type="dxa"/>
            <w:noWrap w:val="0"/>
            <w:vAlign w:val="center"/>
          </w:tcPr>
          <w:p w14:paraId="0ADFAF8F">
            <w:pPr>
              <w:pStyle w:val="22"/>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rPr>
            </w:pPr>
            <w:r>
              <w:rPr>
                <w:rFonts w:hint="eastAsia" w:ascii="宋体" w:hAnsi="宋体" w:eastAsia="宋体" w:cs="宋体"/>
                <w:iCs/>
                <w:snapToGrid w:val="0"/>
                <w:color w:val="auto"/>
                <w:kern w:val="0"/>
                <w:sz w:val="24"/>
                <w:szCs w:val="24"/>
                <w:highlight w:val="none"/>
              </w:rPr>
              <w:t>1</w:t>
            </w:r>
          </w:p>
        </w:tc>
        <w:tc>
          <w:tcPr>
            <w:tcW w:w="4051" w:type="dxa"/>
            <w:shd w:val="clear" w:color="auto" w:fill="auto"/>
            <w:noWrap w:val="0"/>
            <w:vAlign w:val="center"/>
          </w:tcPr>
          <w:p w14:paraId="7AA8D8F4">
            <w:pPr>
              <w:keepNext w:val="0"/>
              <w:keepLines w:val="0"/>
              <w:pageBreakBefore w:val="0"/>
              <w:wordWrap w:val="0"/>
              <w:overflowPunct/>
              <w:bidi w:val="0"/>
              <w:adjustRightInd w:val="0"/>
              <w:snapToGrid w:val="0"/>
              <w:spacing w:line="240" w:lineRule="auto"/>
              <w:rPr>
                <w:rFonts w:hint="eastAsia" w:ascii="宋体" w:hAnsi="宋体" w:eastAsia="宋体" w:cs="宋体"/>
                <w:bCs/>
                <w:snapToGrid w:val="0"/>
                <w:color w:val="auto"/>
                <w:kern w:val="0"/>
                <w:sz w:val="24"/>
                <w:szCs w:val="24"/>
                <w:highlight w:val="none"/>
                <w:lang w:val="en-US" w:eastAsia="en-US" w:bidi="ar-SA"/>
              </w:rPr>
            </w:pPr>
            <w:r>
              <w:rPr>
                <w:rFonts w:hint="eastAsia" w:ascii="宋体" w:hAnsi="宋体" w:eastAsia="宋体" w:cs="宋体"/>
                <w:bCs/>
                <w:snapToGrid w:val="0"/>
                <w:color w:val="auto"/>
                <w:kern w:val="0"/>
                <w:sz w:val="24"/>
                <w:szCs w:val="24"/>
                <w:highlight w:val="none"/>
                <w:lang w:val="en-US" w:eastAsia="en-US" w:bidi="ar-SA"/>
              </w:rPr>
              <w:t>广东联网电力股份有限公司</w:t>
            </w:r>
          </w:p>
        </w:tc>
        <w:tc>
          <w:tcPr>
            <w:tcW w:w="4620" w:type="dxa"/>
            <w:shd w:val="clear" w:color="auto" w:fill="auto"/>
            <w:noWrap w:val="0"/>
            <w:vAlign w:val="center"/>
          </w:tcPr>
          <w:p w14:paraId="0A9BAB79">
            <w:pPr>
              <w:pStyle w:val="22"/>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为本招标项目的可行性研究报告编制单位</w:t>
            </w:r>
          </w:p>
        </w:tc>
      </w:tr>
      <w:tr w14:paraId="2B37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780" w:type="dxa"/>
            <w:noWrap w:val="0"/>
            <w:vAlign w:val="center"/>
          </w:tcPr>
          <w:p w14:paraId="3F94B6F2">
            <w:pPr>
              <w:pStyle w:val="22"/>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rPr>
            </w:pPr>
            <w:r>
              <w:rPr>
                <w:rFonts w:hint="eastAsia" w:ascii="宋体" w:hAnsi="宋体" w:eastAsia="宋体" w:cs="宋体"/>
                <w:iCs/>
                <w:snapToGrid w:val="0"/>
                <w:color w:val="auto"/>
                <w:kern w:val="0"/>
                <w:sz w:val="24"/>
                <w:szCs w:val="24"/>
                <w:highlight w:val="none"/>
              </w:rPr>
              <w:t>2</w:t>
            </w:r>
          </w:p>
        </w:tc>
        <w:tc>
          <w:tcPr>
            <w:tcW w:w="4051" w:type="dxa"/>
            <w:shd w:val="clear" w:color="auto" w:fill="auto"/>
            <w:noWrap w:val="0"/>
            <w:vAlign w:val="center"/>
          </w:tcPr>
          <w:p w14:paraId="5D56BEFC">
            <w:pPr>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en-US" w:bidi="ar-SA"/>
              </w:rPr>
            </w:pPr>
            <w:r>
              <w:rPr>
                <w:rFonts w:hint="eastAsia" w:ascii="宋体" w:hAnsi="宋体" w:eastAsia="宋体" w:cs="宋体"/>
                <w:iCs/>
                <w:snapToGrid w:val="0"/>
                <w:color w:val="auto"/>
                <w:kern w:val="0"/>
                <w:sz w:val="24"/>
                <w:szCs w:val="24"/>
                <w:highlight w:val="none"/>
                <w:lang w:val="en-US" w:eastAsia="en-US" w:bidi="ar-SA"/>
              </w:rPr>
              <w:t>韶关市新辉项目管理有限公司</w:t>
            </w:r>
          </w:p>
        </w:tc>
        <w:tc>
          <w:tcPr>
            <w:tcW w:w="4620" w:type="dxa"/>
            <w:shd w:val="clear" w:color="auto" w:fill="auto"/>
            <w:noWrap w:val="0"/>
            <w:vAlign w:val="center"/>
          </w:tcPr>
          <w:p w14:paraId="064CCEA7">
            <w:pPr>
              <w:pStyle w:val="22"/>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为本招标项目的造价咨询单位</w:t>
            </w:r>
          </w:p>
        </w:tc>
      </w:tr>
      <w:tr w14:paraId="646DC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80" w:type="dxa"/>
            <w:noWrap w:val="0"/>
            <w:vAlign w:val="center"/>
          </w:tcPr>
          <w:p w14:paraId="1CD7230D">
            <w:pPr>
              <w:pStyle w:val="22"/>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rPr>
            </w:pPr>
            <w:r>
              <w:rPr>
                <w:rFonts w:hint="eastAsia" w:ascii="宋体" w:hAnsi="宋体" w:eastAsia="宋体" w:cs="宋体"/>
                <w:iCs/>
                <w:snapToGrid w:val="0"/>
                <w:color w:val="auto"/>
                <w:kern w:val="0"/>
                <w:sz w:val="24"/>
                <w:szCs w:val="24"/>
                <w:highlight w:val="none"/>
              </w:rPr>
              <w:t>3</w:t>
            </w:r>
          </w:p>
        </w:tc>
        <w:tc>
          <w:tcPr>
            <w:tcW w:w="4051" w:type="dxa"/>
            <w:shd w:val="clear" w:color="auto" w:fill="auto"/>
            <w:noWrap w:val="0"/>
            <w:vAlign w:val="center"/>
          </w:tcPr>
          <w:p w14:paraId="535AF1E0">
            <w:pPr>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en-US" w:bidi="ar-SA"/>
              </w:rPr>
            </w:pPr>
            <w:r>
              <w:rPr>
                <w:rFonts w:hint="eastAsia" w:ascii="宋体" w:hAnsi="宋体" w:eastAsia="宋体" w:cs="宋体"/>
                <w:iCs/>
                <w:snapToGrid w:val="0"/>
                <w:color w:val="auto"/>
                <w:kern w:val="0"/>
                <w:sz w:val="24"/>
                <w:szCs w:val="24"/>
                <w:highlight w:val="none"/>
                <w:lang w:val="en-US" w:eastAsia="en-US" w:bidi="ar-SA"/>
              </w:rPr>
              <w:t>广东联网电力股份有限公司</w:t>
            </w:r>
          </w:p>
        </w:tc>
        <w:tc>
          <w:tcPr>
            <w:tcW w:w="4620" w:type="dxa"/>
            <w:shd w:val="clear" w:color="auto" w:fill="auto"/>
            <w:noWrap w:val="0"/>
            <w:vAlign w:val="center"/>
          </w:tcPr>
          <w:p w14:paraId="321D63CC">
            <w:pPr>
              <w:pStyle w:val="22"/>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为本招标项目的设计单位</w:t>
            </w:r>
          </w:p>
        </w:tc>
      </w:tr>
      <w:tr w14:paraId="4FCEB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80" w:type="dxa"/>
            <w:noWrap w:val="0"/>
            <w:vAlign w:val="center"/>
          </w:tcPr>
          <w:p w14:paraId="674B79B5">
            <w:pPr>
              <w:pStyle w:val="22"/>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rPr>
            </w:pPr>
            <w:r>
              <w:rPr>
                <w:rFonts w:hint="eastAsia" w:ascii="宋体" w:hAnsi="宋体" w:eastAsia="宋体" w:cs="宋体"/>
                <w:iCs/>
                <w:snapToGrid w:val="0"/>
                <w:color w:val="auto"/>
                <w:kern w:val="0"/>
                <w:sz w:val="24"/>
                <w:szCs w:val="24"/>
                <w:highlight w:val="none"/>
              </w:rPr>
              <w:t>4</w:t>
            </w:r>
          </w:p>
        </w:tc>
        <w:tc>
          <w:tcPr>
            <w:tcW w:w="4051" w:type="dxa"/>
            <w:shd w:val="clear" w:color="auto" w:fill="auto"/>
            <w:noWrap w:val="0"/>
            <w:vAlign w:val="center"/>
          </w:tcPr>
          <w:p w14:paraId="594940AC">
            <w:pPr>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lang w:eastAsia="zh-CN"/>
              </w:rPr>
              <w:t>韶关市建韶工程造价咨询有限公司</w:t>
            </w:r>
          </w:p>
        </w:tc>
        <w:tc>
          <w:tcPr>
            <w:tcW w:w="4620" w:type="dxa"/>
            <w:shd w:val="clear" w:color="auto" w:fill="auto"/>
            <w:noWrap w:val="0"/>
            <w:vAlign w:val="center"/>
          </w:tcPr>
          <w:p w14:paraId="33033DD7">
            <w:pPr>
              <w:pStyle w:val="22"/>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为本招标项目的招标代理机构</w:t>
            </w:r>
          </w:p>
        </w:tc>
      </w:tr>
      <w:tr w14:paraId="1EFF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80" w:type="dxa"/>
            <w:shd w:val="clear" w:color="auto" w:fill="auto"/>
            <w:noWrap w:val="0"/>
            <w:vAlign w:val="center"/>
          </w:tcPr>
          <w:p w14:paraId="5A76279A">
            <w:pPr>
              <w:pStyle w:val="22"/>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6</w:t>
            </w:r>
          </w:p>
        </w:tc>
        <w:tc>
          <w:tcPr>
            <w:tcW w:w="4051" w:type="dxa"/>
            <w:shd w:val="clear" w:color="auto" w:fill="auto"/>
            <w:noWrap w:val="0"/>
            <w:vAlign w:val="center"/>
          </w:tcPr>
          <w:p w14:paraId="2BC45FD0">
            <w:pPr>
              <w:pStyle w:val="22"/>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cs="宋体"/>
                <w:iCs/>
                <w:snapToGrid w:val="0"/>
                <w:color w:val="auto"/>
                <w:kern w:val="0"/>
                <w:sz w:val="24"/>
                <w:szCs w:val="24"/>
                <w:highlight w:val="none"/>
                <w:lang w:eastAsia="zh-CN"/>
              </w:rPr>
              <w:t>粤北能源投资（广东）有限公司</w:t>
            </w:r>
          </w:p>
        </w:tc>
        <w:tc>
          <w:tcPr>
            <w:tcW w:w="4620" w:type="dxa"/>
            <w:shd w:val="clear" w:color="auto" w:fill="auto"/>
            <w:noWrap w:val="0"/>
            <w:vAlign w:val="center"/>
          </w:tcPr>
          <w:p w14:paraId="3F7EB1DB">
            <w:pPr>
              <w:pStyle w:val="22"/>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为本招标项目的业主单位</w:t>
            </w:r>
          </w:p>
        </w:tc>
      </w:tr>
    </w:tbl>
    <w:p w14:paraId="282445A4">
      <w:pPr>
        <w:rPr>
          <w:rFonts w:hint="eastAsia"/>
          <w:color w:val="auto"/>
          <w:highlight w:val="none"/>
        </w:rPr>
      </w:pPr>
    </w:p>
    <w:p w14:paraId="0ECD6F27">
      <w:pPr>
        <w:keepNext w:val="0"/>
        <w:keepLines w:val="0"/>
        <w:pageBreakBefore w:val="0"/>
        <w:widowControl w:val="0"/>
        <w:kinsoku/>
        <w:wordWrap w:val="0"/>
        <w:overflowPunct/>
        <w:topLinePunct/>
        <w:autoSpaceDE/>
        <w:autoSpaceDN/>
        <w:bidi w:val="0"/>
        <w:adjustRightInd w:val="0"/>
        <w:snapToGrid w:val="0"/>
        <w:spacing w:line="360" w:lineRule="auto"/>
        <w:ind w:left="70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其他要求</w:t>
      </w:r>
    </w:p>
    <w:p w14:paraId="381D3E93">
      <w:pPr>
        <w:keepNext w:val="0"/>
        <w:keepLines w:val="0"/>
        <w:pageBreakBefore w:val="0"/>
        <w:widowControl w:val="0"/>
        <w:kinsoku/>
        <w:wordWrap w:val="0"/>
        <w:overflowPunct/>
        <w:topLinePunct/>
        <w:autoSpaceDE/>
        <w:autoSpaceDN/>
        <w:bidi w:val="0"/>
        <w:adjustRightInd w:val="0"/>
        <w:snapToGrid w:val="0"/>
        <w:spacing w:line="360" w:lineRule="auto"/>
        <w:ind w:left="232" w:right="84" w:rightChars="40" w:firstLine="481"/>
        <w:rPr>
          <w:rFonts w:hint="eastAsia" w:ascii="宋体" w:hAnsi="宋体" w:eastAsia="宋体" w:cs="宋体"/>
          <w:color w:val="auto"/>
          <w:highlight w:val="none"/>
        </w:rPr>
      </w:pPr>
      <w:r>
        <w:rPr>
          <w:rFonts w:hint="eastAsia" w:ascii="宋体" w:hAnsi="宋体" w:eastAsia="宋体" w:cs="宋体"/>
          <w:color w:val="auto"/>
          <w:spacing w:val="-6"/>
          <w:sz w:val="24"/>
          <w:szCs w:val="24"/>
          <w:highlight w:val="none"/>
        </w:rPr>
        <w:t>省外企业（组成联合体时指联合体各方）及其拟派往本项目管理机构的所有人员须按照《广东省住房和城乡建设厅关于取消省外建筑企业和人员进粤信息备案有关工作的通知》（粤建市﹝2015﹞52号）规定在“进粤企业和人员诚信信息登记平台”录入相关信息并通过数据规范检查。</w:t>
      </w:r>
    </w:p>
    <w:p w14:paraId="1A23D81E">
      <w:pPr>
        <w:keepNext w:val="0"/>
        <w:keepLines w:val="0"/>
        <w:pageBreakBefore w:val="0"/>
        <w:widowControl w:val="0"/>
        <w:kinsoku/>
        <w:wordWrap w:val="0"/>
        <w:overflowPunct/>
        <w:topLinePunct/>
        <w:autoSpaceDE/>
        <w:autoSpaceDN/>
        <w:bidi w:val="0"/>
        <w:adjustRightInd w:val="0"/>
        <w:snapToGrid w:val="0"/>
        <w:spacing w:line="360" w:lineRule="auto"/>
        <w:ind w:left="715" w:right="84" w:rightChars="40"/>
        <w:outlineLvl w:val="2"/>
        <w:rPr>
          <w:rFonts w:hint="eastAsia" w:ascii="宋体" w:hAnsi="宋体" w:eastAsia="宋体" w:cs="宋体"/>
          <w:color w:val="auto"/>
          <w:sz w:val="24"/>
          <w:szCs w:val="24"/>
          <w:highlight w:val="none"/>
        </w:rPr>
      </w:pPr>
      <w:bookmarkStart w:id="18" w:name="_Toc10137"/>
      <w:bookmarkStart w:id="19" w:name="_Toc23243"/>
      <w:r>
        <w:rPr>
          <w:rFonts w:hint="eastAsia" w:ascii="宋体" w:hAnsi="宋体" w:eastAsia="宋体" w:cs="宋体"/>
          <w:b/>
          <w:bCs/>
          <w:color w:val="auto"/>
          <w:spacing w:val="-4"/>
          <w:sz w:val="24"/>
          <w:szCs w:val="24"/>
          <w:highlight w:val="none"/>
          <w:lang w:eastAsia="zh-CN"/>
        </w:rPr>
        <w:t>3.</w:t>
      </w:r>
      <w:r>
        <w:rPr>
          <w:rFonts w:hint="eastAsia" w:ascii="宋体" w:hAnsi="宋体" w:eastAsia="宋体" w:cs="宋体"/>
          <w:b/>
          <w:bCs/>
          <w:color w:val="auto"/>
          <w:spacing w:val="-4"/>
          <w:sz w:val="24"/>
          <w:szCs w:val="24"/>
          <w:highlight w:val="none"/>
        </w:rPr>
        <w:t>招标文件的获取</w:t>
      </w:r>
      <w:bookmarkEnd w:id="18"/>
      <w:bookmarkEnd w:id="19"/>
    </w:p>
    <w:p w14:paraId="799C8256">
      <w:pPr>
        <w:keepNext w:val="0"/>
        <w:keepLines w:val="0"/>
        <w:pageBreakBefore w:val="0"/>
        <w:widowControl w:val="0"/>
        <w:kinsoku/>
        <w:wordWrap w:val="0"/>
        <w:overflowPunct/>
        <w:topLinePunct/>
        <w:autoSpaceDE/>
        <w:autoSpaceDN/>
        <w:bidi w:val="0"/>
        <w:adjustRightInd w:val="0"/>
        <w:snapToGrid w:val="0"/>
        <w:spacing w:line="360" w:lineRule="auto"/>
        <w:ind w:left="704"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3.1  </w:t>
      </w:r>
      <w:r>
        <w:rPr>
          <w:rFonts w:hint="eastAsia" w:ascii="宋体" w:hAnsi="宋体" w:eastAsia="宋体" w:cs="宋体"/>
          <w:color w:val="auto"/>
          <w:spacing w:val="-1"/>
          <w:sz w:val="24"/>
          <w:szCs w:val="24"/>
          <w:highlight w:val="none"/>
        </w:rPr>
        <w:t>本次招标实行电子投标。</w:t>
      </w:r>
    </w:p>
    <w:p w14:paraId="3F97C815">
      <w:pPr>
        <w:keepNext w:val="0"/>
        <w:keepLines w:val="0"/>
        <w:pageBreakBefore w:val="0"/>
        <w:widowControl w:val="0"/>
        <w:kinsoku/>
        <w:wordWrap w:val="0"/>
        <w:overflowPunct/>
        <w:topLinePunct/>
        <w:autoSpaceDE/>
        <w:autoSpaceDN/>
        <w:bidi w:val="0"/>
        <w:adjustRightInd w:val="0"/>
        <w:snapToGrid w:val="0"/>
        <w:spacing w:line="360" w:lineRule="auto"/>
        <w:ind w:left="229" w:right="84" w:rightChars="40" w:firstLine="48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本次招标实行电子投标。本项目招标文件随招标公</w:t>
      </w:r>
      <w:r>
        <w:rPr>
          <w:rFonts w:hint="eastAsia" w:ascii="宋体" w:hAnsi="宋体" w:eastAsia="宋体" w:cs="宋体"/>
          <w:color w:val="auto"/>
          <w:spacing w:val="-2"/>
          <w:sz w:val="24"/>
          <w:szCs w:val="24"/>
          <w:highlight w:val="none"/>
        </w:rPr>
        <w:t>告一并在全国公共资源交易平台（广东省·韶关市</w:t>
      </w:r>
      <w:r>
        <w:rPr>
          <w:rFonts w:hint="eastAsia" w:ascii="宋体" w:hAnsi="宋体" w:eastAsia="宋体" w:cs="宋体"/>
          <w:color w:val="auto"/>
          <w:spacing w:val="-56"/>
          <w:sz w:val="24"/>
          <w:szCs w:val="24"/>
          <w:highlight w:val="none"/>
        </w:rPr>
        <w:t>）（</w:t>
      </w:r>
      <w:r>
        <w:rPr>
          <w:rFonts w:hint="eastAsia" w:ascii="宋体" w:hAnsi="宋体" w:eastAsia="宋体" w:cs="宋体"/>
          <w:color w:val="auto"/>
          <w:spacing w:val="-2"/>
          <w:sz w:val="24"/>
          <w:szCs w:val="24"/>
          <w:highlight w:val="none"/>
        </w:rPr>
        <w:t>https://yg</w:t>
      </w:r>
      <w:r>
        <w:rPr>
          <w:rFonts w:hint="eastAsia" w:ascii="宋体" w:hAnsi="宋体" w:eastAsia="宋体" w:cs="宋体"/>
          <w:color w:val="auto"/>
          <w:spacing w:val="-3"/>
          <w:sz w:val="24"/>
          <w:szCs w:val="24"/>
          <w:highlight w:val="none"/>
        </w:rPr>
        <w:t>p.gdzwfw.gov.cn/ggzy-portal/#/440200/index）</w:t>
      </w:r>
      <w:r>
        <w:rPr>
          <w:rFonts w:hint="eastAsia" w:ascii="宋体" w:hAnsi="宋体" w:eastAsia="宋体" w:cs="宋体"/>
          <w:color w:val="auto"/>
          <w:spacing w:val="-1"/>
          <w:sz w:val="24"/>
          <w:szCs w:val="24"/>
          <w:highlight w:val="none"/>
        </w:rPr>
        <w:t>网站发布。招标文件一经发布，视为发送投标人，招标文件及相</w:t>
      </w:r>
      <w:r>
        <w:rPr>
          <w:rFonts w:hint="eastAsia" w:ascii="宋体" w:hAnsi="宋体" w:eastAsia="宋体" w:cs="宋体"/>
          <w:color w:val="auto"/>
          <w:spacing w:val="-2"/>
          <w:sz w:val="24"/>
          <w:szCs w:val="24"/>
          <w:highlight w:val="none"/>
        </w:rPr>
        <w:t>关附件由投标人自行</w:t>
      </w:r>
      <w:r>
        <w:rPr>
          <w:rFonts w:hint="eastAsia" w:ascii="宋体" w:hAnsi="宋体" w:eastAsia="宋体" w:cs="宋体"/>
          <w:color w:val="auto"/>
          <w:spacing w:val="-7"/>
          <w:sz w:val="24"/>
          <w:szCs w:val="24"/>
          <w:highlight w:val="none"/>
        </w:rPr>
        <w:t>在全国公共资源交易平台（广东省·韶关市）网站下载。请于招标文件获取期间</w:t>
      </w:r>
      <w:r>
        <w:rPr>
          <w:rFonts w:hint="eastAsia" w:ascii="宋体" w:hAnsi="宋体" w:eastAsia="宋体" w:cs="宋体"/>
          <w:color w:val="auto"/>
          <w:spacing w:val="-7"/>
          <w:sz w:val="24"/>
          <w:szCs w:val="24"/>
          <w:highlight w:val="none"/>
          <w:lang w:eastAsia="zh-CN"/>
        </w:rPr>
        <w:t>，</w:t>
      </w:r>
      <w:r>
        <w:rPr>
          <w:rFonts w:hint="eastAsia" w:ascii="宋体" w:hAnsi="宋体" w:eastAsia="宋体" w:cs="宋体"/>
          <w:color w:val="auto"/>
          <w:spacing w:val="-7"/>
          <w:sz w:val="24"/>
          <w:szCs w:val="24"/>
          <w:highlight w:val="none"/>
        </w:rPr>
        <w:t>（见</w:t>
      </w:r>
      <w:r>
        <w:rPr>
          <w:rFonts w:hint="eastAsia" w:ascii="宋体" w:hAnsi="宋体" w:eastAsia="宋体" w:cs="宋体"/>
          <w:color w:val="auto"/>
          <w:spacing w:val="-2"/>
          <w:sz w:val="24"/>
          <w:szCs w:val="24"/>
          <w:highlight w:val="none"/>
        </w:rPr>
        <w:t>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”）招标文件获取期间与招标公告发</w:t>
      </w:r>
      <w:r>
        <w:rPr>
          <w:rFonts w:hint="eastAsia" w:ascii="宋体" w:hAnsi="宋体" w:eastAsia="宋体" w:cs="宋体"/>
          <w:color w:val="auto"/>
          <w:spacing w:val="-3"/>
          <w:sz w:val="24"/>
          <w:szCs w:val="24"/>
          <w:highlight w:val="none"/>
        </w:rPr>
        <w:t>布时间一</w:t>
      </w:r>
      <w:r>
        <w:rPr>
          <w:rFonts w:hint="eastAsia" w:ascii="宋体" w:hAnsi="宋体" w:eastAsia="宋体" w:cs="宋体"/>
          <w:color w:val="auto"/>
          <w:spacing w:val="-4"/>
          <w:sz w:val="24"/>
          <w:szCs w:val="24"/>
          <w:highlight w:val="none"/>
        </w:rPr>
        <w:t>致，投标人须登录全国公共资源交易平台（广东省·韶关市</w:t>
      </w:r>
      <w:r>
        <w:rPr>
          <w:rFonts w:hint="eastAsia" w:ascii="宋体" w:hAnsi="宋体" w:eastAsia="宋体" w:cs="宋体"/>
          <w:color w:val="auto"/>
          <w:spacing w:val="-40"/>
          <w:sz w:val="24"/>
          <w:szCs w:val="24"/>
          <w:highlight w:val="none"/>
        </w:rPr>
        <w:t>）（</w:t>
      </w:r>
      <w:r>
        <w:rPr>
          <w:rFonts w:hint="eastAsia" w:ascii="宋体" w:hAnsi="宋体" w:eastAsia="宋体" w:cs="宋体"/>
          <w:color w:val="auto"/>
          <w:spacing w:val="-4"/>
          <w:sz w:val="24"/>
          <w:szCs w:val="24"/>
          <w:highlight w:val="none"/>
        </w:rPr>
        <w:t>https://ygp.gdzwfw.</w:t>
      </w:r>
      <w:r>
        <w:rPr>
          <w:rFonts w:hint="eastAsia" w:ascii="宋体" w:hAnsi="宋体" w:eastAsia="宋体" w:cs="宋体"/>
          <w:color w:val="auto"/>
          <w:sz w:val="24"/>
          <w:szCs w:val="24"/>
          <w:highlight w:val="none"/>
        </w:rPr>
        <w:t>gov</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cn</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ggzy</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portal</w:t>
      </w:r>
      <w:r>
        <w:rPr>
          <w:rFonts w:hint="eastAsia" w:ascii="宋体" w:hAnsi="宋体" w:eastAsia="宋体" w:cs="宋体"/>
          <w:color w:val="auto"/>
          <w:spacing w:val="2"/>
          <w:sz w:val="24"/>
          <w:szCs w:val="24"/>
          <w:highlight w:val="none"/>
        </w:rPr>
        <w:t>/#/440200/</w:t>
      </w:r>
      <w:r>
        <w:rPr>
          <w:rFonts w:hint="eastAsia" w:ascii="宋体" w:hAnsi="宋体" w:eastAsia="宋体" w:cs="宋体"/>
          <w:color w:val="auto"/>
          <w:sz w:val="24"/>
          <w:szCs w:val="24"/>
          <w:highlight w:val="none"/>
        </w:rPr>
        <w:t>index</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2"/>
          <w:sz w:val="24"/>
          <w:szCs w:val="24"/>
          <w:highlight w:val="none"/>
        </w:rPr>
        <w:t>使用新建设工程交易系统进行下载</w:t>
      </w:r>
      <w:r>
        <w:rPr>
          <w:rFonts w:hint="eastAsia" w:ascii="宋体" w:hAnsi="宋体" w:eastAsia="宋体" w:cs="宋体"/>
          <w:color w:val="auto"/>
          <w:spacing w:val="1"/>
          <w:sz w:val="24"/>
          <w:szCs w:val="24"/>
          <w:highlight w:val="none"/>
        </w:rPr>
        <w:t>招标文</w:t>
      </w:r>
      <w:r>
        <w:rPr>
          <w:rFonts w:hint="eastAsia" w:ascii="宋体" w:hAnsi="宋体" w:eastAsia="宋体" w:cs="宋体"/>
          <w:color w:val="auto"/>
          <w:spacing w:val="-6"/>
          <w:sz w:val="24"/>
          <w:szCs w:val="24"/>
          <w:highlight w:val="none"/>
        </w:rPr>
        <w:t>件及相关附件，并于电子投标截止时间（见本章第二节“重要事项时间地点一览表</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2"/>
          <w:sz w:val="24"/>
          <w:szCs w:val="24"/>
          <w:highlight w:val="none"/>
        </w:rPr>
        <w:t>前完成电子投标。投标人可登录全国公共资源交易平</w:t>
      </w:r>
      <w:r>
        <w:rPr>
          <w:rFonts w:hint="eastAsia" w:ascii="宋体" w:hAnsi="宋体" w:eastAsia="宋体" w:cs="宋体"/>
          <w:color w:val="auto"/>
          <w:spacing w:val="-3"/>
          <w:sz w:val="24"/>
          <w:szCs w:val="24"/>
          <w:highlight w:val="none"/>
        </w:rPr>
        <w:t>台（广东省·韶关市</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3"/>
          <w:sz w:val="24"/>
          <w:szCs w:val="24"/>
          <w:highlight w:val="none"/>
        </w:rPr>
        <w:t>https:</w:t>
      </w:r>
      <w:r>
        <w:rPr>
          <w:rFonts w:hint="eastAsia" w:ascii="宋体" w:hAnsi="宋体" w:eastAsia="宋体" w:cs="宋体"/>
          <w:color w:val="auto"/>
          <w:sz w:val="24"/>
          <w:szCs w:val="24"/>
          <w:highlight w:val="none"/>
        </w:rPr>
        <w:t>//ygp.gdzwfw.gov.cn/ggz</w:t>
      </w:r>
      <w:r>
        <w:rPr>
          <w:rFonts w:hint="eastAsia" w:ascii="宋体" w:hAnsi="宋体" w:eastAsia="宋体" w:cs="宋体"/>
          <w:color w:val="auto"/>
          <w:spacing w:val="-1"/>
          <w:sz w:val="24"/>
          <w:szCs w:val="24"/>
          <w:highlight w:val="none"/>
        </w:rPr>
        <w:t>y-portal/#/440200/index</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1"/>
          <w:sz w:val="24"/>
          <w:szCs w:val="24"/>
          <w:highlight w:val="none"/>
        </w:rPr>
        <w:t>在【服务指南】栏目中建设</w:t>
      </w:r>
      <w:r>
        <w:rPr>
          <w:rFonts w:hint="eastAsia" w:ascii="宋体" w:hAnsi="宋体" w:eastAsia="宋体" w:cs="宋体"/>
          <w:color w:val="auto"/>
          <w:spacing w:val="-2"/>
          <w:sz w:val="24"/>
          <w:szCs w:val="24"/>
          <w:highlight w:val="none"/>
        </w:rPr>
        <w:t>工程交易中下载《韶关市公共资源建设工程交易系统</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投</w:t>
      </w:r>
      <w:r>
        <w:rPr>
          <w:rFonts w:hint="eastAsia" w:ascii="宋体" w:hAnsi="宋体" w:eastAsia="宋体" w:cs="宋体"/>
          <w:color w:val="auto"/>
          <w:spacing w:val="-1"/>
          <w:sz w:val="24"/>
          <w:szCs w:val="24"/>
          <w:highlight w:val="none"/>
        </w:rPr>
        <w:t>标人操作指南（电子评标）》（附件2），了解网上获取招标文件操作流程。技术咨询电话：0751-837</w:t>
      </w:r>
      <w:r>
        <w:rPr>
          <w:rFonts w:hint="eastAsia" w:ascii="宋体" w:hAnsi="宋体" w:eastAsia="宋体" w:cs="宋体"/>
          <w:color w:val="auto"/>
          <w:spacing w:val="-4"/>
          <w:sz w:val="24"/>
          <w:szCs w:val="24"/>
          <w:highlight w:val="none"/>
        </w:rPr>
        <w:t>9671 伍</w:t>
      </w:r>
      <w:r>
        <w:rPr>
          <w:rFonts w:hint="eastAsia" w:ascii="宋体" w:hAnsi="宋体" w:eastAsia="宋体" w:cs="宋体"/>
          <w:color w:val="auto"/>
          <w:spacing w:val="-5"/>
          <w:sz w:val="24"/>
          <w:szCs w:val="24"/>
          <w:highlight w:val="none"/>
        </w:rPr>
        <w:t>先生，</w:t>
      </w:r>
      <w:r>
        <w:rPr>
          <w:rFonts w:hint="eastAsia" w:ascii="宋体" w:hAnsi="宋体" w:eastAsia="宋体" w:cs="宋体"/>
          <w:color w:val="auto"/>
          <w:spacing w:val="-1"/>
          <w:sz w:val="24"/>
          <w:szCs w:val="24"/>
          <w:highlight w:val="none"/>
        </w:rPr>
        <w:t>业务咨询电话：0751-8633211、8633071。</w:t>
      </w:r>
    </w:p>
    <w:p w14:paraId="217B4B89">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3"/>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3.2  </w:t>
      </w:r>
      <w:r>
        <w:rPr>
          <w:rFonts w:hint="eastAsia" w:ascii="宋体" w:hAnsi="宋体" w:eastAsia="宋体" w:cs="宋体"/>
          <w:color w:val="auto"/>
          <w:spacing w:val="-1"/>
          <w:sz w:val="24"/>
          <w:szCs w:val="24"/>
          <w:highlight w:val="none"/>
        </w:rPr>
        <w:t>只有申领了数字证书（CA）、“粤企签</w:t>
      </w:r>
      <w:r>
        <w:rPr>
          <w:rFonts w:hint="eastAsia" w:ascii="宋体" w:hAnsi="宋体" w:eastAsia="宋体" w:cs="宋体"/>
          <w:color w:val="auto"/>
          <w:spacing w:val="-76"/>
          <w:sz w:val="24"/>
          <w:szCs w:val="24"/>
          <w:highlight w:val="none"/>
        </w:rPr>
        <w:t xml:space="preserve"> </w:t>
      </w:r>
      <w:r>
        <w:rPr>
          <w:rFonts w:hint="eastAsia" w:ascii="宋体" w:hAnsi="宋体" w:eastAsia="宋体" w:cs="宋体"/>
          <w:color w:val="auto"/>
          <w:spacing w:val="-1"/>
          <w:sz w:val="24"/>
          <w:szCs w:val="24"/>
          <w:highlight w:val="none"/>
        </w:rPr>
        <w:t>”或</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GDCA/SZCA/NETCA</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1"/>
          <w:sz w:val="24"/>
          <w:szCs w:val="24"/>
          <w:highlight w:val="none"/>
        </w:rPr>
        <w:t>等符合法律法规规定的电子印章，并在交易系统中完成企业信息数据入库</w:t>
      </w:r>
      <w:r>
        <w:rPr>
          <w:rFonts w:hint="eastAsia" w:ascii="宋体" w:hAnsi="宋体" w:eastAsia="宋体" w:cs="宋体"/>
          <w:color w:val="auto"/>
          <w:spacing w:val="-2"/>
          <w:sz w:val="24"/>
          <w:szCs w:val="24"/>
          <w:highlight w:val="none"/>
        </w:rPr>
        <w:t>的投标人，方可使用建设</w:t>
      </w:r>
      <w:r>
        <w:rPr>
          <w:rFonts w:hint="eastAsia" w:ascii="宋体" w:hAnsi="宋体" w:eastAsia="宋体" w:cs="宋体"/>
          <w:color w:val="auto"/>
          <w:spacing w:val="-1"/>
          <w:sz w:val="24"/>
          <w:szCs w:val="24"/>
          <w:highlight w:val="none"/>
        </w:rPr>
        <w:t>工程交易系统进行招标文件及附件获取和电子投标。</w:t>
      </w:r>
    </w:p>
    <w:p w14:paraId="2C0B48C6">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首次在韶关市参与建设工程招标投标活动的</w:t>
      </w:r>
      <w:r>
        <w:rPr>
          <w:rFonts w:hint="eastAsia" w:ascii="宋体" w:hAnsi="宋体" w:eastAsia="宋体" w:cs="宋体"/>
          <w:color w:val="auto"/>
          <w:spacing w:val="-2"/>
          <w:sz w:val="24"/>
          <w:szCs w:val="24"/>
          <w:highlight w:val="none"/>
        </w:rPr>
        <w:t>投标人，必须在平台系统上传企业相</w:t>
      </w:r>
      <w:r>
        <w:rPr>
          <w:rFonts w:hint="eastAsia" w:ascii="宋体" w:hAnsi="宋体" w:eastAsia="宋体" w:cs="宋体"/>
          <w:color w:val="auto"/>
          <w:spacing w:val="-3"/>
          <w:sz w:val="24"/>
          <w:szCs w:val="24"/>
          <w:highlight w:val="none"/>
        </w:rPr>
        <w:t>关资料办理企业入库事宜。投标人可登录全国公共资源</w:t>
      </w:r>
      <w:r>
        <w:rPr>
          <w:rFonts w:hint="eastAsia" w:ascii="宋体" w:hAnsi="宋体" w:eastAsia="宋体" w:cs="宋体"/>
          <w:color w:val="auto"/>
          <w:spacing w:val="-4"/>
          <w:sz w:val="24"/>
          <w:szCs w:val="24"/>
          <w:highlight w:val="none"/>
        </w:rPr>
        <w:t>交易平台（广东省·韶关市）</w:t>
      </w:r>
      <w:r>
        <w:rPr>
          <w:rFonts w:hint="eastAsia" w:ascii="宋体" w:hAnsi="宋体" w:eastAsia="宋体" w:cs="宋体"/>
          <w:color w:val="auto"/>
          <w:spacing w:val="-1"/>
          <w:sz w:val="24"/>
          <w:szCs w:val="24"/>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"https://ygp.gdzwfw.gov.cn/ggzy-portal/#/440200/index" </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1"/>
          <w:sz w:val="24"/>
          <w:szCs w:val="24"/>
          <w:highlight w:val="none"/>
        </w:rPr>
        <w:t>https://ygp.gdzwfw.gov.cn/ggzy-portal/#/440200/index</w:t>
      </w:r>
      <w:r>
        <w:rPr>
          <w:rFonts w:hint="eastAsia" w:ascii="宋体" w:hAnsi="宋体" w:eastAsia="宋体" w:cs="宋体"/>
          <w:color w:val="auto"/>
          <w:spacing w:val="-1"/>
          <w:sz w:val="24"/>
          <w:szCs w:val="24"/>
          <w:highlight w:val="none"/>
        </w:rPr>
        <w:fldChar w:fldCharType="end"/>
      </w:r>
      <w:r>
        <w:rPr>
          <w:rFonts w:hint="eastAsia" w:ascii="宋体" w:hAnsi="宋体" w:eastAsia="宋体" w:cs="宋体"/>
          <w:color w:val="auto"/>
          <w:spacing w:val="-1"/>
          <w:sz w:val="24"/>
          <w:szCs w:val="24"/>
          <w:highlight w:val="none"/>
        </w:rPr>
        <w:t>）办理企业入库、数字证书及电子印章事宜，具体请在平台查阅相应的交易指引。</w:t>
      </w:r>
    </w:p>
    <w:p w14:paraId="64139537">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2" w:firstLineChars="200"/>
        <w:jc w:val="both"/>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已入库企业有关信息（如单位名称、基本账号、资质、人员等）发生变化</w:t>
      </w:r>
      <w:r>
        <w:rPr>
          <w:rFonts w:hint="eastAsia" w:ascii="宋体" w:hAnsi="宋体" w:eastAsia="宋体" w:cs="宋体"/>
          <w:color w:val="auto"/>
          <w:spacing w:val="-3"/>
          <w:sz w:val="24"/>
          <w:szCs w:val="24"/>
          <w:highlight w:val="none"/>
        </w:rPr>
        <w:t>的，须</w:t>
      </w:r>
      <w:r>
        <w:rPr>
          <w:rFonts w:hint="eastAsia" w:ascii="宋体" w:hAnsi="宋体" w:eastAsia="宋体" w:cs="宋体"/>
          <w:color w:val="auto"/>
          <w:spacing w:val="-1"/>
          <w:sz w:val="24"/>
          <w:szCs w:val="24"/>
          <w:highlight w:val="none"/>
        </w:rPr>
        <w:t>及时在交易系统进行相应变更。投标人未及时变更信息而造成的</w:t>
      </w:r>
      <w:r>
        <w:rPr>
          <w:rFonts w:hint="eastAsia" w:ascii="宋体" w:hAnsi="宋体" w:eastAsia="宋体" w:cs="宋体"/>
          <w:color w:val="auto"/>
          <w:spacing w:val="-2"/>
          <w:sz w:val="24"/>
          <w:szCs w:val="24"/>
          <w:highlight w:val="none"/>
        </w:rPr>
        <w:t>损失和后果，由投标人自行承担。</w:t>
      </w:r>
      <w:r>
        <w:rPr>
          <w:rFonts w:hint="eastAsia" w:ascii="宋体" w:hAnsi="宋体" w:eastAsia="宋体" w:cs="宋体"/>
          <w:color w:val="auto"/>
          <w:spacing w:val="-2"/>
          <w:sz w:val="24"/>
          <w:szCs w:val="24"/>
          <w:highlight w:val="none"/>
          <w:lang w:val="en-US" w:eastAsia="zh-CN"/>
        </w:rPr>
        <w:t xml:space="preserve">   </w:t>
      </w:r>
      <w:r>
        <w:rPr>
          <w:rFonts w:hint="eastAsia" w:ascii="宋体" w:hAnsi="宋体" w:eastAsia="宋体" w:cs="宋体"/>
          <w:color w:val="auto"/>
          <w:spacing w:val="-2"/>
          <w:sz w:val="24"/>
          <w:szCs w:val="24"/>
          <w:highlight w:val="none"/>
        </w:rPr>
        <w:t>电子印章：是指获得</w:t>
      </w:r>
      <w:r>
        <w:rPr>
          <w:rFonts w:hint="eastAsia" w:ascii="宋体" w:hAnsi="宋体" w:eastAsia="宋体" w:cs="宋体"/>
          <w:color w:val="auto"/>
          <w:spacing w:val="-2"/>
          <w:sz w:val="24"/>
          <w:szCs w:val="24"/>
          <w:highlight w:val="none"/>
          <w:lang w:eastAsia="zh-CN"/>
        </w:rPr>
        <w:t>工业和信息化部</w:t>
      </w:r>
      <w:r>
        <w:rPr>
          <w:rFonts w:hint="eastAsia" w:ascii="宋体" w:hAnsi="宋体" w:eastAsia="宋体" w:cs="宋体"/>
          <w:color w:val="auto"/>
          <w:spacing w:val="-2"/>
          <w:sz w:val="24"/>
          <w:szCs w:val="24"/>
          <w:highlight w:val="none"/>
        </w:rPr>
        <w:t>颁发的《电子认证服务许可</w:t>
      </w:r>
      <w:r>
        <w:rPr>
          <w:rFonts w:hint="eastAsia" w:ascii="宋体" w:hAnsi="宋体" w:eastAsia="宋体" w:cs="宋体"/>
          <w:color w:val="auto"/>
          <w:spacing w:val="-3"/>
          <w:sz w:val="24"/>
          <w:szCs w:val="24"/>
          <w:highlight w:val="none"/>
        </w:rPr>
        <w:t>证》、国家</w:t>
      </w:r>
      <w:r>
        <w:rPr>
          <w:rFonts w:hint="eastAsia" w:ascii="宋体" w:hAnsi="宋体" w:eastAsia="宋体" w:cs="宋体"/>
          <w:color w:val="auto"/>
          <w:spacing w:val="-1"/>
          <w:sz w:val="24"/>
          <w:szCs w:val="24"/>
          <w:highlight w:val="none"/>
        </w:rPr>
        <w:t>密码管理局颁发的《电子认证服务使用密码许可证》等资质，</w:t>
      </w:r>
      <w:r>
        <w:rPr>
          <w:rFonts w:hint="eastAsia" w:ascii="宋体" w:hAnsi="宋体" w:eastAsia="宋体" w:cs="宋体"/>
          <w:color w:val="auto"/>
          <w:spacing w:val="-2"/>
          <w:sz w:val="24"/>
          <w:szCs w:val="24"/>
          <w:highlight w:val="none"/>
        </w:rPr>
        <w:t>具备承担因数字证书原</w:t>
      </w:r>
      <w:r>
        <w:rPr>
          <w:rFonts w:hint="eastAsia" w:ascii="宋体" w:hAnsi="宋体" w:eastAsia="宋体" w:cs="宋体"/>
          <w:color w:val="auto"/>
          <w:spacing w:val="-1"/>
          <w:sz w:val="24"/>
          <w:szCs w:val="24"/>
          <w:highlight w:val="none"/>
        </w:rPr>
        <w:t>因产生纠纷的相关责任的能力，且在广东省内具有数量基础和</w:t>
      </w:r>
      <w:r>
        <w:rPr>
          <w:rFonts w:hint="eastAsia" w:ascii="宋体" w:hAnsi="宋体" w:eastAsia="宋体" w:cs="宋体"/>
          <w:color w:val="auto"/>
          <w:spacing w:val="-2"/>
          <w:sz w:val="24"/>
          <w:szCs w:val="24"/>
          <w:highlight w:val="none"/>
        </w:rPr>
        <w:t>服务能力的依法设立的</w:t>
      </w:r>
      <w:r>
        <w:rPr>
          <w:rFonts w:hint="eastAsia" w:ascii="宋体" w:hAnsi="宋体" w:eastAsia="宋体" w:cs="宋体"/>
          <w:color w:val="auto"/>
          <w:spacing w:val="3"/>
          <w:sz w:val="24"/>
          <w:szCs w:val="24"/>
          <w:highlight w:val="none"/>
        </w:rPr>
        <w:t>电子认证服务机构签发的电子签章认证证书（即</w:t>
      </w:r>
      <w:r>
        <w:rPr>
          <w:rFonts w:hint="eastAsia" w:ascii="宋体" w:hAnsi="宋体" w:eastAsia="宋体" w:cs="宋体"/>
          <w:color w:val="auto"/>
          <w:sz w:val="24"/>
          <w:szCs w:val="24"/>
          <w:highlight w:val="none"/>
        </w:rPr>
        <w:t>CA</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数字证书）。投标人应当到相关</w:t>
      </w:r>
      <w:r>
        <w:rPr>
          <w:rFonts w:hint="eastAsia" w:ascii="宋体" w:hAnsi="宋体" w:eastAsia="宋体" w:cs="宋体"/>
          <w:color w:val="auto"/>
          <w:spacing w:val="-1"/>
          <w:sz w:val="24"/>
          <w:szCs w:val="24"/>
          <w:highlight w:val="none"/>
        </w:rPr>
        <w:t>服务机构办理并取得数字证书介质和应用。电子印章包括机构</w:t>
      </w:r>
      <w:r>
        <w:rPr>
          <w:rFonts w:hint="eastAsia" w:ascii="宋体" w:hAnsi="宋体" w:eastAsia="宋体" w:cs="宋体"/>
          <w:color w:val="auto"/>
          <w:spacing w:val="-2"/>
          <w:sz w:val="24"/>
          <w:szCs w:val="24"/>
          <w:highlight w:val="none"/>
        </w:rPr>
        <w:t>法人电子形式印章，单</w:t>
      </w:r>
      <w:r>
        <w:rPr>
          <w:rFonts w:hint="eastAsia" w:ascii="宋体" w:hAnsi="宋体" w:eastAsia="宋体" w:cs="宋体"/>
          <w:color w:val="auto"/>
          <w:spacing w:val="-1"/>
          <w:sz w:val="24"/>
          <w:szCs w:val="24"/>
          <w:highlight w:val="none"/>
        </w:rPr>
        <w:t>位法定代表人、被委托人及其他个人的电子形式印章。电子印</w:t>
      </w:r>
      <w:r>
        <w:rPr>
          <w:rFonts w:hint="eastAsia" w:ascii="宋体" w:hAnsi="宋体" w:eastAsia="宋体" w:cs="宋体"/>
          <w:color w:val="auto"/>
          <w:spacing w:val="-2"/>
          <w:sz w:val="24"/>
          <w:szCs w:val="24"/>
          <w:highlight w:val="none"/>
        </w:rPr>
        <w:t>章与手写签名或者盖章</w:t>
      </w:r>
      <w:r>
        <w:rPr>
          <w:rFonts w:hint="eastAsia" w:ascii="宋体" w:hAnsi="宋体" w:eastAsia="宋体" w:cs="宋体"/>
          <w:color w:val="auto"/>
          <w:spacing w:val="-1"/>
          <w:sz w:val="24"/>
          <w:szCs w:val="24"/>
          <w:highlight w:val="none"/>
        </w:rPr>
        <w:t>具有同等的法律效力。</w:t>
      </w:r>
    </w:p>
    <w:p w14:paraId="76642721">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0" w:firstLineChars="200"/>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b/>
          <w:bCs/>
          <w:color w:val="auto"/>
          <w:spacing w:val="-3"/>
          <w:sz w:val="24"/>
          <w:szCs w:val="24"/>
          <w:highlight w:val="none"/>
        </w:rPr>
        <w:t>3.3</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3"/>
          <w:sz w:val="24"/>
          <w:szCs w:val="24"/>
          <w:highlight w:val="none"/>
        </w:rPr>
        <w:t>投标保证</w:t>
      </w:r>
    </w:p>
    <w:p w14:paraId="0EB370D0">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8" w:firstLineChars="200"/>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b/>
          <w:bCs/>
          <w:color w:val="auto"/>
          <w:spacing w:val="-1"/>
          <w:sz w:val="24"/>
          <w:szCs w:val="24"/>
          <w:highlight w:val="none"/>
        </w:rPr>
        <w:t xml:space="preserve">3.3.1  </w:t>
      </w:r>
      <w:r>
        <w:rPr>
          <w:rFonts w:hint="eastAsia" w:ascii="宋体" w:hAnsi="宋体" w:eastAsia="宋体" w:cs="宋体"/>
          <w:color w:val="auto"/>
          <w:spacing w:val="-1"/>
          <w:sz w:val="24"/>
          <w:szCs w:val="24"/>
          <w:highlight w:val="none"/>
        </w:rPr>
        <w:t>投标人须缴纳金额为</w:t>
      </w:r>
      <w:r>
        <w:rPr>
          <w:rFonts w:hint="eastAsia" w:ascii="宋体" w:hAnsi="宋体" w:eastAsia="宋体" w:cs="宋体"/>
          <w:color w:val="auto"/>
          <w:spacing w:val="-1"/>
          <w:sz w:val="24"/>
          <w:szCs w:val="24"/>
          <w:highlight w:val="none"/>
          <w:u w:val="single"/>
          <w:lang w:val="en-US" w:eastAsia="zh-CN"/>
        </w:rPr>
        <w:t xml:space="preserve"> 10万元</w:t>
      </w:r>
      <w:r>
        <w:rPr>
          <w:rFonts w:hint="eastAsia" w:ascii="宋体" w:hAnsi="宋体" w:eastAsia="宋体" w:cs="宋体"/>
          <w:color w:val="auto"/>
          <w:spacing w:val="-1"/>
          <w:sz w:val="24"/>
          <w:szCs w:val="24"/>
          <w:highlight w:val="none"/>
        </w:rPr>
        <w:t>人民币的投标保证。联合体投标的，由联合体牵头人</w:t>
      </w:r>
      <w:r>
        <w:rPr>
          <w:rFonts w:hint="eastAsia" w:ascii="宋体" w:hAnsi="宋体" w:eastAsia="宋体" w:cs="宋体"/>
          <w:color w:val="auto"/>
          <w:spacing w:val="-3"/>
          <w:sz w:val="24"/>
          <w:szCs w:val="24"/>
          <w:highlight w:val="none"/>
        </w:rPr>
        <w:t>缴纳。</w:t>
      </w:r>
    </w:p>
    <w:p w14:paraId="170F1F4F">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90" w:firstLineChars="200"/>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3.3.2  </w:t>
      </w:r>
      <w:r>
        <w:rPr>
          <w:rFonts w:hint="eastAsia" w:ascii="宋体" w:hAnsi="宋体" w:eastAsia="宋体" w:cs="宋体"/>
          <w:color w:val="auto"/>
          <w:spacing w:val="2"/>
          <w:sz w:val="24"/>
          <w:szCs w:val="24"/>
          <w:highlight w:val="none"/>
        </w:rPr>
        <w:t>投标保证的形式包括投标保证金、投标保证担保、投标保证保险三种</w:t>
      </w:r>
      <w:r>
        <w:rPr>
          <w:rFonts w:hint="eastAsia" w:ascii="宋体" w:hAnsi="宋体" w:eastAsia="宋体" w:cs="宋体"/>
          <w:color w:val="auto"/>
          <w:spacing w:val="1"/>
          <w:sz w:val="24"/>
          <w:szCs w:val="24"/>
          <w:highlight w:val="none"/>
        </w:rPr>
        <w:t>，由</w:t>
      </w:r>
      <w:r>
        <w:rPr>
          <w:rFonts w:hint="eastAsia" w:ascii="宋体" w:hAnsi="宋体" w:eastAsia="宋体" w:cs="宋体"/>
          <w:color w:val="auto"/>
          <w:spacing w:val="-2"/>
          <w:sz w:val="24"/>
          <w:szCs w:val="24"/>
          <w:highlight w:val="none"/>
        </w:rPr>
        <w:t>投标人自主选择。</w:t>
      </w:r>
      <w:bookmarkStart w:id="20" w:name="bookmark117"/>
      <w:bookmarkEnd w:id="20"/>
    </w:p>
    <w:p w14:paraId="25878007">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88" w:firstLineChars="200"/>
        <w:jc w:val="both"/>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（1）采用投标保证金的，投标人在建设工程交易系统获取招</w:t>
      </w:r>
      <w:r>
        <w:rPr>
          <w:rFonts w:hint="eastAsia" w:ascii="宋体" w:hAnsi="宋体" w:eastAsia="宋体" w:cs="宋体"/>
          <w:color w:val="auto"/>
          <w:spacing w:val="1"/>
          <w:sz w:val="24"/>
          <w:szCs w:val="24"/>
          <w:highlight w:val="none"/>
        </w:rPr>
        <w:t>标文件完毕后，即</w:t>
      </w:r>
      <w:r>
        <w:rPr>
          <w:rFonts w:hint="eastAsia" w:ascii="宋体" w:hAnsi="宋体" w:eastAsia="宋体" w:cs="宋体"/>
          <w:color w:val="auto"/>
          <w:spacing w:val="-1"/>
          <w:sz w:val="24"/>
          <w:szCs w:val="24"/>
          <w:highlight w:val="none"/>
        </w:rPr>
        <w:t>可在系统申请缴纳投标保证金，获取本次招标投标保证金缴</w:t>
      </w:r>
      <w:r>
        <w:rPr>
          <w:rFonts w:hint="eastAsia" w:ascii="宋体" w:hAnsi="宋体" w:eastAsia="宋体" w:cs="宋体"/>
          <w:color w:val="auto"/>
          <w:spacing w:val="-2"/>
          <w:sz w:val="24"/>
          <w:szCs w:val="24"/>
          <w:highlight w:val="none"/>
        </w:rPr>
        <w:t>纳账号。投标人必须于投标保证金到账截</w:t>
      </w:r>
      <w:r>
        <w:rPr>
          <w:rFonts w:hint="eastAsia" w:ascii="宋体" w:hAnsi="宋体" w:eastAsia="宋体" w:cs="宋体"/>
          <w:color w:val="auto"/>
          <w:spacing w:val="-1"/>
          <w:sz w:val="24"/>
          <w:szCs w:val="24"/>
          <w:highlight w:val="none"/>
        </w:rPr>
        <w:t>止时间（见本招标文件“重要事项时间地点一览表”）前，从其基本账户将投标保证金转账到指定的缴纳账号。逾期到账的、从非投标人基本账户转出的，其投标无效。</w:t>
      </w:r>
    </w:p>
    <w:p w14:paraId="369EF07D">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6" w:firstLineChars="200"/>
        <w:jc w:val="both"/>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p>
    <w:p w14:paraId="17A46BD3">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6" w:firstLineChars="200"/>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3）采用投标保证保险的，投标人须在投标保证保险投保截止时间（见本招标文件“重要事项时间地点一览表”）前，使用建设工程交易系统完成网上投保。投标人可在系统选择保险机构、录入投保信息、支付保费、打印</w:t>
      </w:r>
      <w:r>
        <w:rPr>
          <w:rFonts w:hint="eastAsia" w:ascii="宋体" w:hAnsi="宋体" w:eastAsia="宋体" w:cs="宋体"/>
          <w:color w:val="auto"/>
          <w:spacing w:val="-2"/>
          <w:sz w:val="24"/>
          <w:szCs w:val="24"/>
          <w:highlight w:val="none"/>
        </w:rPr>
        <w:t>电子保单，电子保单的有</w:t>
      </w:r>
      <w:r>
        <w:rPr>
          <w:rFonts w:hint="eastAsia" w:ascii="宋体" w:hAnsi="宋体" w:eastAsia="宋体" w:cs="宋体"/>
          <w:color w:val="auto"/>
          <w:spacing w:val="-3"/>
          <w:sz w:val="24"/>
          <w:szCs w:val="24"/>
          <w:highlight w:val="none"/>
        </w:rPr>
        <w:t>效期不得短于投标有效期。投标人可登录全国公共资源交易平台（广东省·韶关市）（</w:t>
      </w:r>
      <w:r>
        <w:rPr>
          <w:rFonts w:hint="eastAsia" w:ascii="宋体" w:hAnsi="宋体" w:eastAsia="宋体" w:cs="宋体"/>
          <w:color w:val="auto"/>
          <w:spacing w:val="-3"/>
          <w:sz w:val="24"/>
          <w:szCs w:val="24"/>
          <w:highlight w:val="none"/>
        </w:rPr>
        <w:fldChar w:fldCharType="begin"/>
      </w:r>
      <w:r>
        <w:rPr>
          <w:rFonts w:hint="eastAsia" w:ascii="宋体" w:hAnsi="宋体" w:eastAsia="宋体" w:cs="宋体"/>
          <w:color w:val="auto"/>
          <w:spacing w:val="-3"/>
          <w:sz w:val="24"/>
          <w:szCs w:val="24"/>
          <w:highlight w:val="none"/>
        </w:rPr>
        <w:instrText xml:space="preserve"> HYPERLINK "https://ygp.gdzwfw.gov.cn/ggzy-portal/#/440200/index" </w:instrText>
      </w:r>
      <w:r>
        <w:rPr>
          <w:rFonts w:hint="eastAsia" w:ascii="宋体" w:hAnsi="宋体" w:eastAsia="宋体" w:cs="宋体"/>
          <w:color w:val="auto"/>
          <w:spacing w:val="-3"/>
          <w:sz w:val="24"/>
          <w:szCs w:val="24"/>
          <w:highlight w:val="none"/>
        </w:rPr>
        <w:fldChar w:fldCharType="separate"/>
      </w:r>
      <w:r>
        <w:rPr>
          <w:rFonts w:hint="eastAsia" w:ascii="宋体" w:hAnsi="宋体" w:eastAsia="宋体" w:cs="宋体"/>
          <w:color w:val="auto"/>
          <w:spacing w:val="-3"/>
          <w:sz w:val="24"/>
          <w:szCs w:val="24"/>
          <w:highlight w:val="none"/>
        </w:rPr>
        <w:t>https://ygp.gdzwfw.gov.cn/ggzy-portal/#/440200/index</w:t>
      </w:r>
      <w:r>
        <w:rPr>
          <w:rFonts w:hint="eastAsia" w:ascii="宋体" w:hAnsi="宋体" w:eastAsia="宋体" w:cs="宋体"/>
          <w:color w:val="auto"/>
          <w:spacing w:val="-3"/>
          <w:sz w:val="24"/>
          <w:szCs w:val="24"/>
          <w:highlight w:val="none"/>
        </w:rPr>
        <w:fldChar w:fldCharType="end"/>
      </w:r>
      <w:r>
        <w:rPr>
          <w:rFonts w:hint="eastAsia" w:ascii="宋体" w:hAnsi="宋体" w:eastAsia="宋体" w:cs="宋体"/>
          <w:color w:val="auto"/>
          <w:spacing w:val="-3"/>
          <w:sz w:val="24"/>
          <w:szCs w:val="24"/>
          <w:highlight w:val="none"/>
        </w:rPr>
        <w:t>），在【服务指南】栏目中下载《建设工程网上交易系统保险保证金缴纳操作指南》，了解网上投保具体操作流程。逾期投保的</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其投标无效。</w:t>
      </w:r>
    </w:p>
    <w:p w14:paraId="1E4B3672">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68" w:firstLineChars="200"/>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温馨提示：1.投标人采用投标保证担保或投标保证保险的，为避免在评标过程中因有效期发生争议，建议投标人将银行保函或电子保单有效期设置为较招标文件规定的投标有效期延长不少于20个日历天。</w:t>
      </w:r>
    </w:p>
    <w:p w14:paraId="62DDC4BD">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0" w:firstLineChars="200"/>
        <w:jc w:val="both"/>
        <w:textAlignment w:val="baseline"/>
        <w:rPr>
          <w:rFonts w:hint="eastAsia" w:ascii="宋体" w:hAnsi="宋体" w:eastAsia="宋体" w:cs="宋体"/>
          <w:color w:val="auto"/>
          <w:spacing w:val="-4"/>
          <w:sz w:val="24"/>
          <w:szCs w:val="24"/>
          <w:highlight w:val="none"/>
        </w:rPr>
      </w:pPr>
      <w:r>
        <w:rPr>
          <w:rFonts w:hint="eastAsia" w:ascii="宋体" w:hAnsi="宋体" w:eastAsia="宋体" w:cs="宋体"/>
          <w:b/>
          <w:bCs/>
          <w:color w:val="auto"/>
          <w:spacing w:val="-3"/>
          <w:sz w:val="24"/>
          <w:szCs w:val="24"/>
          <w:highlight w:val="none"/>
        </w:rPr>
        <w:t xml:space="preserve">3.4 </w:t>
      </w:r>
      <w:r>
        <w:rPr>
          <w:rFonts w:hint="eastAsia" w:ascii="宋体" w:hAnsi="宋体" w:eastAsia="宋体" w:cs="宋体"/>
          <w:color w:val="auto"/>
          <w:spacing w:val="-3"/>
          <w:sz w:val="24"/>
          <w:szCs w:val="24"/>
          <w:highlight w:val="none"/>
        </w:rPr>
        <w:t xml:space="preserve"> 若投标人因自身原因未能正确完成获取招标文件</w:t>
      </w:r>
      <w:r>
        <w:rPr>
          <w:rFonts w:hint="eastAsia" w:ascii="宋体" w:hAnsi="宋体" w:eastAsia="宋体" w:cs="宋体"/>
          <w:color w:val="auto"/>
          <w:sz w:val="24"/>
          <w:szCs w:val="24"/>
          <w:highlight w:val="none"/>
        </w:rPr>
        <w:t>、电子投标、缴纳投标保证</w:t>
      </w:r>
      <w:r>
        <w:rPr>
          <w:rFonts w:hint="eastAsia" w:ascii="宋体" w:hAnsi="宋体" w:eastAsia="宋体" w:cs="宋体"/>
          <w:color w:val="auto"/>
          <w:spacing w:val="-4"/>
          <w:sz w:val="24"/>
          <w:szCs w:val="24"/>
          <w:highlight w:val="none"/>
        </w:rPr>
        <w:t>的，其投标无效。</w:t>
      </w:r>
      <w:bookmarkStart w:id="21" w:name="bookmark78"/>
      <w:bookmarkEnd w:id="21"/>
      <w:bookmarkStart w:id="22" w:name="bookmark64"/>
      <w:bookmarkEnd w:id="22"/>
      <w:bookmarkStart w:id="23" w:name="_Toc15498"/>
    </w:p>
    <w:p w14:paraId="4CD31FE2">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19" w:firstLineChars="275"/>
        <w:textAlignment w:val="baseline"/>
        <w:outlineLvl w:val="2"/>
        <w:rPr>
          <w:rFonts w:hint="eastAsia" w:ascii="宋体" w:hAnsi="宋体" w:eastAsia="宋体" w:cs="宋体"/>
          <w:b/>
          <w:bCs/>
          <w:color w:val="auto"/>
          <w:spacing w:val="-8"/>
          <w:sz w:val="24"/>
          <w:szCs w:val="24"/>
          <w:highlight w:val="none"/>
        </w:rPr>
      </w:pPr>
      <w:bookmarkStart w:id="24" w:name="_Toc11460"/>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8"/>
          <w:sz w:val="24"/>
          <w:szCs w:val="24"/>
          <w:highlight w:val="none"/>
          <w:lang w:val="en-US" w:eastAsia="zh-CN"/>
        </w:rPr>
        <w:t xml:space="preserve"> </w:t>
      </w:r>
      <w:r>
        <w:rPr>
          <w:rFonts w:hint="eastAsia" w:ascii="宋体" w:hAnsi="宋体" w:eastAsia="宋体" w:cs="宋体"/>
          <w:b/>
          <w:bCs/>
          <w:color w:val="auto"/>
          <w:spacing w:val="-8"/>
          <w:sz w:val="24"/>
          <w:szCs w:val="24"/>
          <w:highlight w:val="none"/>
        </w:rPr>
        <w:t>．工期要求</w:t>
      </w:r>
      <w:bookmarkEnd w:id="23"/>
      <w:bookmarkEnd w:id="24"/>
    </w:p>
    <w:p w14:paraId="6B4405E0">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2" w:firstLineChars="200"/>
        <w:jc w:val="both"/>
        <w:textAlignment w:val="baseline"/>
        <w:rPr>
          <w:rFonts w:hint="eastAsia" w:ascii="宋体" w:hAnsi="宋体" w:eastAsia="宋体" w:cs="宋体"/>
          <w:i w:val="0"/>
          <w:iCs w:val="0"/>
          <w:color w:val="auto"/>
          <w:spacing w:val="-5"/>
          <w:sz w:val="24"/>
          <w:szCs w:val="24"/>
          <w:highlight w:val="none"/>
        </w:rPr>
      </w:pPr>
      <w:r>
        <w:rPr>
          <w:rFonts w:hint="eastAsia" w:ascii="宋体" w:hAnsi="宋体" w:eastAsia="宋体" w:cs="宋体"/>
          <w:i w:val="0"/>
          <w:iCs w:val="0"/>
          <w:color w:val="auto"/>
          <w:spacing w:val="-2"/>
          <w:sz w:val="24"/>
          <w:szCs w:val="24"/>
          <w:highlight w:val="none"/>
        </w:rPr>
        <w:t>本招标项目招标工期为</w:t>
      </w:r>
      <w:r>
        <w:rPr>
          <w:rFonts w:hint="eastAsia" w:ascii="宋体" w:hAnsi="宋体" w:eastAsia="宋体" w:cs="宋体"/>
          <w:i w:val="0"/>
          <w:iCs w:val="0"/>
          <w:color w:val="auto"/>
          <w:spacing w:val="-2"/>
          <w:sz w:val="24"/>
          <w:szCs w:val="24"/>
          <w:highlight w:val="none"/>
          <w:u w:val="single"/>
          <w:lang w:val="en-US" w:eastAsia="zh-CN"/>
        </w:rPr>
        <w:t xml:space="preserve">  180 个日历天</w:t>
      </w:r>
      <w:r>
        <w:rPr>
          <w:rFonts w:hint="eastAsia" w:ascii="宋体" w:hAnsi="宋体" w:eastAsia="宋体" w:cs="宋体"/>
          <w:i w:val="0"/>
          <w:iCs w:val="0"/>
          <w:color w:val="auto"/>
          <w:spacing w:val="-2"/>
          <w:sz w:val="24"/>
          <w:szCs w:val="24"/>
          <w:highlight w:val="none"/>
        </w:rPr>
        <w:t>，中标人必须在招标工期内完成招标范围内</w:t>
      </w:r>
      <w:r>
        <w:rPr>
          <w:rFonts w:hint="eastAsia" w:ascii="宋体" w:hAnsi="宋体" w:eastAsia="宋体" w:cs="宋体"/>
          <w:i w:val="0"/>
          <w:iCs w:val="0"/>
          <w:color w:val="auto"/>
          <w:spacing w:val="-5"/>
          <w:sz w:val="24"/>
          <w:szCs w:val="24"/>
          <w:highlight w:val="none"/>
        </w:rPr>
        <w:t>的全部内容。</w:t>
      </w:r>
      <w:bookmarkStart w:id="25" w:name="_Toc4154"/>
    </w:p>
    <w:p w14:paraId="793102EA">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35" w:firstLineChars="275"/>
        <w:textAlignment w:val="baseline"/>
        <w:outlineLvl w:val="2"/>
        <w:rPr>
          <w:rFonts w:hint="eastAsia" w:ascii="宋体" w:hAnsi="宋体" w:eastAsia="宋体" w:cs="宋体"/>
          <w:b/>
          <w:bCs/>
          <w:color w:val="auto"/>
          <w:spacing w:val="-5"/>
          <w:sz w:val="24"/>
          <w:szCs w:val="24"/>
          <w:highlight w:val="none"/>
        </w:rPr>
      </w:pPr>
      <w:bookmarkStart w:id="26" w:name="_Toc18003"/>
      <w:r>
        <w:rPr>
          <w:rFonts w:hint="eastAsia" w:ascii="宋体" w:hAnsi="宋体" w:eastAsia="宋体" w:cs="宋体"/>
          <w:b/>
          <w:bCs/>
          <w:color w:val="auto"/>
          <w:spacing w:val="-5"/>
          <w:sz w:val="24"/>
          <w:szCs w:val="24"/>
          <w:highlight w:val="none"/>
        </w:rPr>
        <w:t>5</w:t>
      </w:r>
      <w:r>
        <w:rPr>
          <w:rFonts w:hint="eastAsia" w:ascii="宋体" w:hAnsi="宋体" w:eastAsia="宋体" w:cs="宋体"/>
          <w:b/>
          <w:bCs/>
          <w:color w:val="auto"/>
          <w:spacing w:val="-5"/>
          <w:sz w:val="24"/>
          <w:szCs w:val="24"/>
          <w:highlight w:val="none"/>
          <w:lang w:val="en-US" w:eastAsia="zh-CN"/>
        </w:rPr>
        <w:t xml:space="preserve"> </w:t>
      </w:r>
      <w:r>
        <w:rPr>
          <w:rFonts w:hint="eastAsia" w:ascii="宋体" w:hAnsi="宋体" w:eastAsia="宋体" w:cs="宋体"/>
          <w:b/>
          <w:bCs/>
          <w:color w:val="auto"/>
          <w:spacing w:val="-5"/>
          <w:sz w:val="24"/>
          <w:szCs w:val="24"/>
          <w:highlight w:val="none"/>
        </w:rPr>
        <w:t>．质量标准和材料、机械要求</w:t>
      </w:r>
      <w:bookmarkEnd w:id="25"/>
      <w:bookmarkEnd w:id="26"/>
    </w:p>
    <w:p w14:paraId="6AE0B1D0">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82" w:firstLineChars="200"/>
        <w:jc w:val="both"/>
        <w:textAlignment w:val="baseline"/>
        <w:rPr>
          <w:rFonts w:hint="eastAsia" w:ascii="宋体" w:hAnsi="宋体" w:eastAsia="宋体" w:cs="宋体"/>
          <w:color w:val="auto"/>
          <w:spacing w:val="-1"/>
          <w:sz w:val="24"/>
          <w:szCs w:val="24"/>
          <w:highlight w:val="none"/>
          <w:u w:val="single"/>
        </w:rPr>
      </w:pPr>
      <w:r>
        <w:rPr>
          <w:rFonts w:hint="eastAsia" w:ascii="宋体" w:hAnsi="宋体" w:eastAsia="宋体" w:cs="宋体"/>
          <w:b/>
          <w:bCs/>
          <w:color w:val="auto"/>
          <w:sz w:val="24"/>
          <w:szCs w:val="24"/>
          <w:highlight w:val="none"/>
        </w:rPr>
        <w:t xml:space="preserve">5.1  </w:t>
      </w:r>
      <w:r>
        <w:rPr>
          <w:rFonts w:hint="eastAsia" w:ascii="宋体" w:hAnsi="宋体" w:eastAsia="宋体" w:cs="宋体"/>
          <w:color w:val="auto"/>
          <w:sz w:val="24"/>
          <w:szCs w:val="24"/>
          <w:highlight w:val="none"/>
        </w:rPr>
        <w:t>施工工艺严格按照国家和广东省的有关现行施工技术规范及标准执行，工程</w:t>
      </w:r>
      <w:r>
        <w:rPr>
          <w:rFonts w:hint="eastAsia" w:ascii="宋体" w:hAnsi="宋体" w:eastAsia="宋体" w:cs="宋体"/>
          <w:color w:val="auto"/>
          <w:spacing w:val="-1"/>
          <w:sz w:val="24"/>
          <w:szCs w:val="24"/>
          <w:highlight w:val="none"/>
        </w:rPr>
        <w:t>质量标准</w:t>
      </w:r>
      <w:r>
        <w:rPr>
          <w:rFonts w:hint="eastAsia" w:ascii="宋体" w:hAnsi="宋体" w:eastAsia="宋体" w:cs="宋体"/>
          <w:color w:val="auto"/>
          <w:spacing w:val="-1"/>
          <w:sz w:val="24"/>
          <w:szCs w:val="24"/>
          <w:highlight w:val="none"/>
          <w:u w:val="single"/>
          <w:lang w:val="en-US" w:eastAsia="zh-CN"/>
        </w:rPr>
        <w:t xml:space="preserve"> </w:t>
      </w:r>
      <w:r>
        <w:rPr>
          <w:rFonts w:hint="eastAsia" w:asciiTheme="minorEastAsia" w:hAnsiTheme="minorEastAsia" w:eastAsiaTheme="minorEastAsia" w:cstheme="minorEastAsia"/>
          <w:color w:val="auto"/>
          <w:spacing w:val="-4"/>
          <w:sz w:val="24"/>
          <w:szCs w:val="24"/>
          <w:highlight w:val="none"/>
          <w:u w:val="single"/>
        </w:rPr>
        <w:t>符合现行国家有关工程施工质量验收规范和标准的要求</w:t>
      </w:r>
      <w:r>
        <w:rPr>
          <w:rFonts w:hint="eastAsia" w:asciiTheme="minorEastAsia" w:hAnsiTheme="minorEastAsia" w:eastAsiaTheme="minorEastAsia" w:cstheme="minorEastAsia"/>
          <w:color w:val="auto"/>
          <w:spacing w:val="-4"/>
          <w:sz w:val="24"/>
          <w:szCs w:val="24"/>
          <w:highlight w:val="none"/>
          <w:u w:val="single"/>
          <w:lang w:eastAsia="zh-CN"/>
        </w:rPr>
        <w:t>，满足并网发电要求。</w:t>
      </w:r>
      <w:r>
        <w:rPr>
          <w:rFonts w:hint="eastAsia" w:ascii="宋体" w:hAnsi="宋体" w:eastAsia="宋体" w:cs="宋体"/>
          <w:color w:val="auto"/>
          <w:spacing w:val="-1"/>
          <w:sz w:val="24"/>
          <w:szCs w:val="24"/>
          <w:highlight w:val="none"/>
          <w:u w:val="single"/>
          <w:lang w:val="en-US" w:eastAsia="zh-CN"/>
        </w:rPr>
        <w:t>达到合格标准</w:t>
      </w:r>
      <w:r>
        <w:rPr>
          <w:rFonts w:hint="eastAsia" w:ascii="宋体" w:hAnsi="宋体" w:eastAsia="宋体" w:cs="宋体"/>
          <w:color w:val="auto"/>
          <w:spacing w:val="-1"/>
          <w:sz w:val="24"/>
          <w:szCs w:val="24"/>
          <w:highlight w:val="none"/>
          <w:u w:val="single"/>
        </w:rPr>
        <w:t>。</w:t>
      </w:r>
    </w:p>
    <w:p w14:paraId="1DBE3AD1">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5.2</w:t>
      </w:r>
      <w:r>
        <w:rPr>
          <w:rFonts w:hint="eastAsia" w:ascii="宋体" w:hAnsi="宋体" w:eastAsia="宋体" w:cs="宋体"/>
          <w:b/>
          <w:bCs/>
          <w:color w:val="auto"/>
          <w:spacing w:val="21"/>
          <w:w w:val="101"/>
          <w:sz w:val="24"/>
          <w:szCs w:val="24"/>
          <w:highlight w:val="none"/>
        </w:rPr>
        <w:t xml:space="preserve"> </w:t>
      </w:r>
      <w:r>
        <w:rPr>
          <w:rFonts w:hint="eastAsia" w:ascii="宋体" w:hAnsi="宋体" w:eastAsia="宋体" w:cs="宋体"/>
          <w:color w:val="auto"/>
          <w:spacing w:val="-3"/>
          <w:sz w:val="24"/>
          <w:szCs w:val="24"/>
          <w:highlight w:val="none"/>
        </w:rPr>
        <w:t>中标人在施工中如果工程质量不符合设计要求和有关规定，招标人或监理单</w:t>
      </w:r>
      <w:r>
        <w:rPr>
          <w:rFonts w:hint="eastAsia" w:ascii="宋体" w:hAnsi="宋体" w:eastAsia="宋体" w:cs="宋体"/>
          <w:color w:val="auto"/>
          <w:sz w:val="24"/>
          <w:szCs w:val="24"/>
          <w:highlight w:val="none"/>
        </w:rPr>
        <w:t>位要求停工和返工的必须立即执行，并承担由此产生的各</w:t>
      </w:r>
      <w:r>
        <w:rPr>
          <w:rFonts w:hint="eastAsia" w:ascii="宋体" w:hAnsi="宋体" w:eastAsia="宋体" w:cs="宋体"/>
          <w:color w:val="auto"/>
          <w:spacing w:val="-1"/>
          <w:sz w:val="24"/>
          <w:szCs w:val="24"/>
          <w:highlight w:val="none"/>
        </w:rPr>
        <w:t>种费用，工期不予顺延。</w:t>
      </w:r>
    </w:p>
    <w:p w14:paraId="698C092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58" w:firstLineChars="200"/>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6"/>
          <w:sz w:val="24"/>
          <w:szCs w:val="24"/>
          <w:highlight w:val="none"/>
        </w:rPr>
        <w:t xml:space="preserve">5.3  </w:t>
      </w:r>
      <w:r>
        <w:rPr>
          <w:rFonts w:hint="eastAsia" w:ascii="宋体" w:hAnsi="宋体" w:eastAsia="宋体" w:cs="宋体"/>
          <w:color w:val="auto"/>
          <w:spacing w:val="-6"/>
          <w:sz w:val="24"/>
          <w:szCs w:val="24"/>
          <w:highlight w:val="none"/>
        </w:rPr>
        <w:t>保修期限按《建设工程质量管理条例》（中华人民共和国国务院令第</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6"/>
          <w:sz w:val="24"/>
          <w:szCs w:val="24"/>
          <w:highlight w:val="none"/>
        </w:rPr>
        <w:t>279号）</w:t>
      </w:r>
      <w:r>
        <w:rPr>
          <w:rFonts w:hint="eastAsia" w:ascii="宋体" w:hAnsi="宋体" w:eastAsia="宋体" w:cs="宋体"/>
          <w:color w:val="auto"/>
          <w:spacing w:val="-1"/>
          <w:sz w:val="24"/>
          <w:szCs w:val="24"/>
          <w:highlight w:val="none"/>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0F2C983B">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67"/>
        <w:textAlignment w:val="baseline"/>
        <w:rPr>
          <w:rFonts w:hint="eastAsia" w:ascii="宋体" w:hAnsi="宋体" w:eastAsia="宋体" w:cs="宋体"/>
          <w:color w:val="auto"/>
          <w:spacing w:val="-6"/>
          <w:sz w:val="24"/>
          <w:szCs w:val="24"/>
          <w:highlight w:val="none"/>
        </w:rPr>
      </w:pPr>
      <w:r>
        <w:rPr>
          <w:rFonts w:hint="eastAsia" w:ascii="宋体" w:hAnsi="宋体" w:eastAsia="宋体" w:cs="宋体"/>
          <w:b/>
          <w:bCs/>
          <w:color w:val="auto"/>
          <w:spacing w:val="-1"/>
          <w:sz w:val="24"/>
          <w:szCs w:val="24"/>
          <w:highlight w:val="none"/>
        </w:rPr>
        <w:t>5.4</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lang w:val="en-US" w:eastAsia="zh-CN"/>
        </w:rPr>
        <w:t xml:space="preserve"> </w:t>
      </w:r>
      <w:r>
        <w:rPr>
          <w:rFonts w:hint="eastAsia" w:ascii="宋体" w:hAnsi="宋体" w:eastAsia="宋体" w:cs="宋体"/>
          <w:color w:val="auto"/>
          <w:spacing w:val="-6"/>
          <w:sz w:val="24"/>
          <w:szCs w:val="24"/>
          <w:highlight w:val="none"/>
          <w:lang w:val="en-US" w:eastAsia="zh-CN"/>
        </w:rPr>
        <w:t>本招标项目不纳入绿色建筑实施范围。</w:t>
      </w:r>
    </w:p>
    <w:p w14:paraId="1A8AC744">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568"/>
        <w:rPr>
          <w:rFonts w:hint="eastAsia" w:ascii="宋体" w:hAnsi="宋体" w:eastAsia="宋体" w:cs="宋体"/>
          <w:color w:val="auto"/>
          <w:spacing w:val="-1"/>
          <w:sz w:val="24"/>
          <w:szCs w:val="24"/>
          <w:highlight w:val="none"/>
          <w:lang w:val="en-US" w:eastAsia="zh-CN"/>
        </w:rPr>
      </w:pPr>
      <w:r>
        <w:rPr>
          <w:rFonts w:hint="eastAsia" w:ascii="宋体" w:hAnsi="宋体" w:eastAsia="宋体" w:cs="宋体"/>
          <w:b/>
          <w:bCs/>
          <w:color w:val="auto"/>
          <w:spacing w:val="-1"/>
          <w:sz w:val="24"/>
          <w:szCs w:val="24"/>
          <w:highlight w:val="none"/>
        </w:rPr>
        <w:t>5.5</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lang w:eastAsia="zh-CN"/>
        </w:rPr>
        <w:t>其他</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eastAsia="zh-CN"/>
        </w:rPr>
        <w:t>本招标项目</w:t>
      </w:r>
      <w:r>
        <w:rPr>
          <w:rFonts w:hint="eastAsia" w:ascii="宋体" w:hAnsi="宋体" w:eastAsia="宋体" w:cs="宋体"/>
          <w:color w:val="auto"/>
          <w:spacing w:val="-1"/>
          <w:sz w:val="24"/>
          <w:szCs w:val="24"/>
          <w:highlight w:val="none"/>
          <w:lang w:val="en-US" w:eastAsia="zh-CN"/>
        </w:rPr>
        <w:t>不</w:t>
      </w:r>
      <w:r>
        <w:rPr>
          <w:rFonts w:hint="eastAsia" w:ascii="宋体" w:hAnsi="宋体" w:eastAsia="宋体" w:cs="宋体"/>
          <w:color w:val="auto"/>
          <w:spacing w:val="-1"/>
          <w:sz w:val="24"/>
          <w:szCs w:val="24"/>
          <w:highlight w:val="none"/>
          <w:lang w:eastAsia="zh-CN"/>
        </w:rPr>
        <w:t>纳入装配式建造建设实施范围。</w:t>
      </w:r>
    </w:p>
    <w:p w14:paraId="66FA1D45">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67"/>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5.6</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lang w:eastAsia="zh-CN"/>
        </w:rPr>
        <w:t>其他</w:t>
      </w:r>
      <w:r>
        <w:rPr>
          <w:rFonts w:hint="eastAsia" w:ascii="宋体" w:hAnsi="宋体" w:eastAsia="宋体" w:cs="宋体"/>
          <w:color w:val="auto"/>
          <w:spacing w:val="-1"/>
          <w:sz w:val="24"/>
          <w:szCs w:val="24"/>
          <w:highlight w:val="none"/>
        </w:rPr>
        <w:t>：本招标文件（包括答疑纪要、补充及修改文件）中招标人对材料或设备有明确要求的，投标人必须响应招标人要求，如投标人在投标文</w:t>
      </w:r>
      <w:r>
        <w:rPr>
          <w:rFonts w:hint="eastAsia" w:ascii="宋体" w:hAnsi="宋体" w:eastAsia="宋体" w:cs="宋体"/>
          <w:color w:val="auto"/>
          <w:spacing w:val="-1"/>
          <w:sz w:val="24"/>
          <w:szCs w:val="24"/>
          <w:highlight w:val="none"/>
          <w:lang w:eastAsia="zh-CN"/>
        </w:rPr>
        <w:t>件中</w:t>
      </w:r>
      <w:r>
        <w:rPr>
          <w:rFonts w:hint="eastAsia" w:ascii="宋体" w:hAnsi="宋体" w:eastAsia="宋体" w:cs="宋体"/>
          <w:color w:val="auto"/>
          <w:spacing w:val="-1"/>
          <w:sz w:val="24"/>
          <w:szCs w:val="24"/>
          <w:highlight w:val="none"/>
        </w:rPr>
        <w:t>未明确响应者视为默认；或投标人在投标文件中的虽有响应但不符合招标人要求的，视为无效响应，中标后必须按招标人要求执行。如招标人在招标文件中对材料或设备没有明确要求</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则中标人必须使用合格材料或设备。</w:t>
      </w:r>
    </w:p>
    <w:p w14:paraId="63613996">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67"/>
        <w:textAlignment w:val="baseline"/>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w:t>
      </w:r>
      <w:r>
        <w:rPr>
          <w:rFonts w:hint="eastAsia" w:ascii="宋体" w:hAnsi="宋体" w:eastAsia="宋体" w:cs="宋体"/>
          <w:b/>
          <w:bCs/>
          <w:color w:val="auto"/>
          <w:spacing w:val="-1"/>
          <w:sz w:val="24"/>
          <w:szCs w:val="24"/>
          <w:highlight w:val="none"/>
          <w:lang w:eastAsia="zh-CN"/>
        </w:rPr>
        <w:t>7</w:t>
      </w:r>
      <w:r>
        <w:rPr>
          <w:rFonts w:hint="eastAsia" w:ascii="宋体" w:hAnsi="宋体" w:eastAsia="宋体" w:cs="宋体"/>
          <w:color w:val="auto"/>
          <w:spacing w:val="-1"/>
          <w:sz w:val="24"/>
          <w:szCs w:val="24"/>
          <w:highlight w:val="none"/>
        </w:rPr>
        <w:t xml:space="preserve"> 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75BD844D">
      <w:pPr>
        <w:keepNext w:val="0"/>
        <w:keepLines w:val="0"/>
        <w:pageBreakBefore w:val="0"/>
        <w:widowControl w:val="0"/>
        <w:kinsoku/>
        <w:wordWrap w:val="0"/>
        <w:overflowPunct/>
        <w:topLinePunct/>
        <w:autoSpaceDE/>
        <w:autoSpaceDN/>
        <w:bidi w:val="0"/>
        <w:adjustRightInd w:val="0"/>
        <w:snapToGrid w:val="0"/>
        <w:spacing w:line="360" w:lineRule="auto"/>
        <w:ind w:left="489" w:right="84" w:rightChars="40"/>
        <w:outlineLvl w:val="2"/>
        <w:rPr>
          <w:rFonts w:hint="eastAsia" w:ascii="宋体" w:hAnsi="宋体" w:eastAsia="宋体" w:cs="宋体"/>
          <w:color w:val="auto"/>
          <w:sz w:val="24"/>
          <w:szCs w:val="24"/>
          <w:highlight w:val="none"/>
        </w:rPr>
      </w:pPr>
      <w:bookmarkStart w:id="27" w:name="_Toc1955"/>
      <w:bookmarkStart w:id="28" w:name="_Toc7763"/>
      <w:r>
        <w:rPr>
          <w:rFonts w:hint="eastAsia" w:ascii="宋体" w:hAnsi="宋体" w:eastAsia="宋体" w:cs="宋体"/>
          <w:b/>
          <w:bCs/>
          <w:color w:val="auto"/>
          <w:spacing w:val="-6"/>
          <w:sz w:val="24"/>
          <w:szCs w:val="24"/>
          <w:highlight w:val="none"/>
        </w:rPr>
        <w:t>6</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b/>
          <w:bCs/>
          <w:color w:val="auto"/>
          <w:spacing w:val="-6"/>
          <w:sz w:val="24"/>
          <w:szCs w:val="24"/>
          <w:highlight w:val="none"/>
        </w:rPr>
        <w:t>．施工条件及现场踏勘</w:t>
      </w:r>
      <w:bookmarkEnd w:id="27"/>
      <w:bookmarkEnd w:id="28"/>
    </w:p>
    <w:p w14:paraId="7F93D640">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6.1  </w:t>
      </w:r>
      <w:r>
        <w:rPr>
          <w:rFonts w:hint="eastAsia" w:ascii="宋体" w:hAnsi="宋体" w:eastAsia="宋体" w:cs="宋体"/>
          <w:color w:val="auto"/>
          <w:spacing w:val="-2"/>
          <w:sz w:val="24"/>
          <w:szCs w:val="24"/>
          <w:highlight w:val="none"/>
        </w:rPr>
        <w:t>招标人仅在本招标项目征地红线范围内提供场地，其他一切场地费用由中标人自行负责（含临时道路）。</w:t>
      </w:r>
    </w:p>
    <w:p w14:paraId="1D8BE6DB">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556"/>
        <w:rPr>
          <w:rFonts w:hint="eastAsia" w:ascii="宋体" w:hAnsi="宋体" w:eastAsia="宋体" w:cs="宋体"/>
          <w:color w:val="auto"/>
          <w:spacing w:val="-2"/>
          <w:sz w:val="24"/>
          <w:szCs w:val="24"/>
          <w:highlight w:val="none"/>
        </w:rPr>
      </w:pPr>
      <w:bookmarkStart w:id="29" w:name="bookmark118"/>
      <w:bookmarkEnd w:id="29"/>
      <w:r>
        <w:rPr>
          <w:rFonts w:hint="eastAsia" w:ascii="宋体" w:hAnsi="宋体" w:eastAsia="宋体" w:cs="宋体"/>
          <w:b/>
          <w:bCs/>
          <w:color w:val="auto"/>
          <w:spacing w:val="-2"/>
          <w:sz w:val="24"/>
          <w:szCs w:val="24"/>
          <w:highlight w:val="none"/>
        </w:rPr>
        <w:t>6.2</w:t>
      </w:r>
      <w:r>
        <w:rPr>
          <w:rFonts w:hint="eastAsia" w:ascii="宋体" w:hAnsi="宋体" w:eastAsia="宋体" w:cs="宋体"/>
          <w:color w:val="auto"/>
          <w:spacing w:val="-2"/>
          <w:sz w:val="24"/>
          <w:szCs w:val="24"/>
          <w:highlight w:val="none"/>
        </w:rPr>
        <w:t xml:space="preserve">  施工用水：</w:t>
      </w:r>
      <w:r>
        <w:rPr>
          <w:rFonts w:hint="eastAsia" w:ascii="宋体" w:hAnsi="宋体" w:eastAsia="宋体" w:cs="宋体"/>
          <w:color w:val="auto"/>
          <w:spacing w:val="-2"/>
          <w:sz w:val="24"/>
          <w:szCs w:val="24"/>
          <w:highlight w:val="none"/>
          <w:u w:val="single"/>
        </w:rPr>
        <w:t xml:space="preserve"> 由中标人自行解决，费用考虑在投标报价中</w:t>
      </w:r>
      <w:r>
        <w:rPr>
          <w:rFonts w:hint="eastAsia" w:ascii="宋体" w:hAnsi="宋体" w:eastAsia="宋体" w:cs="宋体"/>
          <w:color w:val="auto"/>
          <w:spacing w:val="-2"/>
          <w:sz w:val="24"/>
          <w:szCs w:val="24"/>
          <w:highlight w:val="none"/>
        </w:rPr>
        <w:t>。</w:t>
      </w:r>
    </w:p>
    <w:p w14:paraId="2FD901C4">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6.3</w:t>
      </w:r>
      <w:r>
        <w:rPr>
          <w:rFonts w:hint="eastAsia" w:ascii="宋体" w:hAnsi="宋体" w:eastAsia="宋体" w:cs="宋体"/>
          <w:color w:val="auto"/>
          <w:spacing w:val="-2"/>
          <w:sz w:val="24"/>
          <w:szCs w:val="24"/>
          <w:highlight w:val="none"/>
        </w:rPr>
        <w:t xml:space="preserve">  施工用电：</w:t>
      </w:r>
      <w:r>
        <w:rPr>
          <w:rFonts w:hint="eastAsia" w:ascii="宋体" w:hAnsi="宋体" w:eastAsia="宋体" w:cs="宋体"/>
          <w:color w:val="auto"/>
          <w:spacing w:val="-2"/>
          <w:sz w:val="24"/>
          <w:szCs w:val="24"/>
          <w:highlight w:val="none"/>
          <w:u w:val="single"/>
        </w:rPr>
        <w:t xml:space="preserve"> 由中标人自行解决，费用考虑在投标报价中</w:t>
      </w:r>
      <w:r>
        <w:rPr>
          <w:rFonts w:hint="eastAsia" w:ascii="宋体" w:hAnsi="宋体" w:eastAsia="宋体" w:cs="宋体"/>
          <w:color w:val="auto"/>
          <w:spacing w:val="-2"/>
          <w:sz w:val="24"/>
          <w:szCs w:val="24"/>
          <w:highlight w:val="none"/>
        </w:rPr>
        <w:t>。</w:t>
      </w:r>
    </w:p>
    <w:p w14:paraId="7F8DE980">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55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6.4</w:t>
      </w:r>
      <w:r>
        <w:rPr>
          <w:rFonts w:hint="eastAsia" w:ascii="宋体" w:hAnsi="宋体" w:eastAsia="宋体" w:cs="宋体"/>
          <w:color w:val="auto"/>
          <w:spacing w:val="-2"/>
          <w:sz w:val="24"/>
          <w:szCs w:val="24"/>
          <w:highlight w:val="none"/>
        </w:rPr>
        <w:t xml:space="preserve">  施工用水、用电各提供一驳接点到现场边缘。要求中标人单独安装水表、电表，其水、电费按项目所在地</w:t>
      </w:r>
      <w:r>
        <w:rPr>
          <w:rFonts w:hint="eastAsia" w:ascii="宋体" w:hAnsi="宋体" w:eastAsia="宋体" w:cs="宋体"/>
          <w:color w:val="auto"/>
          <w:spacing w:val="-2"/>
          <w:sz w:val="24"/>
          <w:szCs w:val="24"/>
          <w:highlight w:val="none"/>
          <w:u w:val="single"/>
          <w:lang w:val="en-US" w:eastAsia="zh-CN"/>
        </w:rPr>
        <w:t xml:space="preserve"> 韶关市 </w:t>
      </w:r>
      <w:r>
        <w:rPr>
          <w:rFonts w:hint="eastAsia" w:ascii="宋体" w:hAnsi="宋体" w:eastAsia="宋体" w:cs="宋体"/>
          <w:color w:val="auto"/>
          <w:spacing w:val="-2"/>
          <w:sz w:val="24"/>
          <w:szCs w:val="24"/>
          <w:highlight w:val="none"/>
        </w:rPr>
        <w:t>基建工程水、电计费</w:t>
      </w:r>
      <w:r>
        <w:rPr>
          <w:rFonts w:hint="eastAsia" w:ascii="宋体" w:hAnsi="宋体" w:eastAsia="宋体" w:cs="宋体"/>
          <w:color w:val="auto"/>
          <w:spacing w:val="-3"/>
          <w:sz w:val="24"/>
          <w:szCs w:val="24"/>
          <w:highlight w:val="none"/>
        </w:rPr>
        <w:t>标准计算并由中标人缴纳。</w:t>
      </w:r>
    </w:p>
    <w:p w14:paraId="2A3C6E3E">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6.5  </w:t>
      </w:r>
      <w:r>
        <w:rPr>
          <w:rFonts w:hint="eastAsia" w:ascii="宋体" w:hAnsi="宋体" w:eastAsia="宋体" w:cs="宋体"/>
          <w:color w:val="auto"/>
          <w:spacing w:val="-2"/>
          <w:sz w:val="24"/>
          <w:szCs w:val="24"/>
          <w:highlight w:val="none"/>
        </w:rPr>
        <w:t>招标人不组织现场踏勘，但会在招标文件及有关设计文件中明确告知招标项</w:t>
      </w:r>
      <w:r>
        <w:rPr>
          <w:rFonts w:hint="eastAsia" w:ascii="宋体" w:hAnsi="宋体" w:eastAsia="宋体" w:cs="宋体"/>
          <w:color w:val="auto"/>
          <w:spacing w:val="-1"/>
          <w:sz w:val="24"/>
          <w:szCs w:val="24"/>
          <w:highlight w:val="none"/>
        </w:rPr>
        <w:t>目的具体位置和周边环境，并在现场设置足以识别的标识或提</w:t>
      </w:r>
      <w:r>
        <w:rPr>
          <w:rFonts w:hint="eastAsia" w:ascii="宋体" w:hAnsi="宋体" w:eastAsia="宋体" w:cs="宋体"/>
          <w:color w:val="auto"/>
          <w:spacing w:val="-2"/>
          <w:sz w:val="24"/>
          <w:szCs w:val="24"/>
          <w:highlight w:val="none"/>
        </w:rPr>
        <w:t>供足以表明招标项目具</w:t>
      </w:r>
      <w:r>
        <w:rPr>
          <w:rFonts w:hint="eastAsia" w:ascii="宋体" w:hAnsi="宋体" w:eastAsia="宋体" w:cs="宋体"/>
          <w:color w:val="auto"/>
          <w:sz w:val="24"/>
          <w:szCs w:val="24"/>
          <w:highlight w:val="none"/>
        </w:rPr>
        <w:t>体位置的文字或图片。投标人需要了解现场情况的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1"/>
          <w:sz w:val="24"/>
          <w:szCs w:val="24"/>
          <w:highlight w:val="none"/>
        </w:rPr>
        <w:t>可自行进行现场踏勘。</w:t>
      </w:r>
    </w:p>
    <w:p w14:paraId="5897F35C">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6.6  </w:t>
      </w:r>
      <w:r>
        <w:rPr>
          <w:rFonts w:hint="eastAsia" w:ascii="宋体" w:hAnsi="宋体" w:eastAsia="宋体" w:cs="宋体"/>
          <w:color w:val="auto"/>
          <w:spacing w:val="-2"/>
          <w:sz w:val="24"/>
          <w:szCs w:val="24"/>
          <w:highlight w:val="none"/>
        </w:rPr>
        <w:t>在现场踏勘过程中，投标人应确保自身安全，投标人如果发生人身伤亡、财</w:t>
      </w:r>
      <w:r>
        <w:rPr>
          <w:rFonts w:hint="eastAsia" w:ascii="宋体" w:hAnsi="宋体" w:eastAsia="宋体" w:cs="宋体"/>
          <w:color w:val="auto"/>
          <w:spacing w:val="-1"/>
          <w:sz w:val="24"/>
          <w:szCs w:val="24"/>
          <w:highlight w:val="none"/>
        </w:rPr>
        <w:t>物或其他损失，法律法规有规定的按有关规定处理，没有规定</w:t>
      </w:r>
      <w:r>
        <w:rPr>
          <w:rFonts w:hint="eastAsia" w:ascii="宋体" w:hAnsi="宋体" w:eastAsia="宋体" w:cs="宋体"/>
          <w:color w:val="auto"/>
          <w:spacing w:val="-2"/>
          <w:sz w:val="24"/>
          <w:szCs w:val="24"/>
          <w:highlight w:val="none"/>
        </w:rPr>
        <w:t>的由投标人自行负责。</w:t>
      </w:r>
    </w:p>
    <w:p w14:paraId="15A3A215">
      <w:pPr>
        <w:keepNext w:val="0"/>
        <w:keepLines w:val="0"/>
        <w:pageBreakBefore w:val="0"/>
        <w:widowControl w:val="0"/>
        <w:kinsoku/>
        <w:wordWrap w:val="0"/>
        <w:overflowPunct/>
        <w:topLinePunct/>
        <w:autoSpaceDE/>
        <w:autoSpaceDN/>
        <w:bidi w:val="0"/>
        <w:adjustRightInd w:val="0"/>
        <w:snapToGrid w:val="0"/>
        <w:spacing w:line="360" w:lineRule="auto"/>
        <w:ind w:left="568" w:right="84" w:rightChars="40"/>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 xml:space="preserve">6.7  </w:t>
      </w:r>
      <w:r>
        <w:rPr>
          <w:rFonts w:hint="eastAsia" w:ascii="宋体" w:hAnsi="宋体" w:eastAsia="宋体" w:cs="宋体"/>
          <w:color w:val="auto"/>
          <w:sz w:val="24"/>
          <w:szCs w:val="24"/>
          <w:highlight w:val="none"/>
        </w:rPr>
        <w:t>现场踏勘期间的交通、食宿由投标人</w:t>
      </w:r>
      <w:r>
        <w:rPr>
          <w:rFonts w:hint="eastAsia" w:ascii="宋体" w:hAnsi="宋体" w:eastAsia="宋体" w:cs="宋体"/>
          <w:color w:val="auto"/>
          <w:spacing w:val="-1"/>
          <w:sz w:val="24"/>
          <w:szCs w:val="24"/>
          <w:highlight w:val="none"/>
        </w:rPr>
        <w:t>自行安排，费用自理。</w:t>
      </w:r>
    </w:p>
    <w:p w14:paraId="0CCB0C5C">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outlineLvl w:val="2"/>
        <w:rPr>
          <w:rFonts w:hint="eastAsia" w:ascii="宋体" w:hAnsi="宋体" w:eastAsia="宋体" w:cs="宋体"/>
          <w:color w:val="auto"/>
          <w:sz w:val="24"/>
          <w:szCs w:val="24"/>
          <w:highlight w:val="none"/>
        </w:rPr>
      </w:pPr>
      <w:bookmarkStart w:id="30" w:name="bookmark67"/>
      <w:bookmarkEnd w:id="30"/>
      <w:bookmarkStart w:id="31" w:name="bookmark81"/>
      <w:bookmarkEnd w:id="31"/>
      <w:bookmarkStart w:id="32" w:name="bookmark69"/>
      <w:bookmarkEnd w:id="32"/>
      <w:bookmarkStart w:id="33" w:name="_Toc15911"/>
      <w:bookmarkStart w:id="34" w:name="_Toc15543"/>
      <w:r>
        <w:rPr>
          <w:rFonts w:hint="eastAsia" w:ascii="宋体" w:hAnsi="宋体" w:eastAsia="宋体" w:cs="宋体"/>
          <w:b/>
          <w:bCs/>
          <w:color w:val="auto"/>
          <w:spacing w:val="-5"/>
          <w:sz w:val="24"/>
          <w:szCs w:val="24"/>
          <w:highlight w:val="none"/>
        </w:rPr>
        <w:t>7</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5"/>
          <w:sz w:val="24"/>
          <w:szCs w:val="24"/>
          <w:highlight w:val="none"/>
        </w:rPr>
        <w:t>．招标文件的提问和答疑</w:t>
      </w:r>
      <w:bookmarkEnd w:id="33"/>
      <w:bookmarkEnd w:id="34"/>
    </w:p>
    <w:p w14:paraId="7AEF1ACA">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7.1  </w:t>
      </w:r>
      <w:r>
        <w:rPr>
          <w:rFonts w:hint="eastAsia" w:ascii="宋体" w:hAnsi="宋体" w:eastAsia="宋体" w:cs="宋体"/>
          <w:color w:val="auto"/>
          <w:sz w:val="24"/>
          <w:szCs w:val="24"/>
          <w:highlight w:val="none"/>
        </w:rPr>
        <w:t>投标人若对招标文件（含施工图、招标工程量清单）有疑问，应在提问截止</w:t>
      </w:r>
      <w:r>
        <w:rPr>
          <w:rFonts w:hint="eastAsia" w:ascii="宋体" w:hAnsi="宋体" w:eastAsia="宋体" w:cs="宋体"/>
          <w:color w:val="auto"/>
          <w:spacing w:val="-2"/>
          <w:sz w:val="24"/>
          <w:szCs w:val="24"/>
          <w:highlight w:val="none"/>
        </w:rPr>
        <w:t>时间（见本章第二节“重要事项时间地点一览表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”）前使用建设工程交易</w:t>
      </w:r>
      <w:r>
        <w:rPr>
          <w:rFonts w:hint="eastAsia" w:ascii="宋体" w:hAnsi="宋体" w:eastAsia="宋体" w:cs="宋体"/>
          <w:color w:val="auto"/>
          <w:spacing w:val="-3"/>
          <w:sz w:val="24"/>
          <w:szCs w:val="24"/>
          <w:highlight w:val="none"/>
        </w:rPr>
        <w:t>系统提出问</w:t>
      </w:r>
      <w:r>
        <w:rPr>
          <w:rFonts w:hint="eastAsia" w:ascii="宋体" w:hAnsi="宋体" w:eastAsia="宋体" w:cs="宋体"/>
          <w:color w:val="auto"/>
          <w:spacing w:val="-1"/>
          <w:sz w:val="24"/>
          <w:szCs w:val="24"/>
          <w:highlight w:val="none"/>
        </w:rPr>
        <w:t>题。未在指定时间前、未采用指定方式提出的，招标人不予受理。</w:t>
      </w:r>
    </w:p>
    <w:p w14:paraId="36EA8B31">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5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7.2  </w:t>
      </w:r>
      <w:r>
        <w:rPr>
          <w:rFonts w:hint="eastAsia" w:ascii="宋体" w:hAnsi="宋体" w:eastAsia="宋体" w:cs="宋体"/>
          <w:color w:val="auto"/>
          <w:spacing w:val="-1"/>
          <w:sz w:val="24"/>
          <w:szCs w:val="24"/>
          <w:highlight w:val="none"/>
        </w:rPr>
        <w:t>招标人在提问截止时间（见本章第二节“重要</w:t>
      </w:r>
      <w:r>
        <w:rPr>
          <w:rFonts w:hint="eastAsia" w:ascii="宋体" w:hAnsi="宋体" w:eastAsia="宋体" w:cs="宋体"/>
          <w:color w:val="auto"/>
          <w:spacing w:val="-2"/>
          <w:sz w:val="24"/>
          <w:szCs w:val="24"/>
          <w:highlight w:val="none"/>
        </w:rPr>
        <w:t>事项时间地点一览表</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2"/>
          <w:sz w:val="24"/>
          <w:szCs w:val="24"/>
          <w:highlight w:val="none"/>
        </w:rPr>
        <w:t>”）后</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pacing w:val="-1"/>
          <w:sz w:val="24"/>
          <w:szCs w:val="24"/>
          <w:highlight w:val="none"/>
        </w:rPr>
        <w:t>日内，一次性对收到的所有问题作出答复，并形成答疑（或修</w:t>
      </w:r>
      <w:r>
        <w:rPr>
          <w:rFonts w:hint="eastAsia" w:ascii="宋体" w:hAnsi="宋体" w:eastAsia="宋体" w:cs="宋体"/>
          <w:color w:val="auto"/>
          <w:spacing w:val="-2"/>
          <w:sz w:val="24"/>
          <w:szCs w:val="24"/>
          <w:highlight w:val="none"/>
        </w:rPr>
        <w:t>改）公告在发布招标公</w:t>
      </w:r>
      <w:r>
        <w:rPr>
          <w:rFonts w:hint="eastAsia" w:ascii="宋体" w:hAnsi="宋体" w:eastAsia="宋体" w:cs="宋体"/>
          <w:color w:val="auto"/>
          <w:spacing w:val="-1"/>
          <w:sz w:val="24"/>
          <w:szCs w:val="24"/>
          <w:highlight w:val="none"/>
        </w:rPr>
        <w:t>告的媒介上公开发布。答疑（或修改）公告一旦发布，即</w:t>
      </w:r>
      <w:r>
        <w:rPr>
          <w:rFonts w:hint="eastAsia" w:ascii="宋体" w:hAnsi="宋体" w:eastAsia="宋体" w:cs="宋体"/>
          <w:color w:val="auto"/>
          <w:spacing w:val="-1"/>
          <w:sz w:val="24"/>
          <w:szCs w:val="24"/>
          <w:highlight w:val="none"/>
          <w:lang w:eastAsia="zh-CN"/>
        </w:rPr>
        <w:t>视为</w:t>
      </w:r>
      <w:r>
        <w:rPr>
          <w:rFonts w:hint="eastAsia" w:ascii="宋体" w:hAnsi="宋体" w:eastAsia="宋体" w:cs="宋体"/>
          <w:color w:val="auto"/>
          <w:spacing w:val="-1"/>
          <w:sz w:val="24"/>
          <w:szCs w:val="24"/>
          <w:highlight w:val="none"/>
        </w:rPr>
        <w:t>所</w:t>
      </w:r>
      <w:r>
        <w:rPr>
          <w:rFonts w:hint="eastAsia" w:ascii="宋体" w:hAnsi="宋体" w:eastAsia="宋体" w:cs="宋体"/>
          <w:color w:val="auto"/>
          <w:spacing w:val="-2"/>
          <w:sz w:val="24"/>
          <w:szCs w:val="24"/>
          <w:highlight w:val="none"/>
        </w:rPr>
        <w:t>有潜在投标人已经知悉</w:t>
      </w:r>
      <w:r>
        <w:rPr>
          <w:rFonts w:hint="eastAsia" w:ascii="宋体" w:hAnsi="宋体" w:eastAsia="宋体" w:cs="宋体"/>
          <w:color w:val="auto"/>
          <w:spacing w:val="-1"/>
          <w:sz w:val="24"/>
          <w:szCs w:val="24"/>
          <w:highlight w:val="none"/>
        </w:rPr>
        <w:t>答疑（或修改）内容，投标人未及时关注而造成的损失和后果</w:t>
      </w:r>
      <w:r>
        <w:rPr>
          <w:rFonts w:hint="eastAsia" w:ascii="宋体" w:hAnsi="宋体" w:eastAsia="宋体" w:cs="宋体"/>
          <w:color w:val="auto"/>
          <w:spacing w:val="-2"/>
          <w:sz w:val="24"/>
          <w:szCs w:val="24"/>
          <w:highlight w:val="none"/>
        </w:rPr>
        <w:t>，由投标人自行承担。</w:t>
      </w:r>
    </w:p>
    <w:p w14:paraId="516973E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8" w:firstLineChars="200"/>
        <w:jc w:val="both"/>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7.3  </w:t>
      </w:r>
      <w:r>
        <w:rPr>
          <w:rFonts w:hint="eastAsia" w:ascii="宋体" w:hAnsi="宋体" w:eastAsia="宋体" w:cs="宋体"/>
          <w:color w:val="auto"/>
          <w:spacing w:val="-1"/>
          <w:sz w:val="24"/>
          <w:szCs w:val="24"/>
          <w:highlight w:val="none"/>
        </w:rPr>
        <w:t>招标人对招标文件所作的答疑（或修改）公告，构成</w:t>
      </w:r>
      <w:r>
        <w:rPr>
          <w:rFonts w:hint="eastAsia" w:ascii="宋体" w:hAnsi="宋体" w:eastAsia="宋体" w:cs="宋体"/>
          <w:color w:val="auto"/>
          <w:spacing w:val="-2"/>
          <w:sz w:val="24"/>
          <w:szCs w:val="24"/>
          <w:highlight w:val="none"/>
        </w:rPr>
        <w:t>招标文件的组成部分。</w:t>
      </w:r>
    </w:p>
    <w:p w14:paraId="19E2C6F1">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outlineLvl w:val="2"/>
        <w:rPr>
          <w:rFonts w:hint="eastAsia" w:ascii="宋体" w:hAnsi="宋体" w:eastAsia="宋体" w:cs="宋体"/>
          <w:color w:val="auto"/>
          <w:sz w:val="24"/>
          <w:szCs w:val="24"/>
          <w:highlight w:val="none"/>
          <w:lang w:eastAsia="zh-CN"/>
        </w:rPr>
      </w:pPr>
      <w:bookmarkStart w:id="35" w:name="_Toc6897"/>
      <w:bookmarkStart w:id="36" w:name="_Toc32237"/>
      <w:r>
        <w:rPr>
          <w:rFonts w:hint="eastAsia" w:ascii="宋体" w:hAnsi="宋体" w:eastAsia="宋体" w:cs="宋体"/>
          <w:b/>
          <w:bCs/>
          <w:color w:val="auto"/>
          <w:spacing w:val="-5"/>
          <w:sz w:val="24"/>
          <w:szCs w:val="24"/>
          <w:highlight w:val="none"/>
        </w:rPr>
        <w:t>8</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5"/>
          <w:sz w:val="24"/>
          <w:szCs w:val="24"/>
          <w:highlight w:val="none"/>
        </w:rPr>
        <w:t>．</w:t>
      </w:r>
      <w:bookmarkEnd w:id="35"/>
      <w:r>
        <w:rPr>
          <w:rFonts w:hint="eastAsia" w:ascii="宋体" w:hAnsi="宋体" w:eastAsia="宋体" w:cs="宋体"/>
          <w:b/>
          <w:bCs/>
          <w:color w:val="auto"/>
          <w:spacing w:val="-1"/>
          <w:sz w:val="24"/>
          <w:szCs w:val="24"/>
          <w:highlight w:val="none"/>
          <w:lang w:val="en-US" w:eastAsia="zh-CN"/>
        </w:rPr>
        <w:t>最高投标限价</w:t>
      </w:r>
      <w:bookmarkEnd w:id="36"/>
    </w:p>
    <w:p w14:paraId="2A9A92EE">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9"/>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8.1  </w:t>
      </w:r>
      <w:r>
        <w:rPr>
          <w:rFonts w:hint="eastAsia" w:ascii="宋体" w:hAnsi="宋体" w:eastAsia="宋体" w:cs="宋体"/>
          <w:color w:val="auto"/>
          <w:spacing w:val="-1"/>
          <w:sz w:val="24"/>
          <w:szCs w:val="24"/>
          <w:highlight w:val="none"/>
        </w:rPr>
        <w:t>本招标项目按照以下依据编制</w:t>
      </w:r>
      <w:r>
        <w:rPr>
          <w:rFonts w:hint="eastAsia" w:ascii="宋体" w:hAnsi="宋体" w:eastAsia="宋体" w:cs="宋体"/>
          <w:b/>
          <w:bCs/>
          <w:color w:val="auto"/>
          <w:spacing w:val="-1"/>
          <w:sz w:val="24"/>
          <w:szCs w:val="24"/>
          <w:highlight w:val="none"/>
          <w:lang w:val="en-US" w:eastAsia="zh-CN"/>
        </w:rPr>
        <w:t>最高投标限价</w:t>
      </w:r>
    </w:p>
    <w:p w14:paraId="5B260883">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color w:val="auto"/>
          <w:spacing w:val="-1"/>
          <w:sz w:val="24"/>
          <w:szCs w:val="24"/>
          <w:highlight w:val="none"/>
          <w:lang w:eastAsia="zh-CN"/>
        </w:rPr>
        <w:t>《建设工程工程量清单计价标准》（GB/T50500-2024）</w:t>
      </w:r>
      <w:r>
        <w:rPr>
          <w:rFonts w:hint="eastAsia" w:ascii="宋体" w:hAnsi="宋体" w:eastAsia="宋体" w:cs="宋体"/>
          <w:color w:val="auto"/>
          <w:spacing w:val="-1"/>
          <w:sz w:val="24"/>
          <w:szCs w:val="24"/>
          <w:highlight w:val="none"/>
        </w:rPr>
        <w:t>；</w:t>
      </w:r>
    </w:p>
    <w:p w14:paraId="0C194691">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（2）《广东省建设工程计价依据（2018）》。具体</w:t>
      </w:r>
      <w:r>
        <w:rPr>
          <w:rFonts w:hint="eastAsia" w:ascii="宋体" w:hAnsi="宋体" w:eastAsia="宋体" w:cs="宋体"/>
          <w:color w:val="auto"/>
          <w:spacing w:val="1"/>
          <w:sz w:val="24"/>
          <w:szCs w:val="24"/>
          <w:highlight w:val="none"/>
        </w:rPr>
        <w:t>包括：《广东省房屋建筑与</w:t>
      </w:r>
      <w:r>
        <w:rPr>
          <w:rFonts w:hint="eastAsia" w:ascii="宋体" w:hAnsi="宋体" w:eastAsia="宋体" w:cs="宋体"/>
          <w:color w:val="auto"/>
          <w:spacing w:val="-1"/>
          <w:sz w:val="24"/>
          <w:szCs w:val="24"/>
          <w:highlight w:val="none"/>
        </w:rPr>
        <w:t>装饰工程综合定额（2018）》《广东省市政工程综合定额（2018）》《</w:t>
      </w:r>
      <w:r>
        <w:rPr>
          <w:rFonts w:hint="eastAsia" w:ascii="宋体" w:hAnsi="宋体" w:eastAsia="宋体" w:cs="宋体"/>
          <w:color w:val="auto"/>
          <w:spacing w:val="-2"/>
          <w:sz w:val="24"/>
          <w:szCs w:val="24"/>
          <w:highlight w:val="none"/>
        </w:rPr>
        <w:t>广东省通用安</w:t>
      </w:r>
      <w:r>
        <w:rPr>
          <w:rFonts w:hint="eastAsia" w:ascii="宋体" w:hAnsi="宋体" w:eastAsia="宋体" w:cs="宋体"/>
          <w:color w:val="auto"/>
          <w:spacing w:val="-1"/>
          <w:sz w:val="24"/>
          <w:szCs w:val="24"/>
          <w:highlight w:val="none"/>
        </w:rPr>
        <w:t>装工程综合定额（2018）》《广东省园林绿化工程综合定额（2018）》</w:t>
      </w:r>
      <w:r>
        <w:rPr>
          <w:rFonts w:hint="eastAsia" w:ascii="宋体" w:hAnsi="宋体" w:eastAsia="宋体" w:cs="宋体"/>
          <w:color w:val="auto"/>
          <w:spacing w:val="-2"/>
          <w:sz w:val="24"/>
          <w:szCs w:val="24"/>
          <w:highlight w:val="none"/>
        </w:rPr>
        <w:t>《广东省建设</w:t>
      </w:r>
      <w:r>
        <w:rPr>
          <w:rFonts w:hint="eastAsia" w:ascii="宋体" w:hAnsi="宋体" w:eastAsia="宋体" w:cs="宋体"/>
          <w:color w:val="auto"/>
          <w:spacing w:val="-1"/>
          <w:sz w:val="24"/>
          <w:szCs w:val="24"/>
          <w:highlight w:val="none"/>
        </w:rPr>
        <w:t>工程施工机具台班费用编制规则（2018）》等；</w:t>
      </w:r>
    </w:p>
    <w:p w14:paraId="4909B389">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（3）施工图及相关资料；</w:t>
      </w:r>
    </w:p>
    <w:p w14:paraId="04999D7B">
      <w:pPr>
        <w:keepNext w:val="0"/>
        <w:keepLines w:val="0"/>
        <w:pageBreakBefore w:val="0"/>
        <w:widowControl w:val="0"/>
        <w:kinsoku/>
        <w:wordWrap w:val="0"/>
        <w:overflowPunct/>
        <w:topLinePunct/>
        <w:autoSpaceDE/>
        <w:autoSpaceDN/>
        <w:bidi w:val="0"/>
        <w:adjustRightInd w:val="0"/>
        <w:snapToGrid w:val="0"/>
        <w:spacing w:line="360" w:lineRule="auto"/>
        <w:ind w:left="502" w:right="84" w:rightChars="40"/>
        <w:rPr>
          <w:rFonts w:hint="eastAsia" w:ascii="宋体" w:hAnsi="宋体" w:eastAsia="宋体" w:cs="宋体"/>
          <w:color w:val="auto"/>
          <w:sz w:val="24"/>
          <w:szCs w:val="24"/>
          <w:highlight w:val="none"/>
        </w:rPr>
      </w:pPr>
      <w:bookmarkStart w:id="37" w:name="bookmark119"/>
      <w:bookmarkEnd w:id="37"/>
      <w:r>
        <w:rPr>
          <w:rFonts w:hint="eastAsia" w:ascii="宋体" w:hAnsi="宋体" w:eastAsia="宋体" w:cs="宋体"/>
          <w:color w:val="auto"/>
          <w:spacing w:val="-2"/>
          <w:sz w:val="24"/>
          <w:szCs w:val="24"/>
          <w:highlight w:val="none"/>
        </w:rPr>
        <w:t>（4）招标文件及招标工程量清单；</w:t>
      </w:r>
    </w:p>
    <w:p w14:paraId="26B6A47E">
      <w:pPr>
        <w:keepNext w:val="0"/>
        <w:keepLines w:val="0"/>
        <w:pageBreakBefore w:val="0"/>
        <w:widowControl w:val="0"/>
        <w:kinsoku/>
        <w:wordWrap w:val="0"/>
        <w:overflowPunct/>
        <w:topLinePunct/>
        <w:autoSpaceDE/>
        <w:autoSpaceDN/>
        <w:bidi w:val="0"/>
        <w:adjustRightInd w:val="0"/>
        <w:snapToGrid w:val="0"/>
        <w:spacing w:line="360" w:lineRule="auto"/>
        <w:ind w:left="502"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（5）施工现场情况、工程特点及常规施工方案；</w:t>
      </w:r>
    </w:p>
    <w:p w14:paraId="5326EFA5">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（6）项目所在地工程造价管理机构发布的工程造价信息，工程造</w:t>
      </w:r>
      <w:r>
        <w:rPr>
          <w:rFonts w:hint="eastAsia" w:ascii="宋体" w:hAnsi="宋体" w:eastAsia="宋体" w:cs="宋体"/>
          <w:color w:val="auto"/>
          <w:spacing w:val="-4"/>
          <w:sz w:val="24"/>
          <w:szCs w:val="24"/>
          <w:highlight w:val="none"/>
        </w:rPr>
        <w:t>价信息缺项的，</w:t>
      </w:r>
      <w:r>
        <w:rPr>
          <w:rFonts w:hint="eastAsia" w:ascii="宋体" w:hAnsi="宋体" w:eastAsia="宋体" w:cs="宋体"/>
          <w:color w:val="auto"/>
          <w:spacing w:val="-2"/>
          <w:sz w:val="24"/>
          <w:szCs w:val="24"/>
          <w:highlight w:val="none"/>
        </w:rPr>
        <w:t>参照市场价格；</w:t>
      </w:r>
    </w:p>
    <w:p w14:paraId="0528693F">
      <w:pPr>
        <w:keepNext w:val="0"/>
        <w:keepLines w:val="0"/>
        <w:pageBreakBefore w:val="0"/>
        <w:widowControl w:val="0"/>
        <w:kinsoku/>
        <w:wordWrap w:val="0"/>
        <w:overflowPunct/>
        <w:topLinePunct/>
        <w:autoSpaceDE/>
        <w:autoSpaceDN/>
        <w:bidi w:val="0"/>
        <w:adjustRightInd w:val="0"/>
        <w:snapToGrid w:val="0"/>
        <w:spacing w:line="360" w:lineRule="auto"/>
        <w:ind w:left="502"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（7）与建设项目相关的标准、规范、技术资料。</w:t>
      </w:r>
    </w:p>
    <w:p w14:paraId="63C86997">
      <w:pPr>
        <w:spacing w:line="360" w:lineRule="auto"/>
        <w:ind w:firstLine="482" w:firstLineChars="200"/>
        <w:rPr>
          <w:rFonts w:ascii="Times New Roman"/>
          <w:snapToGrid w:val="0"/>
          <w:color w:val="auto"/>
          <w:kern w:val="0"/>
          <w:sz w:val="24"/>
          <w:szCs w:val="24"/>
          <w:highlight w:val="none"/>
        </w:rPr>
      </w:pPr>
      <w:r>
        <w:rPr>
          <w:rFonts w:hint="eastAsia" w:asciiTheme="minorEastAsia" w:hAnsiTheme="minorEastAsia" w:eastAsiaTheme="minorEastAsia" w:cstheme="minorEastAsia"/>
          <w:b/>
          <w:bCs/>
          <w:snapToGrid w:val="0"/>
          <w:color w:val="auto"/>
          <w:kern w:val="0"/>
          <w:sz w:val="24"/>
          <w:szCs w:val="24"/>
          <w:highlight w:val="none"/>
          <w:lang w:val="en-US" w:eastAsia="zh-CN"/>
        </w:rPr>
        <w:t>8.2</w:t>
      </w:r>
      <w:r>
        <w:rPr>
          <w:rFonts w:hint="eastAsia" w:asciiTheme="minorEastAsia" w:hAnsiTheme="minorEastAsia" w:eastAsiaTheme="minorEastAsia" w:cstheme="minorEastAsia"/>
          <w:b w:val="0"/>
          <w:bCs w:val="0"/>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本招标项目</w:t>
      </w:r>
      <w:r>
        <w:rPr>
          <w:rFonts w:hint="eastAsia" w:asciiTheme="minorEastAsia" w:hAnsiTheme="minorEastAsia" w:eastAsiaTheme="minorEastAsia" w:cstheme="minorEastAsia"/>
          <w:color w:val="auto"/>
          <w:sz w:val="24"/>
          <w:szCs w:val="24"/>
          <w:highlight w:val="none"/>
          <w:lang w:eastAsia="zh-CN"/>
        </w:rPr>
        <w:t>最高投标限价</w:t>
      </w:r>
      <w:r>
        <w:rPr>
          <w:rFonts w:hint="eastAsia" w:asciiTheme="minorEastAsia" w:hAnsiTheme="minorEastAsia" w:eastAsiaTheme="minorEastAsia" w:cstheme="minorEastAsia"/>
          <w:color w:val="auto"/>
          <w:sz w:val="24"/>
          <w:szCs w:val="24"/>
          <w:highlight w:val="none"/>
        </w:rPr>
        <w:t>、图纸、招标工程量清单在投标截止时间15天前以补充通知的形式 在广东省招标投标监管网（https://zbtb.gd.gov.cn/）、全国公共资源交易平台（广东省•韶关市）（https://ygp.gdzwfw.gov.cn/ggzy-portal/#/440200/index）公布，各投标人应自行下载。</w:t>
      </w:r>
    </w:p>
    <w:p w14:paraId="35B82A74">
      <w:pPr>
        <w:keepNext w:val="0"/>
        <w:keepLines w:val="0"/>
        <w:pageBreakBefore w:val="0"/>
        <w:widowControl w:val="0"/>
        <w:kinsoku/>
        <w:wordWrap w:val="0"/>
        <w:overflowPunct/>
        <w:topLinePunct/>
        <w:autoSpaceDE/>
        <w:autoSpaceDN/>
        <w:bidi w:val="0"/>
        <w:adjustRightInd w:val="0"/>
        <w:snapToGrid w:val="0"/>
        <w:spacing w:line="360" w:lineRule="auto"/>
        <w:ind w:right="0" w:rightChars="0" w:firstLine="482" w:firstLineChars="200"/>
        <w:jc w:val="both"/>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3</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暂估价指招标工程量清单中提供的用于支付必然发生但暂时不能确定价格的</w:t>
      </w:r>
      <w:r>
        <w:rPr>
          <w:rFonts w:hint="eastAsia" w:ascii="宋体" w:hAnsi="宋体" w:eastAsia="宋体" w:cs="宋体"/>
          <w:color w:val="auto"/>
          <w:spacing w:val="-1"/>
          <w:sz w:val="24"/>
          <w:szCs w:val="24"/>
          <w:highlight w:val="none"/>
        </w:rPr>
        <w:t>材料、工程设备的单价以及专业工程的金额；暂列金额指招标</w:t>
      </w:r>
      <w:r>
        <w:rPr>
          <w:rFonts w:hint="eastAsia" w:ascii="宋体" w:hAnsi="宋体" w:eastAsia="宋体" w:cs="宋体"/>
          <w:color w:val="auto"/>
          <w:spacing w:val="-2"/>
          <w:sz w:val="24"/>
          <w:szCs w:val="24"/>
          <w:highlight w:val="none"/>
        </w:rPr>
        <w:t>工程量清单中暂定并包括在合同价款中的一笔款项，用于工程合同签订时尚未确定或</w:t>
      </w:r>
      <w:r>
        <w:rPr>
          <w:rFonts w:hint="eastAsia" w:ascii="宋体" w:hAnsi="宋体" w:eastAsia="宋体" w:cs="宋体"/>
          <w:color w:val="auto"/>
          <w:spacing w:val="-3"/>
          <w:sz w:val="24"/>
          <w:szCs w:val="24"/>
          <w:highlight w:val="none"/>
        </w:rPr>
        <w:t>者不可预见的所需材料、</w:t>
      </w:r>
      <w:r>
        <w:rPr>
          <w:rFonts w:hint="eastAsia" w:ascii="宋体" w:hAnsi="宋体" w:eastAsia="宋体" w:cs="宋体"/>
          <w:color w:val="auto"/>
          <w:spacing w:val="-1"/>
          <w:sz w:val="24"/>
          <w:szCs w:val="24"/>
          <w:highlight w:val="none"/>
        </w:rPr>
        <w:t>工程设备、服务的采购，施工中可能发生的工程变更、合同约</w:t>
      </w:r>
      <w:r>
        <w:rPr>
          <w:rFonts w:hint="eastAsia" w:ascii="宋体" w:hAnsi="宋体" w:eastAsia="宋体" w:cs="宋体"/>
          <w:color w:val="auto"/>
          <w:spacing w:val="-2"/>
          <w:sz w:val="24"/>
          <w:szCs w:val="24"/>
          <w:highlight w:val="none"/>
        </w:rPr>
        <w:t>定调整因素出现时的合</w:t>
      </w:r>
      <w:r>
        <w:rPr>
          <w:rFonts w:hint="eastAsia" w:ascii="宋体" w:hAnsi="宋体" w:eastAsia="宋体" w:cs="宋体"/>
          <w:color w:val="auto"/>
          <w:spacing w:val="-1"/>
          <w:sz w:val="24"/>
          <w:szCs w:val="24"/>
          <w:highlight w:val="none"/>
        </w:rPr>
        <w:t>同价款调整以及发生的索赔、现场签证确认等的费用。</w:t>
      </w:r>
    </w:p>
    <w:p w14:paraId="31D35C1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本招标项目以暂估价形式列入招标工程量清单中的材料、工程设备、专业工</w:t>
      </w:r>
      <w:r>
        <w:rPr>
          <w:rFonts w:hint="eastAsia" w:ascii="宋体" w:hAnsi="宋体" w:eastAsia="宋体" w:cs="宋体"/>
          <w:color w:val="auto"/>
          <w:spacing w:val="-2"/>
          <w:sz w:val="24"/>
          <w:szCs w:val="24"/>
          <w:highlight w:val="none"/>
        </w:rPr>
        <w:t>程（以下统称“暂估价项目</w:t>
      </w:r>
      <w:r>
        <w:rPr>
          <w:rFonts w:hint="eastAsia" w:ascii="宋体" w:hAnsi="宋体" w:eastAsia="宋体" w:cs="宋体"/>
          <w:color w:val="auto"/>
          <w:spacing w:val="-80"/>
          <w:sz w:val="24"/>
          <w:szCs w:val="24"/>
          <w:highlight w:val="none"/>
        </w:rPr>
        <w:t xml:space="preserve"> </w:t>
      </w:r>
      <w:r>
        <w:rPr>
          <w:rFonts w:hint="eastAsia" w:ascii="宋体" w:hAnsi="宋体" w:eastAsia="宋体" w:cs="宋体"/>
          <w:color w:val="auto"/>
          <w:spacing w:val="-2"/>
          <w:sz w:val="24"/>
          <w:szCs w:val="24"/>
          <w:highlight w:val="none"/>
        </w:rPr>
        <w:t>”）包括：</w:t>
      </w:r>
      <w:r>
        <w:rPr>
          <w:rFonts w:hint="eastAsia" w:ascii="宋体" w:hAnsi="宋体" w:eastAsia="宋体" w:cs="宋体"/>
          <w:color w:val="auto"/>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p>
    <w:p w14:paraId="3FE2A531">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当暂估价项目的内容、标准、要求在项目实施过程中得以深化、明确、固定</w:t>
      </w:r>
      <w:r>
        <w:rPr>
          <w:rFonts w:hint="eastAsia" w:ascii="宋体" w:hAnsi="宋体" w:eastAsia="宋体" w:cs="宋体"/>
          <w:color w:val="auto"/>
          <w:spacing w:val="-2"/>
          <w:sz w:val="24"/>
          <w:szCs w:val="24"/>
          <w:highlight w:val="none"/>
        </w:rPr>
        <w:t>后，按以下原则发包：</w:t>
      </w:r>
    </w:p>
    <w:p w14:paraId="71816367">
      <w:pPr>
        <w:keepNext w:val="0"/>
        <w:keepLines w:val="0"/>
        <w:pageBreakBefore w:val="0"/>
        <w:widowControl w:val="0"/>
        <w:kinsoku/>
        <w:wordWrap w:val="0"/>
        <w:overflowPunct/>
        <w:topLinePunct/>
        <w:autoSpaceDE/>
        <w:autoSpaceDN/>
        <w:bidi w:val="0"/>
        <w:adjustRightInd w:val="0"/>
        <w:snapToGrid w:val="0"/>
        <w:spacing w:line="360" w:lineRule="auto"/>
        <w:ind w:left="-6" w:leftChars="0" w:right="84" w:rightChars="40" w:firstLine="488"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（1）暂估价项目按工程、货物（指材料或工程设备，下同）的类别分类汇总的金额，达到必须</w:t>
      </w:r>
      <w:r>
        <w:rPr>
          <w:rFonts w:hint="eastAsia" w:ascii="宋体" w:hAnsi="宋体" w:eastAsia="宋体" w:cs="宋体"/>
          <w:color w:val="auto"/>
          <w:spacing w:val="-3"/>
          <w:sz w:val="24"/>
          <w:szCs w:val="24"/>
          <w:highlight w:val="none"/>
        </w:rPr>
        <w:t>招标规模标准的，由</w:t>
      </w:r>
      <w:r>
        <w:rPr>
          <w:rFonts w:hint="eastAsia" w:ascii="宋体" w:hAnsi="宋体" w:eastAsia="宋体" w:cs="宋体"/>
          <w:b/>
          <w:bCs/>
          <w:color w:val="auto"/>
          <w:spacing w:val="21"/>
          <w:sz w:val="24"/>
          <w:szCs w:val="24"/>
          <w:highlight w:val="none"/>
          <w:u w:val="single"/>
        </w:rPr>
        <w:t xml:space="preserve"> </w:t>
      </w:r>
      <w:r>
        <w:rPr>
          <w:rFonts w:hint="eastAsia" w:ascii="宋体" w:hAnsi="宋体" w:eastAsia="宋体" w:cs="宋体"/>
          <w:bCs/>
          <w:color w:val="auto"/>
          <w:spacing w:val="-1"/>
          <w:sz w:val="24"/>
          <w:szCs w:val="24"/>
          <w:highlight w:val="none"/>
          <w:u w:val="single"/>
        </w:rPr>
        <w:t>中标人招标</w:t>
      </w:r>
      <w:r>
        <w:rPr>
          <w:rFonts w:hint="eastAsia" w:ascii="宋体" w:hAnsi="宋体" w:eastAsia="宋体" w:cs="宋体"/>
          <w:bCs/>
          <w:color w:val="auto"/>
          <w:spacing w:val="-1"/>
          <w:sz w:val="24"/>
          <w:szCs w:val="24"/>
          <w:highlight w:val="none"/>
          <w:u w:val="single"/>
          <w:lang w:eastAsia="zh-CN"/>
        </w:rPr>
        <w:t>，由</w:t>
      </w:r>
      <w:r>
        <w:rPr>
          <w:rFonts w:hint="eastAsia" w:ascii="宋体" w:hAnsi="宋体" w:eastAsia="宋体" w:cs="宋体"/>
          <w:bCs/>
          <w:color w:val="auto"/>
          <w:spacing w:val="-1"/>
          <w:sz w:val="24"/>
          <w:szCs w:val="24"/>
          <w:highlight w:val="none"/>
          <w:u w:val="single"/>
        </w:rPr>
        <w:t xml:space="preserve">招标人参与管理 </w:t>
      </w:r>
      <w:r>
        <w:rPr>
          <w:rFonts w:hint="eastAsia" w:ascii="宋体" w:hAnsi="宋体" w:eastAsia="宋体" w:cs="宋体"/>
          <w:bCs/>
          <w:color w:val="auto"/>
          <w:spacing w:val="-1"/>
          <w:sz w:val="24"/>
          <w:szCs w:val="24"/>
          <w:highlight w:val="none"/>
        </w:rPr>
        <w:t>，</w:t>
      </w:r>
      <w:r>
        <w:rPr>
          <w:rFonts w:hint="eastAsia" w:ascii="宋体" w:hAnsi="宋体" w:eastAsia="宋体" w:cs="宋体"/>
          <w:color w:val="auto"/>
          <w:spacing w:val="-1"/>
          <w:sz w:val="24"/>
          <w:szCs w:val="24"/>
          <w:highlight w:val="none"/>
        </w:rPr>
        <w:t>确定专业工程承包人（或材料、工程设备供应商）和合同价格。</w:t>
      </w:r>
    </w:p>
    <w:p w14:paraId="46E30C59">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准但适用政府采购规定的，按照政府采购规定确定专业工</w:t>
      </w:r>
      <w:r>
        <w:rPr>
          <w:rFonts w:hint="eastAsia" w:ascii="宋体" w:hAnsi="宋体" w:eastAsia="宋体" w:cs="宋体"/>
          <w:color w:val="auto"/>
          <w:spacing w:val="-2"/>
          <w:sz w:val="24"/>
          <w:szCs w:val="24"/>
          <w:highlight w:val="none"/>
        </w:rPr>
        <w:t>程承包人（或材料、工程设备供应商）和合同价格。</w:t>
      </w:r>
    </w:p>
    <w:p w14:paraId="0CD1D353">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准也不适用政府采购规定，中标人具备相应资格条件的，</w:t>
      </w:r>
      <w:r>
        <w:rPr>
          <w:rFonts w:hint="eastAsia" w:ascii="宋体" w:hAnsi="宋体" w:eastAsia="宋体" w:cs="宋体"/>
          <w:color w:val="auto"/>
          <w:spacing w:val="-2"/>
          <w:sz w:val="24"/>
          <w:szCs w:val="24"/>
          <w:highlight w:val="none"/>
        </w:rPr>
        <w:t>由中标人承包；中标人不具</w:t>
      </w:r>
      <w:r>
        <w:rPr>
          <w:rFonts w:hint="eastAsia" w:ascii="宋体" w:hAnsi="宋体" w:eastAsia="宋体" w:cs="宋体"/>
          <w:color w:val="auto"/>
          <w:spacing w:val="-1"/>
          <w:sz w:val="24"/>
          <w:szCs w:val="24"/>
          <w:highlight w:val="none"/>
        </w:rPr>
        <w:t>备相应资格条件但具备分包权的，由中标人分包，招标人</w:t>
      </w:r>
      <w:r>
        <w:rPr>
          <w:rFonts w:hint="eastAsia" w:ascii="宋体" w:hAnsi="宋体" w:eastAsia="宋体" w:cs="宋体"/>
          <w:color w:val="auto"/>
          <w:spacing w:val="-2"/>
          <w:sz w:val="24"/>
          <w:szCs w:val="24"/>
          <w:highlight w:val="none"/>
        </w:rPr>
        <w:t>同中标人结算原则按本招标文件相关条款执行。</w:t>
      </w:r>
    </w:p>
    <w:p w14:paraId="245B8930">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准也不适用政府采购规定，中标人既不具备相应资格条件</w:t>
      </w:r>
      <w:r>
        <w:rPr>
          <w:rFonts w:hint="eastAsia" w:ascii="宋体" w:hAnsi="宋体" w:eastAsia="宋体" w:cs="宋体"/>
          <w:color w:val="auto"/>
          <w:spacing w:val="-2"/>
          <w:sz w:val="24"/>
          <w:szCs w:val="24"/>
          <w:highlight w:val="none"/>
        </w:rPr>
        <w:t>又不具备分包权的，由招标人另行发包。</w:t>
      </w:r>
    </w:p>
    <w:p w14:paraId="2B3C701E">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（5）暂估价项目由其他承包人承包的，纳入中标人的管理</w:t>
      </w:r>
      <w:r>
        <w:rPr>
          <w:rFonts w:hint="eastAsia" w:ascii="宋体" w:hAnsi="宋体" w:eastAsia="宋体" w:cs="宋体"/>
          <w:color w:val="auto"/>
          <w:spacing w:val="1"/>
          <w:sz w:val="24"/>
          <w:szCs w:val="24"/>
          <w:highlight w:val="none"/>
        </w:rPr>
        <w:t>和协调范围，由其他</w:t>
      </w:r>
      <w:r>
        <w:rPr>
          <w:rFonts w:hint="eastAsia" w:ascii="宋体" w:hAnsi="宋体" w:eastAsia="宋体" w:cs="宋体"/>
          <w:color w:val="auto"/>
          <w:spacing w:val="-1"/>
          <w:sz w:val="24"/>
          <w:szCs w:val="24"/>
          <w:highlight w:val="none"/>
        </w:rPr>
        <w:t>承包人向中标人承担质量、安全、文明施工、工期责任，中标</w:t>
      </w:r>
      <w:r>
        <w:rPr>
          <w:rFonts w:hint="eastAsia" w:ascii="宋体" w:hAnsi="宋体" w:eastAsia="宋体" w:cs="宋体"/>
          <w:color w:val="auto"/>
          <w:spacing w:val="-2"/>
          <w:sz w:val="24"/>
          <w:szCs w:val="24"/>
          <w:highlight w:val="none"/>
        </w:rPr>
        <w:t>人向招标人承担责任。</w:t>
      </w:r>
    </w:p>
    <w:p w14:paraId="6FCFA400">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78"/>
        <w:jc w:val="both"/>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本招标项目以暂列金额形式列入招标工程量清单中的所需货物和服务的采购</w:t>
      </w:r>
      <w:r>
        <w:rPr>
          <w:rFonts w:hint="eastAsia" w:ascii="宋体" w:hAnsi="宋体" w:eastAsia="宋体" w:cs="宋体"/>
          <w:color w:val="auto"/>
          <w:spacing w:val="-1"/>
          <w:sz w:val="24"/>
          <w:szCs w:val="24"/>
          <w:highlight w:val="none"/>
        </w:rPr>
        <w:t>（以下统称“暂列金额项目</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”）若有发生，按照本节第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pacing w:val="-1"/>
          <w:sz w:val="24"/>
          <w:szCs w:val="24"/>
          <w:highlight w:val="none"/>
        </w:rPr>
        <w:t xml:space="preserve">8.5 </w:t>
      </w:r>
      <w:r>
        <w:rPr>
          <w:rFonts w:hint="eastAsia" w:ascii="宋体" w:hAnsi="宋体" w:eastAsia="宋体" w:cs="宋体"/>
          <w:color w:val="auto"/>
          <w:spacing w:val="-1"/>
          <w:sz w:val="24"/>
          <w:szCs w:val="24"/>
          <w:highlight w:val="none"/>
        </w:rPr>
        <w:t>条的规定确定货物（或服务）供应商和合同价格。暂列金额项目由其他承包人承包的</w:t>
      </w:r>
      <w:r>
        <w:rPr>
          <w:rFonts w:hint="eastAsia" w:ascii="宋体" w:hAnsi="宋体" w:eastAsia="宋体" w:cs="宋体"/>
          <w:color w:val="auto"/>
          <w:spacing w:val="-2"/>
          <w:sz w:val="24"/>
          <w:szCs w:val="24"/>
          <w:highlight w:val="none"/>
        </w:rPr>
        <w:t>，纳入中标人的管理和协</w:t>
      </w:r>
      <w:r>
        <w:rPr>
          <w:rFonts w:hint="eastAsia" w:ascii="宋体" w:hAnsi="宋体" w:eastAsia="宋体" w:cs="宋体"/>
          <w:color w:val="auto"/>
          <w:spacing w:val="-1"/>
          <w:sz w:val="24"/>
          <w:szCs w:val="24"/>
          <w:highlight w:val="none"/>
        </w:rPr>
        <w:t>调范围</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由其他承包人向中标人承担质量、安全、文明</w:t>
      </w:r>
      <w:r>
        <w:rPr>
          <w:rFonts w:hint="eastAsia" w:ascii="宋体" w:hAnsi="宋体" w:eastAsia="宋体" w:cs="宋体"/>
          <w:color w:val="auto"/>
          <w:spacing w:val="-2"/>
          <w:sz w:val="24"/>
          <w:szCs w:val="24"/>
          <w:highlight w:val="none"/>
        </w:rPr>
        <w:t>施工、工期责任</w:t>
      </w:r>
      <w:r>
        <w:rPr>
          <w:rFonts w:hint="eastAsia" w:ascii="宋体" w:hAnsi="宋体" w:eastAsia="宋体" w:cs="宋体"/>
          <w:color w:val="auto"/>
          <w:spacing w:val="-2"/>
          <w:sz w:val="24"/>
          <w:szCs w:val="24"/>
          <w:highlight w:val="none"/>
          <w:lang w:eastAsia="zh-CN"/>
        </w:rPr>
        <w:t>，由</w:t>
      </w:r>
      <w:r>
        <w:rPr>
          <w:rFonts w:hint="eastAsia" w:ascii="宋体" w:hAnsi="宋体" w:eastAsia="宋体" w:cs="宋体"/>
          <w:color w:val="auto"/>
          <w:spacing w:val="-2"/>
          <w:sz w:val="24"/>
          <w:szCs w:val="24"/>
          <w:highlight w:val="none"/>
        </w:rPr>
        <w:t>中标人向招标人承担责任。</w:t>
      </w:r>
    </w:p>
    <w:p w14:paraId="0FBAD91E">
      <w:pPr>
        <w:keepNext w:val="0"/>
        <w:keepLines w:val="0"/>
        <w:pageBreakBefore w:val="0"/>
        <w:widowControl w:val="0"/>
        <w:kinsoku/>
        <w:wordWrap w:val="0"/>
        <w:overflowPunct/>
        <w:topLinePunct/>
        <w:autoSpaceDE/>
        <w:autoSpaceDN/>
        <w:bidi w:val="0"/>
        <w:adjustRightInd w:val="0"/>
        <w:snapToGrid w:val="0"/>
        <w:spacing w:line="360" w:lineRule="auto"/>
        <w:ind w:left="487" w:right="84" w:rightChars="40"/>
        <w:outlineLvl w:val="2"/>
        <w:rPr>
          <w:rFonts w:hint="eastAsia" w:ascii="宋体" w:hAnsi="宋体" w:eastAsia="宋体" w:cs="宋体"/>
          <w:color w:val="auto"/>
          <w:sz w:val="24"/>
          <w:szCs w:val="24"/>
          <w:highlight w:val="none"/>
        </w:rPr>
      </w:pPr>
      <w:bookmarkStart w:id="38" w:name="_Toc22978"/>
      <w:bookmarkStart w:id="39" w:name="_Toc23704"/>
      <w:r>
        <w:rPr>
          <w:rFonts w:hint="eastAsia" w:ascii="宋体" w:hAnsi="宋体" w:eastAsia="宋体" w:cs="宋体"/>
          <w:b/>
          <w:bCs/>
          <w:color w:val="auto"/>
          <w:spacing w:val="-8"/>
          <w:sz w:val="24"/>
          <w:szCs w:val="24"/>
          <w:highlight w:val="none"/>
        </w:rPr>
        <w:t>9</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8"/>
          <w:sz w:val="24"/>
          <w:szCs w:val="24"/>
          <w:highlight w:val="none"/>
        </w:rPr>
        <w:t>．投标报价</w:t>
      </w:r>
      <w:bookmarkEnd w:id="38"/>
      <w:bookmarkEnd w:id="39"/>
    </w:p>
    <w:p w14:paraId="424B44C2">
      <w:pPr>
        <w:keepNext w:val="0"/>
        <w:keepLines w:val="0"/>
        <w:pageBreakBefore w:val="0"/>
        <w:widowControl w:val="0"/>
        <w:kinsoku/>
        <w:wordWrap w:val="0"/>
        <w:overflowPunct/>
        <w:topLinePunct/>
        <w:autoSpaceDE/>
        <w:autoSpaceDN/>
        <w:bidi w:val="0"/>
        <w:adjustRightInd w:val="0"/>
        <w:snapToGrid w:val="0"/>
        <w:spacing w:line="360" w:lineRule="auto"/>
        <w:ind w:left="487"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9.1  </w:t>
      </w:r>
      <w:r>
        <w:rPr>
          <w:rFonts w:hint="eastAsia" w:ascii="宋体" w:hAnsi="宋体" w:eastAsia="宋体" w:cs="宋体"/>
          <w:color w:val="auto"/>
          <w:spacing w:val="-1"/>
          <w:sz w:val="24"/>
          <w:szCs w:val="24"/>
          <w:highlight w:val="none"/>
        </w:rPr>
        <w:t>投标人应按照以下依据编制投标报价</w:t>
      </w:r>
    </w:p>
    <w:p w14:paraId="1D467EED">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color w:val="auto"/>
          <w:spacing w:val="-1"/>
          <w:sz w:val="24"/>
          <w:szCs w:val="24"/>
          <w:highlight w:val="none"/>
          <w:lang w:eastAsia="zh-CN"/>
        </w:rPr>
        <w:t>《建设工程工程量清单计价标准》（GB/T50500-2024）</w:t>
      </w:r>
      <w:r>
        <w:rPr>
          <w:rFonts w:hint="eastAsia" w:ascii="宋体" w:hAnsi="宋体" w:eastAsia="宋体" w:cs="宋体"/>
          <w:color w:val="auto"/>
          <w:spacing w:val="4"/>
          <w:sz w:val="24"/>
          <w:szCs w:val="24"/>
          <w:highlight w:val="none"/>
        </w:rPr>
        <w:t>；</w:t>
      </w:r>
    </w:p>
    <w:p w14:paraId="179CA87B">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（2）《广东省建设工程计价依据（2018）》。具体</w:t>
      </w:r>
      <w:r>
        <w:rPr>
          <w:rFonts w:hint="eastAsia" w:ascii="宋体" w:hAnsi="宋体" w:eastAsia="宋体" w:cs="宋体"/>
          <w:color w:val="auto"/>
          <w:spacing w:val="1"/>
          <w:sz w:val="24"/>
          <w:szCs w:val="24"/>
          <w:highlight w:val="none"/>
        </w:rPr>
        <w:t>包括：《广东省房屋建筑与</w:t>
      </w:r>
      <w:r>
        <w:rPr>
          <w:rFonts w:hint="eastAsia" w:ascii="宋体" w:hAnsi="宋体" w:eastAsia="宋体" w:cs="宋体"/>
          <w:color w:val="auto"/>
          <w:spacing w:val="-1"/>
          <w:sz w:val="24"/>
          <w:szCs w:val="24"/>
          <w:highlight w:val="none"/>
        </w:rPr>
        <w:t>装饰工程综合定额（2018）》《广东省市政工程综合定额（2018）》《</w:t>
      </w:r>
      <w:r>
        <w:rPr>
          <w:rFonts w:hint="eastAsia" w:ascii="宋体" w:hAnsi="宋体" w:eastAsia="宋体" w:cs="宋体"/>
          <w:color w:val="auto"/>
          <w:spacing w:val="-2"/>
          <w:sz w:val="24"/>
          <w:szCs w:val="24"/>
          <w:highlight w:val="none"/>
        </w:rPr>
        <w:t>广东省通用安</w:t>
      </w:r>
      <w:r>
        <w:rPr>
          <w:rFonts w:hint="eastAsia" w:ascii="宋体" w:hAnsi="宋体" w:eastAsia="宋体" w:cs="宋体"/>
          <w:color w:val="auto"/>
          <w:spacing w:val="-1"/>
          <w:sz w:val="24"/>
          <w:szCs w:val="24"/>
          <w:highlight w:val="none"/>
        </w:rPr>
        <w:t>装工程综合定额（2018）》《广东省园林绿化工程综合定额（2018）》</w:t>
      </w:r>
      <w:r>
        <w:rPr>
          <w:rFonts w:hint="eastAsia" w:ascii="宋体" w:hAnsi="宋体" w:eastAsia="宋体" w:cs="宋体"/>
          <w:color w:val="auto"/>
          <w:spacing w:val="-2"/>
          <w:sz w:val="24"/>
          <w:szCs w:val="24"/>
          <w:highlight w:val="none"/>
        </w:rPr>
        <w:t>《广东省建设</w:t>
      </w:r>
      <w:r>
        <w:rPr>
          <w:rFonts w:hint="eastAsia" w:ascii="宋体" w:hAnsi="宋体" w:eastAsia="宋体" w:cs="宋体"/>
          <w:color w:val="auto"/>
          <w:spacing w:val="-1"/>
          <w:sz w:val="24"/>
          <w:szCs w:val="24"/>
          <w:highlight w:val="none"/>
        </w:rPr>
        <w:t>工程施工机具台班费用编制规则（2018）》等；</w:t>
      </w:r>
    </w:p>
    <w:p w14:paraId="111A59D1">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bookmarkStart w:id="40" w:name="bookmark120"/>
      <w:bookmarkEnd w:id="40"/>
      <w:r>
        <w:rPr>
          <w:rFonts w:hint="eastAsia" w:ascii="宋体" w:hAnsi="宋体" w:eastAsia="宋体" w:cs="宋体"/>
          <w:color w:val="auto"/>
          <w:spacing w:val="-3"/>
          <w:sz w:val="24"/>
          <w:szCs w:val="24"/>
          <w:highlight w:val="none"/>
        </w:rPr>
        <w:t>（3）企业定额；</w:t>
      </w:r>
    </w:p>
    <w:p w14:paraId="4CECC879">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（4）招标文件及其答疑（或修改）公告、招标工程量清单；</w:t>
      </w:r>
    </w:p>
    <w:p w14:paraId="77B2520E">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（5）施工图及相关资料；</w:t>
      </w:r>
    </w:p>
    <w:p w14:paraId="08E6426F">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（6）施工现场情况、工程特点及投标时拟定的施工组织设计或施工方案；</w:t>
      </w:r>
    </w:p>
    <w:p w14:paraId="2609EDC9">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（7）市场价格信息或项目所在地工程造价管理机构发布的工程造价信息；</w:t>
      </w:r>
    </w:p>
    <w:p w14:paraId="00CAF189">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（8）与建设项目相关的标准、规范、技术资料。</w:t>
      </w:r>
    </w:p>
    <w:p w14:paraId="3F0F5B0F">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9.2  </w:t>
      </w:r>
      <w:r>
        <w:rPr>
          <w:rFonts w:hint="eastAsia" w:ascii="宋体" w:hAnsi="宋体" w:eastAsia="宋体" w:cs="宋体"/>
          <w:color w:val="auto"/>
          <w:spacing w:val="-2"/>
          <w:sz w:val="24"/>
          <w:szCs w:val="24"/>
          <w:highlight w:val="none"/>
        </w:rPr>
        <w:t>投标人应根据招标工程量清单、工程量清单计价规范中的工作内容、设计文</w:t>
      </w:r>
      <w:r>
        <w:rPr>
          <w:rFonts w:hint="eastAsia" w:ascii="宋体" w:hAnsi="宋体" w:eastAsia="宋体" w:cs="宋体"/>
          <w:color w:val="auto"/>
          <w:spacing w:val="-1"/>
          <w:sz w:val="24"/>
          <w:szCs w:val="24"/>
          <w:highlight w:val="none"/>
        </w:rPr>
        <w:t>件和有关要求、施工现场实际情况、投标人拟定的施工组织设计</w:t>
      </w:r>
      <w:r>
        <w:rPr>
          <w:rFonts w:hint="eastAsia" w:ascii="宋体" w:hAnsi="宋体" w:eastAsia="宋体" w:cs="宋体"/>
          <w:color w:val="auto"/>
          <w:spacing w:val="-2"/>
          <w:sz w:val="24"/>
          <w:szCs w:val="24"/>
          <w:highlight w:val="none"/>
        </w:rPr>
        <w:t>、本单位的企业定额</w:t>
      </w:r>
      <w:r>
        <w:rPr>
          <w:rFonts w:hint="eastAsia" w:ascii="宋体" w:hAnsi="宋体" w:eastAsia="宋体" w:cs="宋体"/>
          <w:color w:val="auto"/>
          <w:spacing w:val="-1"/>
          <w:sz w:val="24"/>
          <w:szCs w:val="24"/>
          <w:highlight w:val="none"/>
        </w:rPr>
        <w:t>和市场价格进行编制，自行报价，并承担一定范围内的风险费用</w:t>
      </w:r>
      <w:r>
        <w:rPr>
          <w:rFonts w:hint="eastAsia" w:ascii="宋体" w:hAnsi="宋体" w:eastAsia="宋体" w:cs="宋体"/>
          <w:color w:val="auto"/>
          <w:spacing w:val="-2"/>
          <w:sz w:val="24"/>
          <w:szCs w:val="24"/>
          <w:highlight w:val="none"/>
        </w:rPr>
        <w:t>。所谓“一定范围内</w:t>
      </w:r>
      <w:r>
        <w:rPr>
          <w:rFonts w:hint="eastAsia" w:ascii="宋体" w:hAnsi="宋体" w:eastAsia="宋体" w:cs="宋体"/>
          <w:color w:val="auto"/>
          <w:spacing w:val="-3"/>
          <w:sz w:val="24"/>
          <w:szCs w:val="24"/>
          <w:highlight w:val="none"/>
        </w:rPr>
        <w:t>的风险</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”是指合同约定的风险。</w:t>
      </w:r>
    </w:p>
    <w:p w14:paraId="68100800">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9.3  </w:t>
      </w:r>
      <w:r>
        <w:rPr>
          <w:rFonts w:hint="eastAsia" w:ascii="宋体" w:hAnsi="宋体" w:eastAsia="宋体" w:cs="宋体"/>
          <w:color w:val="auto"/>
          <w:spacing w:val="-2"/>
          <w:sz w:val="24"/>
          <w:szCs w:val="24"/>
          <w:highlight w:val="none"/>
        </w:rPr>
        <w:t>招标人及招标代理机构不集中组织现场踏勘，投标人需要了解现场情况的，</w:t>
      </w:r>
      <w:r>
        <w:rPr>
          <w:rFonts w:hint="eastAsia" w:ascii="宋体" w:hAnsi="宋体" w:eastAsia="宋体" w:cs="宋体"/>
          <w:color w:val="auto"/>
          <w:spacing w:val="-1"/>
          <w:sz w:val="24"/>
          <w:szCs w:val="24"/>
          <w:highlight w:val="none"/>
        </w:rPr>
        <w:t>可自行进行现场踏勘。各投标人应勘察施工现场及周围环</w:t>
      </w:r>
      <w:r>
        <w:rPr>
          <w:rFonts w:hint="eastAsia" w:ascii="宋体" w:hAnsi="宋体" w:eastAsia="宋体" w:cs="宋体"/>
          <w:color w:val="auto"/>
          <w:spacing w:val="-2"/>
          <w:sz w:val="24"/>
          <w:szCs w:val="24"/>
          <w:highlight w:val="none"/>
        </w:rPr>
        <w:t>境、地形、地貌、水文、交</w:t>
      </w:r>
      <w:r>
        <w:rPr>
          <w:rFonts w:hint="eastAsia" w:ascii="宋体" w:hAnsi="宋体" w:eastAsia="宋体" w:cs="宋体"/>
          <w:color w:val="auto"/>
          <w:spacing w:val="-1"/>
          <w:sz w:val="24"/>
          <w:szCs w:val="24"/>
          <w:highlight w:val="none"/>
        </w:rPr>
        <w:t>通等情况，以获得一切可能</w:t>
      </w:r>
      <w:r>
        <w:rPr>
          <w:rFonts w:hint="eastAsia" w:ascii="宋体" w:hAnsi="宋体" w:eastAsia="宋体" w:cs="宋体"/>
          <w:color w:val="auto"/>
          <w:spacing w:val="-1"/>
          <w:sz w:val="24"/>
          <w:szCs w:val="24"/>
          <w:highlight w:val="none"/>
          <w:lang w:eastAsia="zh-CN"/>
        </w:rPr>
        <w:t>影响</w:t>
      </w:r>
      <w:r>
        <w:rPr>
          <w:rFonts w:hint="eastAsia" w:ascii="宋体" w:hAnsi="宋体" w:eastAsia="宋体" w:cs="宋体"/>
          <w:color w:val="auto"/>
          <w:spacing w:val="-1"/>
          <w:sz w:val="24"/>
          <w:szCs w:val="24"/>
          <w:highlight w:val="none"/>
        </w:rPr>
        <w:t>投标的直接资料。投标人应</w:t>
      </w:r>
      <w:r>
        <w:rPr>
          <w:rFonts w:hint="eastAsia" w:ascii="宋体" w:hAnsi="宋体" w:eastAsia="宋体" w:cs="宋体"/>
          <w:color w:val="auto"/>
          <w:spacing w:val="-2"/>
          <w:sz w:val="24"/>
          <w:szCs w:val="24"/>
          <w:highlight w:val="none"/>
        </w:rPr>
        <w:t>针对现场情况编制施工</w:t>
      </w:r>
      <w:r>
        <w:rPr>
          <w:rFonts w:hint="eastAsia" w:ascii="宋体" w:hAnsi="宋体" w:eastAsia="宋体" w:cs="宋体"/>
          <w:color w:val="auto"/>
          <w:spacing w:val="-1"/>
          <w:sz w:val="24"/>
          <w:szCs w:val="24"/>
          <w:highlight w:val="none"/>
        </w:rPr>
        <w:t>组织设计，并在编制投标报价时考虑现场情况的影响。</w:t>
      </w:r>
    </w:p>
    <w:p w14:paraId="64578EF2">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5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9.4  </w:t>
      </w:r>
      <w:r>
        <w:rPr>
          <w:rFonts w:hint="eastAsia" w:ascii="宋体" w:hAnsi="宋体" w:eastAsia="宋体" w:cs="宋体"/>
          <w:color w:val="auto"/>
          <w:spacing w:val="-2"/>
          <w:sz w:val="24"/>
          <w:szCs w:val="24"/>
          <w:highlight w:val="none"/>
        </w:rPr>
        <w:t>招标人向投标人提供的有关现场的数据和资料，是招标人现有的能被投标人</w:t>
      </w:r>
      <w:r>
        <w:rPr>
          <w:rFonts w:hint="eastAsia" w:ascii="宋体" w:hAnsi="宋体" w:eastAsia="宋体" w:cs="宋体"/>
          <w:color w:val="auto"/>
          <w:sz w:val="24"/>
          <w:szCs w:val="24"/>
          <w:highlight w:val="none"/>
        </w:rPr>
        <w:t>利用的资料，招标人对投标人做出的任何推论</w:t>
      </w:r>
      <w:r>
        <w:rPr>
          <w:rFonts w:hint="eastAsia" w:ascii="宋体" w:hAnsi="宋体" w:eastAsia="宋体" w:cs="宋体"/>
          <w:color w:val="auto"/>
          <w:spacing w:val="-1"/>
          <w:sz w:val="24"/>
          <w:szCs w:val="24"/>
          <w:highlight w:val="none"/>
        </w:rPr>
        <w:t>、理解和结论均不负责任。</w:t>
      </w:r>
    </w:p>
    <w:p w14:paraId="09906FD0">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5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9.5  </w:t>
      </w:r>
      <w:r>
        <w:rPr>
          <w:rFonts w:hint="eastAsia" w:ascii="宋体" w:hAnsi="宋体" w:eastAsia="宋体" w:cs="宋体"/>
          <w:color w:val="auto"/>
          <w:spacing w:val="-2"/>
          <w:sz w:val="24"/>
          <w:szCs w:val="24"/>
          <w:highlight w:val="none"/>
        </w:rPr>
        <w:t>投标人必须按照招标工程量清单及表格填报价格。项目编码、项目名称、项</w:t>
      </w:r>
      <w:r>
        <w:rPr>
          <w:rFonts w:hint="eastAsia" w:ascii="宋体" w:hAnsi="宋体" w:eastAsia="宋体" w:cs="宋体"/>
          <w:color w:val="auto"/>
          <w:spacing w:val="2"/>
          <w:sz w:val="24"/>
          <w:szCs w:val="24"/>
          <w:highlight w:val="none"/>
        </w:rPr>
        <w:t>目特征、计量单位、工程量必须与招标工程量清单一致。所有报价均以人</w:t>
      </w:r>
      <w:r>
        <w:rPr>
          <w:rFonts w:hint="eastAsia" w:ascii="宋体" w:hAnsi="宋体" w:eastAsia="宋体" w:cs="宋体"/>
          <w:color w:val="auto"/>
          <w:spacing w:val="1"/>
          <w:sz w:val="24"/>
          <w:szCs w:val="24"/>
          <w:highlight w:val="none"/>
        </w:rPr>
        <w:t>民币“元</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rPr>
        <w:t>为单位，并保留小数点后两位。</w:t>
      </w:r>
    </w:p>
    <w:p w14:paraId="6CD49F27">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557"/>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2"/>
          <w:sz w:val="24"/>
          <w:szCs w:val="24"/>
          <w:highlight w:val="none"/>
        </w:rPr>
        <w:t xml:space="preserve">9.6  </w:t>
      </w:r>
      <w:r>
        <w:rPr>
          <w:rFonts w:hint="eastAsia" w:ascii="宋体" w:hAnsi="宋体" w:eastAsia="宋体" w:cs="宋体"/>
          <w:color w:val="auto"/>
          <w:spacing w:val="-2"/>
          <w:sz w:val="24"/>
          <w:szCs w:val="24"/>
          <w:highlight w:val="none"/>
        </w:rPr>
        <w:t>投标人只允许有一个投标总价。投标总价必须同时用大、小写表示，大、小</w:t>
      </w:r>
      <w:r>
        <w:rPr>
          <w:rFonts w:hint="eastAsia" w:ascii="宋体" w:hAnsi="宋体" w:eastAsia="宋体" w:cs="宋体"/>
          <w:color w:val="auto"/>
          <w:spacing w:val="-1"/>
          <w:sz w:val="24"/>
          <w:szCs w:val="24"/>
          <w:highlight w:val="none"/>
        </w:rPr>
        <w:t>写报价应保持一致，若不一致，以大写报价为准。招标工程量</w:t>
      </w:r>
      <w:r>
        <w:rPr>
          <w:rFonts w:hint="eastAsia" w:ascii="宋体" w:hAnsi="宋体" w:eastAsia="宋体" w:cs="宋体"/>
          <w:color w:val="auto"/>
          <w:spacing w:val="-2"/>
          <w:sz w:val="24"/>
          <w:szCs w:val="24"/>
          <w:highlight w:val="none"/>
        </w:rPr>
        <w:t>清单与计价表中列明的</w:t>
      </w:r>
      <w:r>
        <w:rPr>
          <w:rFonts w:hint="eastAsia" w:ascii="宋体" w:hAnsi="宋体" w:eastAsia="宋体" w:cs="宋体"/>
          <w:color w:val="auto"/>
          <w:spacing w:val="-1"/>
          <w:sz w:val="24"/>
          <w:szCs w:val="24"/>
          <w:highlight w:val="none"/>
        </w:rPr>
        <w:t>所有需要填写单价和合价的项目，投标人均应填写且只允许有</w:t>
      </w:r>
      <w:r>
        <w:rPr>
          <w:rFonts w:hint="eastAsia" w:ascii="宋体" w:hAnsi="宋体" w:eastAsia="宋体" w:cs="宋体"/>
          <w:color w:val="auto"/>
          <w:spacing w:val="-2"/>
          <w:sz w:val="24"/>
          <w:szCs w:val="24"/>
          <w:highlight w:val="none"/>
        </w:rPr>
        <w:t>一个报价。未填写单价</w:t>
      </w:r>
      <w:r>
        <w:rPr>
          <w:rFonts w:hint="eastAsia" w:ascii="宋体" w:hAnsi="宋体" w:eastAsia="宋体" w:cs="宋体"/>
          <w:color w:val="auto"/>
          <w:spacing w:val="-1"/>
          <w:sz w:val="24"/>
          <w:szCs w:val="24"/>
          <w:highlight w:val="none"/>
        </w:rPr>
        <w:t>和合价的项目，视为此项费用已包含在已标价工程量清单其他</w:t>
      </w:r>
      <w:r>
        <w:rPr>
          <w:rFonts w:hint="eastAsia" w:ascii="宋体" w:hAnsi="宋体" w:eastAsia="宋体" w:cs="宋体"/>
          <w:color w:val="auto"/>
          <w:spacing w:val="-2"/>
          <w:sz w:val="24"/>
          <w:szCs w:val="24"/>
          <w:highlight w:val="none"/>
        </w:rPr>
        <w:t>项目的单价和合价中，</w:t>
      </w:r>
      <w:r>
        <w:rPr>
          <w:rFonts w:hint="eastAsia" w:ascii="宋体" w:hAnsi="宋体" w:eastAsia="宋体" w:cs="宋体"/>
          <w:color w:val="auto"/>
          <w:spacing w:val="-1"/>
          <w:sz w:val="24"/>
          <w:szCs w:val="24"/>
          <w:highlight w:val="none"/>
        </w:rPr>
        <w:t>竣工结算时不得重新组价和调整。</w:t>
      </w:r>
    </w:p>
    <w:p w14:paraId="1C43D901">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557"/>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z w:val="24"/>
          <w:szCs w:val="24"/>
          <w:highlight w:val="none"/>
        </w:rPr>
        <w:t xml:space="preserve">9.7  </w:t>
      </w:r>
      <w:r>
        <w:rPr>
          <w:rFonts w:hint="eastAsia" w:ascii="宋体" w:hAnsi="宋体" w:eastAsia="宋体" w:cs="宋体"/>
          <w:color w:val="auto"/>
          <w:sz w:val="24"/>
          <w:szCs w:val="24"/>
          <w:highlight w:val="none"/>
        </w:rPr>
        <w:t>投标人的投标总价不得高于</w:t>
      </w:r>
      <w:r>
        <w:rPr>
          <w:rFonts w:hint="eastAsia" w:ascii="宋体" w:hAnsi="宋体" w:eastAsia="宋体" w:cs="宋体"/>
          <w:b/>
          <w:bCs/>
          <w:color w:val="auto"/>
          <w:sz w:val="24"/>
          <w:szCs w:val="24"/>
          <w:highlight w:val="none"/>
          <w:lang w:val="en-US" w:eastAsia="zh-CN"/>
        </w:rPr>
        <w:t>最高投标限价</w:t>
      </w:r>
      <w:r>
        <w:rPr>
          <w:rFonts w:hint="eastAsia" w:ascii="宋体" w:hAnsi="宋体" w:eastAsia="宋体" w:cs="宋体"/>
          <w:color w:val="auto"/>
          <w:sz w:val="24"/>
          <w:szCs w:val="24"/>
          <w:highlight w:val="none"/>
        </w:rPr>
        <w:t>，也不得低于工程成本。投标人对</w:t>
      </w:r>
      <w:r>
        <w:rPr>
          <w:rFonts w:hint="eastAsia" w:ascii="宋体" w:hAnsi="宋体" w:eastAsia="宋体" w:cs="宋体"/>
          <w:color w:val="auto"/>
          <w:spacing w:val="-1"/>
          <w:sz w:val="24"/>
          <w:szCs w:val="24"/>
          <w:highlight w:val="none"/>
        </w:rPr>
        <w:t>投标总价的所有优惠（降价、让利等</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1"/>
          <w:sz w:val="24"/>
          <w:szCs w:val="24"/>
          <w:highlight w:val="none"/>
        </w:rPr>
        <w:t>均应当反映在具体清单项目或其综合</w:t>
      </w:r>
      <w:r>
        <w:rPr>
          <w:rFonts w:hint="eastAsia" w:ascii="宋体" w:hAnsi="宋体" w:eastAsia="宋体" w:cs="宋体"/>
          <w:color w:val="auto"/>
          <w:spacing w:val="-2"/>
          <w:sz w:val="24"/>
          <w:szCs w:val="24"/>
          <w:highlight w:val="none"/>
        </w:rPr>
        <w:t>单价的</w:t>
      </w:r>
      <w:r>
        <w:rPr>
          <w:rFonts w:hint="eastAsia" w:ascii="宋体" w:hAnsi="宋体" w:eastAsia="宋体" w:cs="宋体"/>
          <w:color w:val="auto"/>
          <w:spacing w:val="1"/>
          <w:sz w:val="24"/>
          <w:szCs w:val="24"/>
          <w:highlight w:val="none"/>
        </w:rPr>
        <w:t>报价上。</w:t>
      </w:r>
      <w:r>
        <w:rPr>
          <w:rFonts w:hint="eastAsia" w:ascii="宋体" w:hAnsi="宋体" w:eastAsia="宋体" w:cs="宋体"/>
          <w:b/>
          <w:bCs/>
          <w:color w:val="auto"/>
          <w:spacing w:val="1"/>
          <w:sz w:val="24"/>
          <w:szCs w:val="24"/>
          <w:highlight w:val="none"/>
        </w:rPr>
        <w:t>如果投标人的投标总价下浮率高于15%时，投标人必须在投标文件中专项</w:t>
      </w:r>
      <w:r>
        <w:rPr>
          <w:rFonts w:hint="eastAsia" w:ascii="宋体" w:hAnsi="宋体" w:eastAsia="宋体" w:cs="宋体"/>
          <w:b/>
          <w:bCs/>
          <w:color w:val="auto"/>
          <w:spacing w:val="-3"/>
          <w:sz w:val="24"/>
          <w:szCs w:val="24"/>
          <w:highlight w:val="none"/>
        </w:rPr>
        <w:t>作出详细合理的书面说明并提供以往类似工程详细成本分析报告供评标委员会审查。</w:t>
      </w:r>
    </w:p>
    <w:p w14:paraId="04B202D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1175" w:firstLineChars="500"/>
        <w:outlineLvl w:val="9"/>
        <w:rPr>
          <w:rFonts w:hint="eastAsia" w:ascii="宋体" w:hAnsi="宋体" w:eastAsia="宋体" w:cs="宋体"/>
          <w:color w:val="auto"/>
          <w:highlight w:val="none"/>
          <w:lang w:eastAsia="zh-CN"/>
        </w:rPr>
      </w:pPr>
      <w:r>
        <w:rPr>
          <w:rFonts w:hint="eastAsia" w:ascii="宋体" w:hAnsi="宋体" w:eastAsia="宋体" w:cs="宋体"/>
          <w:b/>
          <w:bCs/>
          <w:color w:val="auto"/>
          <w:spacing w:val="-3"/>
          <w:sz w:val="24"/>
          <w:szCs w:val="24"/>
          <w:highlight w:val="none"/>
          <w:lang w:eastAsia="zh-CN"/>
        </w:rPr>
        <w:t>投标总价下浮率=（1-投标总价</w:t>
      </w:r>
      <w:r>
        <w:rPr>
          <w:rFonts w:hint="eastAsia" w:ascii="宋体" w:hAnsi="宋体" w:eastAsia="宋体" w:cs="宋体"/>
          <w:b/>
          <w:bCs/>
          <w:color w:val="auto"/>
          <w:spacing w:val="-1"/>
          <w:sz w:val="24"/>
          <w:szCs w:val="24"/>
          <w:highlight w:val="none"/>
        </w:rPr>
        <w:t>÷</w:t>
      </w:r>
      <w:r>
        <w:rPr>
          <w:rFonts w:hint="eastAsia" w:ascii="宋体" w:hAnsi="宋体" w:eastAsia="宋体" w:cs="宋体"/>
          <w:b/>
          <w:bCs/>
          <w:color w:val="auto"/>
          <w:spacing w:val="-1"/>
          <w:sz w:val="24"/>
          <w:szCs w:val="24"/>
          <w:highlight w:val="none"/>
          <w:lang w:val="en-US" w:eastAsia="zh-CN"/>
        </w:rPr>
        <w:t>最高投标限价</w:t>
      </w:r>
      <w:r>
        <w:rPr>
          <w:rFonts w:hint="eastAsia" w:ascii="宋体" w:hAnsi="宋体" w:eastAsia="宋体" w:cs="宋体"/>
          <w:b/>
          <w:bCs/>
          <w:color w:val="auto"/>
          <w:spacing w:val="-1"/>
          <w:sz w:val="24"/>
          <w:szCs w:val="24"/>
          <w:highlight w:val="none"/>
          <w:lang w:eastAsia="zh-CN"/>
        </w:rPr>
        <w:t>）</w:t>
      </w:r>
      <w:r>
        <w:rPr>
          <w:rFonts w:hint="eastAsia" w:ascii="宋体" w:hAnsi="宋体" w:eastAsia="宋体" w:cs="宋体"/>
          <w:b/>
          <w:bCs/>
          <w:color w:val="auto"/>
          <w:spacing w:val="-1"/>
          <w:sz w:val="24"/>
          <w:szCs w:val="24"/>
          <w:highlight w:val="none"/>
        </w:rPr>
        <w:t>×</w:t>
      </w:r>
      <w:r>
        <w:rPr>
          <w:rFonts w:hint="eastAsia" w:ascii="宋体" w:hAnsi="宋体" w:eastAsia="宋体" w:cs="宋体"/>
          <w:b/>
          <w:bCs/>
          <w:color w:val="auto"/>
          <w:spacing w:val="-1"/>
          <w:sz w:val="24"/>
          <w:szCs w:val="24"/>
          <w:highlight w:val="none"/>
          <w:lang w:eastAsia="zh-CN"/>
        </w:rPr>
        <w:t>100%</w:t>
      </w:r>
    </w:p>
    <w:p w14:paraId="7FBA7A7A">
      <w:pPr>
        <w:keepNext w:val="0"/>
        <w:keepLines w:val="0"/>
        <w:pageBreakBefore w:val="0"/>
        <w:widowControl w:val="0"/>
        <w:kinsoku/>
        <w:wordWrap w:val="0"/>
        <w:overflowPunct/>
        <w:topLinePunct/>
        <w:autoSpaceDE/>
        <w:autoSpaceDN/>
        <w:bidi w:val="0"/>
        <w:adjustRightInd w:val="0"/>
        <w:snapToGrid w:val="0"/>
        <w:spacing w:line="360" w:lineRule="auto"/>
        <w:ind w:left="29" w:right="84" w:rightChars="40" w:firstLine="458"/>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 xml:space="preserve">9.8  </w:t>
      </w:r>
      <w:r>
        <w:rPr>
          <w:rFonts w:hint="eastAsia" w:ascii="宋体" w:hAnsi="宋体" w:eastAsia="宋体" w:cs="宋体"/>
          <w:color w:val="auto"/>
          <w:sz w:val="24"/>
          <w:szCs w:val="24"/>
          <w:highlight w:val="none"/>
        </w:rPr>
        <w:t>投标人的</w:t>
      </w:r>
      <w:r>
        <w:rPr>
          <w:rFonts w:hint="eastAsia" w:ascii="宋体" w:hAnsi="宋体" w:eastAsia="宋体" w:cs="宋体"/>
          <w:color w:val="auto"/>
          <w:sz w:val="24"/>
          <w:szCs w:val="24"/>
          <w:highlight w:val="none"/>
          <w:lang w:eastAsia="zh-CN"/>
        </w:rPr>
        <w:t>安全生产措施费</w:t>
      </w:r>
      <w:r>
        <w:rPr>
          <w:rFonts w:hint="eastAsia" w:ascii="宋体" w:hAnsi="宋体" w:eastAsia="宋体" w:cs="宋体"/>
          <w:color w:val="auto"/>
          <w:sz w:val="24"/>
          <w:szCs w:val="24"/>
          <w:highlight w:val="none"/>
        </w:rPr>
        <w:t>报价必须达到或超过</w:t>
      </w:r>
      <w:r>
        <w:rPr>
          <w:rFonts w:hint="eastAsia" w:ascii="宋体" w:hAnsi="宋体" w:eastAsia="宋体" w:cs="宋体"/>
          <w:b/>
          <w:bCs/>
          <w:color w:val="auto"/>
          <w:sz w:val="24"/>
          <w:szCs w:val="24"/>
          <w:highlight w:val="none"/>
          <w:lang w:val="en-US" w:eastAsia="zh-CN"/>
        </w:rPr>
        <w:t>最高投标限价</w:t>
      </w:r>
      <w:r>
        <w:rPr>
          <w:rFonts w:hint="eastAsia" w:ascii="宋体" w:hAnsi="宋体" w:eastAsia="宋体" w:cs="宋体"/>
          <w:color w:val="auto"/>
          <w:sz w:val="24"/>
          <w:szCs w:val="24"/>
          <w:highlight w:val="none"/>
        </w:rPr>
        <w:t>中</w:t>
      </w:r>
      <w:r>
        <w:rPr>
          <w:rFonts w:hint="eastAsia" w:ascii="宋体" w:hAnsi="宋体" w:eastAsia="宋体" w:cs="宋体"/>
          <w:color w:val="auto"/>
          <w:spacing w:val="-1"/>
          <w:sz w:val="24"/>
          <w:szCs w:val="24"/>
          <w:highlight w:val="none"/>
        </w:rPr>
        <w:t>提供</w:t>
      </w:r>
      <w:r>
        <w:rPr>
          <w:rFonts w:hint="eastAsia" w:ascii="宋体" w:hAnsi="宋体" w:eastAsia="宋体" w:cs="宋体"/>
          <w:color w:val="auto"/>
          <w:spacing w:val="-3"/>
          <w:sz w:val="24"/>
          <w:szCs w:val="24"/>
          <w:highlight w:val="none"/>
        </w:rPr>
        <w:t>的</w:t>
      </w:r>
      <w:r>
        <w:rPr>
          <w:rFonts w:hint="eastAsia" w:ascii="宋体" w:hAnsi="宋体" w:eastAsia="宋体" w:cs="宋体"/>
          <w:color w:val="auto"/>
          <w:spacing w:val="-3"/>
          <w:sz w:val="24"/>
          <w:szCs w:val="24"/>
          <w:highlight w:val="none"/>
          <w:lang w:eastAsia="zh-CN"/>
        </w:rPr>
        <w:t>安全生产措施费</w:t>
      </w:r>
      <w:r>
        <w:rPr>
          <w:rFonts w:hint="eastAsia" w:ascii="宋体" w:hAnsi="宋体" w:eastAsia="宋体" w:cs="宋体"/>
          <w:color w:val="auto"/>
          <w:spacing w:val="-3"/>
          <w:sz w:val="24"/>
          <w:szCs w:val="24"/>
          <w:highlight w:val="none"/>
        </w:rPr>
        <w:t>。</w:t>
      </w:r>
    </w:p>
    <w:p w14:paraId="48C0425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9.9  </w:t>
      </w:r>
      <w:r>
        <w:rPr>
          <w:rFonts w:hint="eastAsia" w:ascii="宋体" w:hAnsi="宋体" w:eastAsia="宋体" w:cs="宋体"/>
          <w:color w:val="auto"/>
          <w:sz w:val="24"/>
          <w:szCs w:val="24"/>
          <w:highlight w:val="none"/>
        </w:rPr>
        <w:t>投标人必须按照招标工程量清单中提供的暂列金额和暂估价统一报价。投标</w:t>
      </w:r>
      <w:r>
        <w:rPr>
          <w:rFonts w:hint="eastAsia" w:ascii="宋体" w:hAnsi="宋体" w:eastAsia="宋体" w:cs="宋体"/>
          <w:color w:val="auto"/>
          <w:spacing w:val="-1"/>
          <w:sz w:val="24"/>
          <w:szCs w:val="24"/>
          <w:highlight w:val="none"/>
        </w:rPr>
        <w:t>人应充分考虑暂估价项目（或暂列金额项目）的管理和协调所发</w:t>
      </w:r>
      <w:r>
        <w:rPr>
          <w:rFonts w:hint="eastAsia" w:ascii="宋体" w:hAnsi="宋体" w:eastAsia="宋体" w:cs="宋体"/>
          <w:color w:val="auto"/>
          <w:spacing w:val="-2"/>
          <w:sz w:val="24"/>
          <w:szCs w:val="24"/>
          <w:highlight w:val="none"/>
        </w:rPr>
        <w:t>生的费用，并将其纳</w:t>
      </w:r>
      <w:r>
        <w:rPr>
          <w:rFonts w:hint="eastAsia" w:ascii="宋体" w:hAnsi="宋体" w:eastAsia="宋体" w:cs="宋体"/>
          <w:color w:val="auto"/>
          <w:spacing w:val="-1"/>
          <w:sz w:val="24"/>
          <w:szCs w:val="24"/>
          <w:highlight w:val="none"/>
        </w:rPr>
        <w:t>入已标价工程量清单中的适当项目。招标人视该项管理和协调所</w:t>
      </w:r>
      <w:r>
        <w:rPr>
          <w:rFonts w:hint="eastAsia" w:ascii="宋体" w:hAnsi="宋体" w:eastAsia="宋体" w:cs="宋体"/>
          <w:color w:val="auto"/>
          <w:spacing w:val="-2"/>
          <w:sz w:val="24"/>
          <w:szCs w:val="24"/>
          <w:highlight w:val="none"/>
        </w:rPr>
        <w:t>发生的费用已包含在</w:t>
      </w:r>
      <w:r>
        <w:rPr>
          <w:rFonts w:hint="eastAsia" w:ascii="宋体" w:hAnsi="宋体" w:eastAsia="宋体" w:cs="宋体"/>
          <w:color w:val="auto"/>
          <w:spacing w:val="-1"/>
          <w:sz w:val="24"/>
          <w:szCs w:val="24"/>
          <w:highlight w:val="none"/>
        </w:rPr>
        <w:t>其它有价款的竞争性报价内，不再另行支付。</w:t>
      </w:r>
    </w:p>
    <w:p w14:paraId="1E401F78">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8" w:firstLineChars="200"/>
        <w:rPr>
          <w:rFonts w:hint="eastAsia" w:ascii="宋体" w:hAnsi="宋体" w:eastAsia="宋体" w:cs="宋体"/>
          <w:color w:val="auto"/>
          <w:spacing w:val="-1"/>
          <w:sz w:val="24"/>
          <w:szCs w:val="24"/>
          <w:highlight w:val="none"/>
          <w:lang w:val="en-US" w:eastAsia="en-US"/>
        </w:rPr>
      </w:pPr>
      <w:r>
        <w:rPr>
          <w:rFonts w:hint="eastAsia" w:ascii="宋体" w:hAnsi="宋体" w:eastAsia="宋体" w:cs="宋体"/>
          <w:b/>
          <w:bCs/>
          <w:color w:val="auto"/>
          <w:spacing w:val="-1"/>
          <w:sz w:val="24"/>
          <w:szCs w:val="24"/>
          <w:highlight w:val="none"/>
        </w:rPr>
        <w:t xml:space="preserve">9.10 </w:t>
      </w:r>
      <w:r>
        <w:rPr>
          <w:rFonts w:hint="eastAsia" w:ascii="宋体" w:hAnsi="宋体" w:eastAsia="宋体" w:cs="宋体"/>
          <w:color w:val="auto"/>
          <w:spacing w:val="-1"/>
          <w:sz w:val="24"/>
          <w:szCs w:val="24"/>
          <w:highlight w:val="none"/>
          <w:lang w:val="en-US" w:eastAsia="en-US"/>
        </w:rPr>
        <w:t>预算包干内容一般包括</w:t>
      </w:r>
      <w:r>
        <w:rPr>
          <w:rFonts w:hint="eastAsia" w:ascii="宋体" w:hAnsi="宋体" w:eastAsia="宋体" w:cs="宋体"/>
          <w:color w:val="auto"/>
          <w:spacing w:val="-1"/>
          <w:sz w:val="24"/>
          <w:szCs w:val="24"/>
          <w:highlight w:val="none"/>
          <w:u w:val="single"/>
          <w:lang w:val="en-US" w:eastAsia="en-US"/>
        </w:rPr>
        <w:t>施工雨（污）水的排除、因地形影响造成的场内料具二次运输、20 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等。投标报价时，应按《广东省建设工程计价依据（2018）》规定的费率报价，若招标工程量清单明确说明不计算预算包干费或另外确定预算包干费费率的，则按招标工程量清单报价</w:t>
      </w:r>
      <w:r>
        <w:rPr>
          <w:rFonts w:hint="eastAsia" w:ascii="宋体" w:hAnsi="宋体" w:eastAsia="宋体" w:cs="宋体"/>
          <w:color w:val="auto"/>
          <w:spacing w:val="-1"/>
          <w:sz w:val="24"/>
          <w:szCs w:val="24"/>
          <w:highlight w:val="none"/>
          <w:lang w:val="en-US" w:eastAsia="en-US"/>
        </w:rPr>
        <w:t>。</w:t>
      </w:r>
    </w:p>
    <w:p w14:paraId="0F20B2B1">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2"/>
        <w:rPr>
          <w:rFonts w:hint="eastAsia" w:ascii="宋体" w:hAnsi="宋体" w:eastAsia="宋体" w:cs="宋体"/>
          <w:color w:val="auto"/>
          <w:sz w:val="24"/>
          <w:szCs w:val="24"/>
          <w:highlight w:val="none"/>
        </w:rPr>
      </w:pPr>
      <w:bookmarkStart w:id="41" w:name="_Toc16322"/>
      <w:bookmarkStart w:id="42" w:name="_Toc20179"/>
      <w:r>
        <w:rPr>
          <w:rFonts w:hint="eastAsia" w:ascii="宋体" w:hAnsi="宋体" w:eastAsia="宋体" w:cs="宋体"/>
          <w:b/>
          <w:bCs/>
          <w:color w:val="auto"/>
          <w:spacing w:val="-6"/>
          <w:sz w:val="24"/>
          <w:szCs w:val="24"/>
          <w:highlight w:val="none"/>
        </w:rPr>
        <w:t>10</w:t>
      </w:r>
      <w:r>
        <w:rPr>
          <w:rFonts w:hint="eastAsia" w:ascii="宋体" w:hAnsi="宋体" w:eastAsia="宋体" w:cs="宋体"/>
          <w:b/>
          <w:bCs/>
          <w:color w:val="auto"/>
          <w:spacing w:val="-21"/>
          <w:sz w:val="24"/>
          <w:szCs w:val="24"/>
          <w:highlight w:val="none"/>
        </w:rPr>
        <w:t xml:space="preserve"> </w:t>
      </w:r>
      <w:r>
        <w:rPr>
          <w:rFonts w:hint="eastAsia" w:ascii="宋体" w:hAnsi="宋体" w:eastAsia="宋体" w:cs="宋体"/>
          <w:b/>
          <w:bCs/>
          <w:color w:val="auto"/>
          <w:spacing w:val="-6"/>
          <w:sz w:val="24"/>
          <w:szCs w:val="24"/>
          <w:highlight w:val="none"/>
        </w:rPr>
        <w:t>．投标文件的编制要求</w:t>
      </w:r>
      <w:bookmarkEnd w:id="41"/>
      <w:bookmarkEnd w:id="42"/>
    </w:p>
    <w:p w14:paraId="07987CF5">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9"/>
        <w:rPr>
          <w:rFonts w:hint="eastAsia" w:ascii="宋体" w:hAnsi="宋体" w:eastAsia="宋体" w:cs="宋体"/>
          <w:color w:val="auto"/>
          <w:sz w:val="24"/>
          <w:szCs w:val="24"/>
          <w:highlight w:val="none"/>
        </w:rPr>
      </w:pPr>
      <w:bookmarkStart w:id="43" w:name="_Toc22937"/>
      <w:bookmarkStart w:id="44" w:name="_Toc20590"/>
      <w:r>
        <w:rPr>
          <w:rFonts w:hint="eastAsia" w:ascii="宋体" w:hAnsi="宋体" w:eastAsia="宋体" w:cs="宋体"/>
          <w:b/>
          <w:bCs/>
          <w:color w:val="auto"/>
          <w:spacing w:val="-4"/>
          <w:sz w:val="24"/>
          <w:szCs w:val="24"/>
          <w:highlight w:val="none"/>
        </w:rPr>
        <w:t>10.1</w:t>
      </w:r>
      <w:r>
        <w:rPr>
          <w:rFonts w:hint="eastAsia" w:ascii="宋体" w:hAnsi="宋体" w:eastAsia="宋体" w:cs="宋体"/>
          <w:b/>
          <w:bCs/>
          <w:color w:val="auto"/>
          <w:spacing w:val="7"/>
          <w:sz w:val="24"/>
          <w:szCs w:val="24"/>
          <w:highlight w:val="none"/>
        </w:rPr>
        <w:t xml:space="preserve">  </w:t>
      </w:r>
      <w:r>
        <w:rPr>
          <w:rFonts w:hint="eastAsia" w:ascii="宋体" w:hAnsi="宋体" w:eastAsia="宋体" w:cs="宋体"/>
          <w:color w:val="auto"/>
          <w:spacing w:val="-4"/>
          <w:sz w:val="24"/>
          <w:szCs w:val="24"/>
          <w:highlight w:val="none"/>
        </w:rPr>
        <w:t>一般要求</w:t>
      </w:r>
      <w:bookmarkEnd w:id="43"/>
      <w:bookmarkEnd w:id="44"/>
    </w:p>
    <w:p w14:paraId="62E4E8CD">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投标文件应按第六章投标文件格式规定的内容，投标人提交的投标文件应当使</w:t>
      </w:r>
      <w:r>
        <w:rPr>
          <w:rFonts w:hint="eastAsia" w:ascii="宋体" w:hAnsi="宋体" w:eastAsia="宋体" w:cs="宋体"/>
          <w:color w:val="auto"/>
          <w:spacing w:val="-1"/>
          <w:sz w:val="24"/>
          <w:szCs w:val="24"/>
          <w:highlight w:val="none"/>
        </w:rPr>
        <w:t>用招标文件所提供的投标文件全部格式。</w:t>
      </w:r>
    </w:p>
    <w:p w14:paraId="10001B2B">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61"/>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10.1.1  </w:t>
      </w:r>
      <w:r>
        <w:rPr>
          <w:rFonts w:hint="eastAsia" w:ascii="宋体" w:hAnsi="宋体" w:eastAsia="宋体" w:cs="宋体"/>
          <w:color w:val="auto"/>
          <w:spacing w:val="-3"/>
          <w:sz w:val="24"/>
          <w:szCs w:val="24"/>
          <w:highlight w:val="none"/>
        </w:rPr>
        <w:t>投标人必须响应招标文件，并在充分理解招</w:t>
      </w:r>
      <w:r>
        <w:rPr>
          <w:rFonts w:hint="eastAsia" w:ascii="宋体" w:hAnsi="宋体" w:eastAsia="宋体" w:cs="宋体"/>
          <w:color w:val="auto"/>
          <w:spacing w:val="-4"/>
          <w:sz w:val="24"/>
          <w:szCs w:val="24"/>
          <w:highlight w:val="none"/>
        </w:rPr>
        <w:t>标人提供的全部文件、设计图</w:t>
      </w:r>
      <w:r>
        <w:rPr>
          <w:rFonts w:hint="eastAsia" w:ascii="宋体" w:hAnsi="宋体" w:eastAsia="宋体" w:cs="宋体"/>
          <w:color w:val="auto"/>
          <w:spacing w:val="-1"/>
          <w:sz w:val="24"/>
          <w:szCs w:val="24"/>
          <w:highlight w:val="none"/>
        </w:rPr>
        <w:t>纸、资料及现场条件的基础上编制投标文件。因投标文件</w:t>
      </w:r>
      <w:r>
        <w:rPr>
          <w:rFonts w:hint="eastAsia" w:ascii="宋体" w:hAnsi="宋体" w:eastAsia="宋体" w:cs="宋体"/>
          <w:color w:val="auto"/>
          <w:spacing w:val="-2"/>
          <w:sz w:val="24"/>
          <w:szCs w:val="24"/>
          <w:highlight w:val="none"/>
        </w:rPr>
        <w:t>不符合招标文件的要求而造</w:t>
      </w:r>
      <w:r>
        <w:rPr>
          <w:rFonts w:hint="eastAsia" w:ascii="宋体" w:hAnsi="宋体" w:eastAsia="宋体" w:cs="宋体"/>
          <w:color w:val="auto"/>
          <w:spacing w:val="-1"/>
          <w:sz w:val="24"/>
          <w:szCs w:val="24"/>
          <w:highlight w:val="none"/>
        </w:rPr>
        <w:t>成的损失和后果，由投标人自行承担。</w:t>
      </w:r>
    </w:p>
    <w:p w14:paraId="2A668192">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566"/>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10.1.2  </w:t>
      </w:r>
      <w:r>
        <w:rPr>
          <w:rFonts w:hint="eastAsia" w:ascii="宋体" w:hAnsi="宋体" w:eastAsia="宋体" w:cs="宋体"/>
          <w:color w:val="auto"/>
          <w:spacing w:val="-3"/>
          <w:sz w:val="24"/>
          <w:szCs w:val="24"/>
          <w:highlight w:val="none"/>
        </w:rPr>
        <w:t>投标文件全部采用电子文档，投标文件所附</w:t>
      </w:r>
      <w:r>
        <w:rPr>
          <w:rFonts w:hint="eastAsia" w:ascii="宋体" w:hAnsi="宋体" w:eastAsia="宋体" w:cs="宋体"/>
          <w:color w:val="auto"/>
          <w:spacing w:val="-4"/>
          <w:sz w:val="24"/>
          <w:szCs w:val="24"/>
          <w:highlight w:val="none"/>
        </w:rPr>
        <w:t>证书证件均为原件扫描件，并</w:t>
      </w:r>
      <w:r>
        <w:rPr>
          <w:rFonts w:hint="eastAsia" w:ascii="宋体" w:hAnsi="宋体" w:eastAsia="宋体" w:cs="宋体"/>
          <w:color w:val="auto"/>
          <w:spacing w:val="-1"/>
          <w:sz w:val="24"/>
          <w:szCs w:val="24"/>
          <w:highlight w:val="none"/>
        </w:rPr>
        <w:t>采用单位数字证书，按招标文件要求在相应位置加盖电子印章。</w:t>
      </w:r>
      <w:r>
        <w:rPr>
          <w:rFonts w:hint="eastAsia" w:ascii="宋体" w:hAnsi="宋体" w:eastAsia="宋体" w:cs="宋体"/>
          <w:color w:val="auto"/>
          <w:spacing w:val="-2"/>
          <w:sz w:val="24"/>
          <w:szCs w:val="24"/>
          <w:highlight w:val="none"/>
        </w:rPr>
        <w:t>投标文件中需个人签</w:t>
      </w:r>
      <w:r>
        <w:rPr>
          <w:rFonts w:hint="eastAsia" w:ascii="宋体" w:hAnsi="宋体" w:eastAsia="宋体" w:cs="宋体"/>
          <w:color w:val="auto"/>
          <w:spacing w:val="-1"/>
          <w:sz w:val="24"/>
          <w:szCs w:val="24"/>
          <w:highlight w:val="none"/>
        </w:rPr>
        <w:t>字或盖章的，应加盖个人电子印章或在线下完成后扫描上传。按</w:t>
      </w:r>
      <w:r>
        <w:rPr>
          <w:rFonts w:hint="eastAsia" w:ascii="宋体" w:hAnsi="宋体" w:eastAsia="宋体" w:cs="宋体"/>
          <w:color w:val="auto"/>
          <w:spacing w:val="-2"/>
          <w:sz w:val="24"/>
          <w:szCs w:val="24"/>
          <w:highlight w:val="none"/>
        </w:rPr>
        <w:t>照交易平台关于全流</w:t>
      </w:r>
      <w:r>
        <w:rPr>
          <w:rFonts w:hint="eastAsia" w:ascii="宋体" w:hAnsi="宋体" w:eastAsia="宋体" w:cs="宋体"/>
          <w:color w:val="auto"/>
          <w:spacing w:val="-7"/>
          <w:sz w:val="24"/>
          <w:szCs w:val="24"/>
          <w:highlight w:val="none"/>
        </w:rPr>
        <w:t>程电子化项目的相关指南进行操作。详见：全国公共资源</w:t>
      </w:r>
      <w:r>
        <w:rPr>
          <w:rFonts w:hint="eastAsia" w:ascii="宋体" w:hAnsi="宋体" w:eastAsia="宋体" w:cs="宋体"/>
          <w:color w:val="auto"/>
          <w:spacing w:val="-8"/>
          <w:sz w:val="24"/>
          <w:szCs w:val="24"/>
          <w:highlight w:val="none"/>
        </w:rPr>
        <w:t>交易平台（广东省·韶关市）</w:t>
      </w:r>
      <w:r>
        <w:rPr>
          <w:rFonts w:hint="eastAsia" w:ascii="宋体" w:hAnsi="宋体" w:eastAsia="宋体" w:cs="宋体"/>
          <w:color w:val="auto"/>
          <w:spacing w:val="-2"/>
          <w:sz w:val="24"/>
          <w:szCs w:val="24"/>
          <w:highlight w:val="none"/>
        </w:rPr>
        <w:t>交易指引。</w:t>
      </w:r>
    </w:p>
    <w:p w14:paraId="79F227CA">
      <w:pPr>
        <w:keepNext w:val="0"/>
        <w:keepLines w:val="0"/>
        <w:pageBreakBefore w:val="0"/>
        <w:widowControl w:val="0"/>
        <w:kinsoku/>
        <w:wordWrap w:val="0"/>
        <w:overflowPunct/>
        <w:topLinePunct/>
        <w:autoSpaceDE/>
        <w:autoSpaceDN/>
        <w:bidi w:val="0"/>
        <w:adjustRightInd w:val="0"/>
        <w:snapToGrid w:val="0"/>
        <w:spacing w:line="360" w:lineRule="auto"/>
        <w:ind w:left="579"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10.1.3  </w:t>
      </w:r>
      <w:r>
        <w:rPr>
          <w:rFonts w:hint="eastAsia" w:ascii="宋体" w:hAnsi="宋体" w:eastAsia="宋体" w:cs="宋体"/>
          <w:color w:val="auto"/>
          <w:spacing w:val="-1"/>
          <w:sz w:val="24"/>
          <w:szCs w:val="24"/>
          <w:highlight w:val="none"/>
        </w:rPr>
        <w:t>投标文件需按以下要求签字、盖章：电子投标文件：</w:t>
      </w:r>
    </w:p>
    <w:p w14:paraId="4565FA6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578"/>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10.1.3.1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投标文件封面、组成</w:t>
      </w:r>
      <w:r>
        <w:rPr>
          <w:rFonts w:hint="eastAsia" w:ascii="宋体" w:hAnsi="宋体" w:eastAsia="宋体" w:cs="宋体"/>
          <w:color w:val="auto"/>
          <w:spacing w:val="-3"/>
          <w:sz w:val="24"/>
          <w:szCs w:val="24"/>
          <w:highlight w:val="none"/>
        </w:rPr>
        <w:t>内容中凡注明“签字</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3"/>
          <w:sz w:val="24"/>
          <w:szCs w:val="24"/>
          <w:highlight w:val="none"/>
        </w:rPr>
        <w:t>”处由要求的人员签字或电子</w:t>
      </w:r>
      <w:r>
        <w:rPr>
          <w:rFonts w:hint="eastAsia" w:ascii="宋体" w:hAnsi="宋体" w:eastAsia="宋体" w:cs="宋体"/>
          <w:color w:val="auto"/>
          <w:spacing w:val="-2"/>
          <w:sz w:val="24"/>
          <w:szCs w:val="24"/>
          <w:highlight w:val="none"/>
        </w:rPr>
        <w:t>签章；凡注明“签字或盖章</w:t>
      </w:r>
      <w:r>
        <w:rPr>
          <w:rFonts w:hint="eastAsia" w:ascii="宋体" w:hAnsi="宋体" w:eastAsia="宋体" w:cs="宋体"/>
          <w:color w:val="auto"/>
          <w:spacing w:val="-87"/>
          <w:sz w:val="24"/>
          <w:szCs w:val="24"/>
          <w:highlight w:val="none"/>
        </w:rPr>
        <w:t xml:space="preserve"> </w:t>
      </w:r>
      <w:r>
        <w:rPr>
          <w:rFonts w:hint="eastAsia" w:ascii="宋体" w:hAnsi="宋体" w:eastAsia="宋体" w:cs="宋体"/>
          <w:color w:val="auto"/>
          <w:spacing w:val="-2"/>
          <w:sz w:val="24"/>
          <w:szCs w:val="24"/>
          <w:highlight w:val="none"/>
        </w:rPr>
        <w:t>”处由要求的人员签字或盖其私章（电子印章</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rPr>
        <w:t>凡注明</w:t>
      </w:r>
      <w:r>
        <w:rPr>
          <w:rFonts w:hint="eastAsia" w:ascii="宋体" w:hAnsi="宋体" w:eastAsia="宋体" w:cs="宋体"/>
          <w:color w:val="auto"/>
          <w:spacing w:val="-1"/>
          <w:sz w:val="24"/>
          <w:szCs w:val="24"/>
          <w:highlight w:val="none"/>
        </w:rPr>
        <w:t>“签字并盖执业印章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”处由要求的人员签字并盖其执业印</w:t>
      </w:r>
      <w:r>
        <w:rPr>
          <w:rFonts w:hint="eastAsia" w:ascii="宋体" w:hAnsi="宋体" w:eastAsia="宋体" w:cs="宋体"/>
          <w:color w:val="auto"/>
          <w:spacing w:val="-2"/>
          <w:sz w:val="24"/>
          <w:szCs w:val="24"/>
          <w:highlight w:val="none"/>
        </w:rPr>
        <w:t>章。</w:t>
      </w:r>
    </w:p>
    <w:p w14:paraId="70A3D8D1">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6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10.1.3.2</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投标文件封套、封面、组成内容中凡要求录入投标人名称且注明“盖单</w:t>
      </w:r>
      <w:r>
        <w:rPr>
          <w:rFonts w:hint="eastAsia" w:ascii="宋体" w:hAnsi="宋体" w:eastAsia="宋体" w:cs="宋体"/>
          <w:color w:val="auto"/>
          <w:spacing w:val="-3"/>
          <w:sz w:val="24"/>
          <w:szCs w:val="24"/>
          <w:highlight w:val="none"/>
        </w:rPr>
        <w:t>位章</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3"/>
          <w:sz w:val="24"/>
          <w:szCs w:val="24"/>
          <w:highlight w:val="none"/>
        </w:rPr>
        <w:t>”处盖单位法人公章（电子印章）。</w:t>
      </w:r>
    </w:p>
    <w:p w14:paraId="0657412E">
      <w:pPr>
        <w:keepNext w:val="0"/>
        <w:keepLines w:val="0"/>
        <w:pageBreakBefore w:val="0"/>
        <w:widowControl w:val="0"/>
        <w:kinsoku/>
        <w:wordWrap w:val="0"/>
        <w:overflowPunct/>
        <w:topLinePunct/>
        <w:autoSpaceDE/>
        <w:autoSpaceDN/>
        <w:bidi w:val="0"/>
        <w:adjustRightInd w:val="0"/>
        <w:snapToGrid w:val="0"/>
        <w:spacing w:line="360" w:lineRule="auto"/>
        <w:ind w:left="16" w:right="84" w:rightChars="40" w:firstLine="562"/>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10.1.3.3</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投标文件的签字均为签字人本人亲笔署名或签章</w:t>
      </w:r>
      <w:r>
        <w:rPr>
          <w:rFonts w:hint="eastAsia" w:ascii="宋体" w:hAnsi="宋体" w:eastAsia="宋体" w:cs="宋体"/>
          <w:color w:val="auto"/>
          <w:spacing w:val="-2"/>
          <w:sz w:val="24"/>
          <w:szCs w:val="24"/>
          <w:highlight w:val="none"/>
        </w:rPr>
        <w:t>（电子印章</w:t>
      </w:r>
      <w:r>
        <w:rPr>
          <w:rFonts w:hint="eastAsia" w:ascii="宋体" w:hAnsi="宋体" w:eastAsia="宋体" w:cs="宋体"/>
          <w:color w:val="auto"/>
          <w:spacing w:val="-14"/>
          <w:sz w:val="24"/>
          <w:szCs w:val="24"/>
          <w:highlight w:val="none"/>
        </w:rPr>
        <w:t>），</w:t>
      </w:r>
      <w:r>
        <w:rPr>
          <w:rFonts w:hint="eastAsia" w:ascii="宋体" w:hAnsi="宋体" w:eastAsia="宋体" w:cs="宋体"/>
          <w:color w:val="auto"/>
          <w:spacing w:val="-2"/>
          <w:sz w:val="24"/>
          <w:szCs w:val="24"/>
          <w:highlight w:val="none"/>
        </w:rPr>
        <w:t>其余部</w:t>
      </w:r>
      <w:r>
        <w:rPr>
          <w:rFonts w:hint="eastAsia" w:ascii="宋体" w:hAnsi="宋体" w:eastAsia="宋体" w:cs="宋体"/>
          <w:color w:val="auto"/>
          <w:spacing w:val="-1"/>
          <w:sz w:val="24"/>
          <w:szCs w:val="24"/>
          <w:highlight w:val="none"/>
        </w:rPr>
        <w:t>分的复印件无须另行签字、盖章。</w:t>
      </w:r>
    </w:p>
    <w:p w14:paraId="6C46FB65">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474" w:firstLineChars="200"/>
        <w:outlineLvl w:val="9"/>
        <w:rPr>
          <w:rFonts w:hint="eastAsia" w:ascii="宋体" w:hAnsi="宋体" w:eastAsia="宋体" w:cs="宋体"/>
          <w:b w:val="0"/>
          <w:bCs w:val="0"/>
          <w:color w:val="auto"/>
          <w:spacing w:val="-2"/>
          <w:sz w:val="24"/>
          <w:szCs w:val="24"/>
          <w:highlight w:val="none"/>
        </w:rPr>
      </w:pPr>
      <w:bookmarkStart w:id="45" w:name="_Toc21271"/>
      <w:bookmarkStart w:id="46" w:name="_Toc20223"/>
      <w:r>
        <w:rPr>
          <w:rFonts w:hint="eastAsia" w:ascii="宋体" w:hAnsi="宋体" w:eastAsia="宋体" w:cs="宋体"/>
          <w:b/>
          <w:bCs/>
          <w:color w:val="auto"/>
          <w:spacing w:val="-2"/>
          <w:sz w:val="24"/>
          <w:szCs w:val="24"/>
          <w:highlight w:val="none"/>
        </w:rPr>
        <w:t xml:space="preserve">10.1.3.4 </w:t>
      </w:r>
      <w:r>
        <w:rPr>
          <w:rFonts w:hint="eastAsia" w:ascii="宋体" w:hAnsi="宋体" w:eastAsia="宋体" w:cs="宋体"/>
          <w:color w:val="auto"/>
          <w:spacing w:val="-3"/>
          <w:sz w:val="24"/>
          <w:szCs w:val="24"/>
          <w:highlight w:val="none"/>
        </w:rPr>
        <w:t>联合体投标的，除《联合体协议书》外，由联合体牵头人按以上要求签亲笔署名或签章（电子印章）即可。</w:t>
      </w:r>
    </w:p>
    <w:p w14:paraId="1B3C2AD6">
      <w:pPr>
        <w:keepNext w:val="0"/>
        <w:keepLines w:val="0"/>
        <w:pageBreakBefore w:val="0"/>
        <w:widowControl w:val="0"/>
        <w:kinsoku/>
        <w:wordWrap w:val="0"/>
        <w:overflowPunct/>
        <w:topLinePunct/>
        <w:autoSpaceDE/>
        <w:autoSpaceDN/>
        <w:bidi w:val="0"/>
        <w:adjustRightInd w:val="0"/>
        <w:snapToGrid w:val="0"/>
        <w:spacing w:line="360" w:lineRule="auto"/>
        <w:ind w:left="500" w:right="84" w:rightChars="40"/>
        <w:outlineLvl w:val="9"/>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10.2  </w:t>
      </w:r>
      <w:r>
        <w:rPr>
          <w:rFonts w:hint="eastAsia" w:ascii="宋体" w:hAnsi="宋体" w:eastAsia="宋体" w:cs="宋体"/>
          <w:color w:val="auto"/>
          <w:spacing w:val="-2"/>
          <w:sz w:val="24"/>
          <w:szCs w:val="24"/>
          <w:highlight w:val="none"/>
        </w:rPr>
        <w:t>商务标书的编制要求</w:t>
      </w:r>
      <w:bookmarkEnd w:id="45"/>
      <w:bookmarkEnd w:id="46"/>
    </w:p>
    <w:p w14:paraId="6F086A4B">
      <w:pPr>
        <w:keepNext w:val="0"/>
        <w:keepLines w:val="0"/>
        <w:pageBreakBefore w:val="0"/>
        <w:widowControl w:val="0"/>
        <w:kinsoku/>
        <w:wordWrap w:val="0"/>
        <w:overflowPunct/>
        <w:topLinePunct/>
        <w:autoSpaceDE/>
        <w:autoSpaceDN/>
        <w:bidi w:val="0"/>
        <w:adjustRightInd w:val="0"/>
        <w:snapToGrid w:val="0"/>
        <w:spacing w:line="360" w:lineRule="auto"/>
        <w:ind w:left="581"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10.2.1 </w:t>
      </w:r>
      <w:r>
        <w:rPr>
          <w:rFonts w:hint="eastAsia" w:ascii="宋体" w:hAnsi="宋体" w:eastAsia="宋体" w:cs="宋体"/>
          <w:color w:val="auto"/>
          <w:spacing w:val="-1"/>
          <w:sz w:val="24"/>
          <w:szCs w:val="24"/>
          <w:highlight w:val="none"/>
        </w:rPr>
        <w:t>商务标书包括但不限于以下内容：</w:t>
      </w:r>
    </w:p>
    <w:p w14:paraId="79BA43AF">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5C31F31B">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5AEBB5A0">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（3）《投标函》（格式二</w:t>
      </w:r>
      <w:r>
        <w:rPr>
          <w:rFonts w:hint="eastAsia" w:ascii="宋体" w:hAnsi="宋体" w:eastAsia="宋体" w:cs="宋体"/>
          <w:color w:val="auto"/>
          <w:spacing w:val="1"/>
          <w:sz w:val="24"/>
          <w:szCs w:val="24"/>
          <w:highlight w:val="none"/>
        </w:rPr>
        <w:t>）；</w:t>
      </w:r>
    </w:p>
    <w:p w14:paraId="76BD0DA2">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（4）《各项承诺一览表》（格式三</w:t>
      </w:r>
      <w:r>
        <w:rPr>
          <w:rFonts w:hint="eastAsia" w:ascii="宋体" w:hAnsi="宋体" w:eastAsia="宋体" w:cs="宋体"/>
          <w:color w:val="auto"/>
          <w:spacing w:val="5"/>
          <w:sz w:val="24"/>
          <w:szCs w:val="24"/>
          <w:highlight w:val="none"/>
        </w:rPr>
        <w:t>）；</w:t>
      </w:r>
    </w:p>
    <w:p w14:paraId="20DAFD09">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（5）《授权委托书》（格式四</w:t>
      </w:r>
      <w:r>
        <w:rPr>
          <w:rFonts w:hint="eastAsia" w:ascii="宋体" w:hAnsi="宋体" w:eastAsia="宋体" w:cs="宋体"/>
          <w:color w:val="auto"/>
          <w:spacing w:val="3"/>
          <w:sz w:val="24"/>
          <w:szCs w:val="24"/>
          <w:highlight w:val="none"/>
        </w:rPr>
        <w:t>）；</w:t>
      </w:r>
    </w:p>
    <w:p w14:paraId="634869EE">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（6）《法定代表人身份证明》（格式五</w:t>
      </w:r>
      <w:r>
        <w:rPr>
          <w:rFonts w:hint="eastAsia" w:ascii="宋体" w:hAnsi="宋体" w:eastAsia="宋体" w:cs="宋体"/>
          <w:color w:val="auto"/>
          <w:spacing w:val="7"/>
          <w:sz w:val="24"/>
          <w:szCs w:val="24"/>
          <w:highlight w:val="none"/>
        </w:rPr>
        <w:t>）；</w:t>
      </w:r>
    </w:p>
    <w:p w14:paraId="0A2E83AC">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（7）《联合体协议书》（格式六）及所附资料；</w:t>
      </w:r>
    </w:p>
    <w:p w14:paraId="03A48095">
      <w:pPr>
        <w:keepNext w:val="0"/>
        <w:keepLines w:val="0"/>
        <w:pageBreakBefore w:val="0"/>
        <w:widowControl w:val="0"/>
        <w:kinsoku/>
        <w:wordWrap w:val="0"/>
        <w:overflowPunct/>
        <w:topLinePunct/>
        <w:autoSpaceDE/>
        <w:autoSpaceDN/>
        <w:bidi w:val="0"/>
        <w:adjustRightInd w:val="0"/>
        <w:snapToGrid w:val="0"/>
        <w:spacing w:line="360" w:lineRule="auto"/>
        <w:ind w:left="13"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（8）投标保证缴纳证明（投标人采用投标保证金的</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附建</w:t>
      </w:r>
      <w:r>
        <w:rPr>
          <w:rFonts w:hint="eastAsia" w:ascii="宋体" w:hAnsi="宋体" w:eastAsia="宋体" w:cs="宋体"/>
          <w:color w:val="auto"/>
          <w:spacing w:val="1"/>
          <w:sz w:val="24"/>
          <w:szCs w:val="24"/>
          <w:highlight w:val="none"/>
        </w:rPr>
        <w:t>设工程交易系统《缴</w:t>
      </w:r>
      <w:r>
        <w:rPr>
          <w:rFonts w:hint="eastAsia" w:ascii="宋体" w:hAnsi="宋体" w:eastAsia="宋体" w:cs="宋体"/>
          <w:color w:val="auto"/>
          <w:spacing w:val="-1"/>
          <w:sz w:val="24"/>
          <w:szCs w:val="24"/>
          <w:highlight w:val="none"/>
        </w:rPr>
        <w:t>纳投标保证金通知书》页面截图和银行转账单彩色扫描件；采</w:t>
      </w:r>
      <w:r>
        <w:rPr>
          <w:rFonts w:hint="eastAsia" w:ascii="宋体" w:hAnsi="宋体" w:eastAsia="宋体" w:cs="宋体"/>
          <w:color w:val="auto"/>
          <w:spacing w:val="-2"/>
          <w:sz w:val="24"/>
          <w:szCs w:val="24"/>
          <w:highlight w:val="none"/>
        </w:rPr>
        <w:t>用投标保证担保的，附银行保函彩色扫描件；采用投标保证保险的，附电子保单和</w:t>
      </w:r>
      <w:r>
        <w:rPr>
          <w:rFonts w:hint="eastAsia" w:ascii="宋体" w:hAnsi="宋体" w:eastAsia="宋体" w:cs="宋体"/>
          <w:b/>
          <w:bCs/>
          <w:color w:val="auto"/>
          <w:spacing w:val="-2"/>
          <w:sz w:val="24"/>
          <w:szCs w:val="24"/>
          <w:highlight w:val="none"/>
        </w:rPr>
        <w:t>《韶关市公共资源交易一</w:t>
      </w:r>
      <w:r>
        <w:rPr>
          <w:rFonts w:hint="eastAsia" w:ascii="宋体" w:hAnsi="宋体" w:eastAsia="宋体" w:cs="宋体"/>
          <w:b/>
          <w:bCs/>
          <w:color w:val="auto"/>
          <w:spacing w:val="-3"/>
          <w:sz w:val="24"/>
          <w:szCs w:val="24"/>
          <w:highlight w:val="none"/>
        </w:rPr>
        <w:t>体化平台保证金缴纳信息》页面截图</w:t>
      </w:r>
      <w:r>
        <w:rPr>
          <w:rFonts w:hint="eastAsia" w:ascii="宋体" w:hAnsi="宋体" w:eastAsia="宋体" w:cs="宋体"/>
          <w:color w:val="auto"/>
          <w:spacing w:val="4"/>
          <w:sz w:val="24"/>
          <w:szCs w:val="24"/>
          <w:highlight w:val="none"/>
        </w:rPr>
        <w:t>）；</w:t>
      </w:r>
    </w:p>
    <w:p w14:paraId="40AC9E0E">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（9）《投标人基本情况表》（格式七）及所附资料；</w:t>
      </w:r>
    </w:p>
    <w:p w14:paraId="2EC3224D">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（10）《项目经理简历表》（格式八）及所附资料；</w:t>
      </w:r>
    </w:p>
    <w:p w14:paraId="6CF23199">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（11）《项目经理任职声明》（格式九）；</w:t>
      </w:r>
    </w:p>
    <w:p w14:paraId="00856C77">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（12）《项目技术负责人简历表》（格式十）及所附资料；</w:t>
      </w:r>
    </w:p>
    <w:p w14:paraId="1E4E5FEE">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（13）《项</w:t>
      </w:r>
      <w:bookmarkStart w:id="47" w:name="OLE_LINK7"/>
      <w:r>
        <w:rPr>
          <w:rFonts w:hint="eastAsia" w:ascii="宋体" w:hAnsi="宋体" w:eastAsia="宋体" w:cs="宋体"/>
          <w:color w:val="auto"/>
          <w:spacing w:val="-2"/>
          <w:sz w:val="24"/>
          <w:szCs w:val="24"/>
          <w:highlight w:val="none"/>
        </w:rPr>
        <w:t>目管理机构组成表》（格式十一）及</w:t>
      </w:r>
      <w:bookmarkEnd w:id="47"/>
      <w:r>
        <w:rPr>
          <w:rFonts w:hint="eastAsia" w:ascii="宋体" w:hAnsi="宋体" w:eastAsia="宋体" w:cs="宋体"/>
          <w:color w:val="auto"/>
          <w:spacing w:val="-2"/>
          <w:sz w:val="24"/>
          <w:szCs w:val="24"/>
          <w:highlight w:val="none"/>
        </w:rPr>
        <w:t>所附资料；</w:t>
      </w:r>
    </w:p>
    <w:p w14:paraId="75A6A669">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w:t>
      </w:r>
      <w:r>
        <w:rPr>
          <w:rFonts w:hint="eastAsia" w:ascii="宋体" w:hAnsi="宋体" w:eastAsia="宋体" w:cs="宋体"/>
          <w:color w:val="auto"/>
          <w:spacing w:val="-2"/>
          <w:sz w:val="24"/>
          <w:szCs w:val="24"/>
          <w:highlight w:val="none"/>
          <w:lang w:val="en-US" w:eastAsia="zh-CN"/>
        </w:rPr>
        <w:t>4</w:t>
      </w:r>
      <w:r>
        <w:rPr>
          <w:rFonts w:hint="eastAsia" w:ascii="宋体" w:hAnsi="宋体" w:eastAsia="宋体" w:cs="宋体"/>
          <w:color w:val="auto"/>
          <w:spacing w:val="-2"/>
          <w:sz w:val="24"/>
          <w:szCs w:val="24"/>
          <w:highlight w:val="none"/>
        </w:rPr>
        <w:t>）本节第 15.5.1目“评标方法 ”要求提供的评审资料；</w:t>
      </w:r>
    </w:p>
    <w:p w14:paraId="428A3BF4">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w:t>
      </w:r>
      <w:r>
        <w:rPr>
          <w:rFonts w:hint="eastAsia" w:ascii="宋体" w:hAnsi="宋体" w:eastAsia="宋体" w:cs="宋体"/>
          <w:color w:val="auto"/>
          <w:spacing w:val="-2"/>
          <w:sz w:val="24"/>
          <w:szCs w:val="24"/>
          <w:highlight w:val="none"/>
          <w:lang w:val="en-US" w:eastAsia="zh-CN"/>
        </w:rPr>
        <w:t>5</w:t>
      </w:r>
      <w:r>
        <w:rPr>
          <w:rFonts w:hint="eastAsia" w:ascii="宋体" w:hAnsi="宋体" w:eastAsia="宋体" w:cs="宋体"/>
          <w:color w:val="auto"/>
          <w:spacing w:val="-2"/>
          <w:sz w:val="24"/>
          <w:szCs w:val="24"/>
          <w:highlight w:val="none"/>
        </w:rPr>
        <w:t>）投标人认为有必要补充的其他资料。（例如投标人已经工商变更，但其企业资质证书、安全生产许可证或其员工执业资格注册证书上的企业名称未能在投标期间完成变更的书面说明和佐证材料等）</w:t>
      </w:r>
    </w:p>
    <w:p w14:paraId="7DB860BC">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10.2.2  </w:t>
      </w:r>
      <w:r>
        <w:rPr>
          <w:rFonts w:hint="eastAsia" w:ascii="宋体" w:hAnsi="宋体" w:eastAsia="宋体" w:cs="宋体"/>
          <w:color w:val="auto"/>
          <w:spacing w:val="-2"/>
          <w:sz w:val="24"/>
          <w:szCs w:val="24"/>
          <w:highlight w:val="none"/>
        </w:rPr>
        <w:t>本节第 10.2.1目中所列出的商务标书组成内容中，第（1）至第（13）项所有投标人均应提供，但非联合体投标的，无需提供第（7）项内容。</w:t>
      </w:r>
    </w:p>
    <w:p w14:paraId="67FD9C5A">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10.2.3 </w:t>
      </w:r>
      <w:r>
        <w:rPr>
          <w:rFonts w:hint="eastAsia" w:ascii="宋体" w:hAnsi="宋体" w:eastAsia="宋体" w:cs="宋体"/>
          <w:color w:val="auto"/>
          <w:spacing w:val="-2"/>
          <w:sz w:val="24"/>
          <w:szCs w:val="24"/>
          <w:highlight w:val="none"/>
        </w:rPr>
        <w:t>商务标书的组成内容按本节第10.2.1目规定的顺序整理、编排后，逐页（页码起始从封面开始）连续标记页码。</w:t>
      </w:r>
    </w:p>
    <w:p w14:paraId="0835CA0F">
      <w:pPr>
        <w:pStyle w:val="6"/>
        <w:keepNext w:val="0"/>
        <w:keepLines w:val="0"/>
        <w:pageBreakBefore w:val="0"/>
        <w:widowControl w:val="0"/>
        <w:kinsoku/>
        <w:wordWrap w:val="0"/>
        <w:overflowPunct/>
        <w:topLinePunct/>
        <w:autoSpaceDE/>
        <w:autoSpaceDN/>
        <w:bidi w:val="0"/>
        <w:adjustRightInd w:val="0"/>
        <w:snapToGrid w:val="0"/>
        <w:spacing w:line="360" w:lineRule="auto"/>
        <w:ind w:right="84" w:rightChars="40"/>
        <w:rPr>
          <w:rFonts w:hint="eastAsia" w:ascii="宋体" w:hAnsi="宋体" w:eastAsia="宋体" w:cs="宋体"/>
          <w:color w:val="auto"/>
          <w:highlight w:val="none"/>
        </w:rPr>
      </w:pPr>
    </w:p>
    <w:p w14:paraId="15C758F4">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9"/>
        <w:rPr>
          <w:rFonts w:hint="eastAsia" w:ascii="宋体" w:hAnsi="宋体" w:eastAsia="宋体" w:cs="宋体"/>
          <w:color w:val="auto"/>
          <w:sz w:val="24"/>
          <w:szCs w:val="24"/>
          <w:highlight w:val="none"/>
        </w:rPr>
      </w:pPr>
      <w:bookmarkStart w:id="48" w:name="_Toc29370"/>
      <w:bookmarkStart w:id="49" w:name="_Toc10602"/>
      <w:r>
        <w:rPr>
          <w:rFonts w:hint="eastAsia" w:ascii="宋体" w:hAnsi="宋体" w:eastAsia="宋体" w:cs="宋体"/>
          <w:b/>
          <w:bCs/>
          <w:color w:val="auto"/>
          <w:spacing w:val="-2"/>
          <w:sz w:val="24"/>
          <w:szCs w:val="24"/>
          <w:highlight w:val="none"/>
        </w:rPr>
        <w:t xml:space="preserve">10.3  </w:t>
      </w:r>
      <w:r>
        <w:rPr>
          <w:rFonts w:hint="eastAsia" w:ascii="宋体" w:hAnsi="宋体" w:eastAsia="宋体" w:cs="宋体"/>
          <w:color w:val="auto"/>
          <w:spacing w:val="-2"/>
          <w:sz w:val="24"/>
          <w:szCs w:val="24"/>
          <w:highlight w:val="none"/>
        </w:rPr>
        <w:t>经济标书的编制要求</w:t>
      </w:r>
      <w:bookmarkEnd w:id="48"/>
      <w:bookmarkEnd w:id="49"/>
    </w:p>
    <w:p w14:paraId="3BD6F256">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10.3.1  </w:t>
      </w:r>
      <w:r>
        <w:rPr>
          <w:rFonts w:hint="eastAsia" w:ascii="宋体" w:hAnsi="宋体" w:eastAsia="宋体" w:cs="宋体"/>
          <w:color w:val="auto"/>
          <w:spacing w:val="-1"/>
          <w:sz w:val="24"/>
          <w:szCs w:val="24"/>
          <w:highlight w:val="none"/>
        </w:rPr>
        <w:t>经济标书包括以下内容：</w:t>
      </w:r>
    </w:p>
    <w:p w14:paraId="12820C54">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（1）封面（格式一）；</w:t>
      </w:r>
    </w:p>
    <w:p w14:paraId="29EA44B7">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 目录；</w:t>
      </w:r>
    </w:p>
    <w:p w14:paraId="4AD37ED1">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（3）《投标总价》；</w:t>
      </w:r>
    </w:p>
    <w:p w14:paraId="58AC3AEE">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说明：《投标总价》的格式按照《</w:t>
      </w:r>
      <w:r>
        <w:rPr>
          <w:rFonts w:hint="eastAsia" w:ascii="宋体" w:hAnsi="宋体" w:eastAsia="宋体" w:cs="宋体"/>
          <w:color w:val="auto"/>
          <w:spacing w:val="-2"/>
          <w:sz w:val="24"/>
          <w:szCs w:val="24"/>
          <w:highlight w:val="none"/>
          <w:lang w:eastAsia="zh-CN"/>
        </w:rPr>
        <w:t>建设工程工程量清单计价标准</w:t>
      </w:r>
      <w:r>
        <w:rPr>
          <w:rFonts w:hint="eastAsia" w:ascii="宋体" w:hAnsi="宋体" w:eastAsia="宋体" w:cs="宋体"/>
          <w:color w:val="auto"/>
          <w:spacing w:val="-2"/>
          <w:sz w:val="24"/>
          <w:szCs w:val="24"/>
          <w:highlight w:val="none"/>
        </w:rPr>
        <w:t>》（GB/T50500-2024）执行，并应满足以下要求：</w:t>
      </w:r>
    </w:p>
    <w:p w14:paraId="29C23DF3">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4"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a</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color w:val="auto"/>
          <w:spacing w:val="-2"/>
          <w:sz w:val="24"/>
          <w:szCs w:val="24"/>
          <w:highlight w:val="none"/>
        </w:rPr>
        <w:t>．《投标总价》后应附编制人的造价工程师注册证书彩色扫描件（须扫描至变更注册栏，</w:t>
      </w:r>
      <w:r>
        <w:rPr>
          <w:rFonts w:hint="eastAsia" w:ascii="宋体" w:hAnsi="宋体" w:eastAsia="宋体" w:cs="宋体"/>
          <w:b/>
          <w:bCs/>
          <w:color w:val="auto"/>
          <w:spacing w:val="-2"/>
          <w:sz w:val="24"/>
          <w:szCs w:val="24"/>
          <w:highlight w:val="none"/>
        </w:rPr>
        <w:t>一级造价师或二级造价师均可提供电子证书</w:t>
      </w:r>
      <w:r>
        <w:rPr>
          <w:rFonts w:hint="eastAsia" w:ascii="宋体" w:hAnsi="宋体" w:eastAsia="宋体" w:cs="宋体"/>
          <w:color w:val="auto"/>
          <w:spacing w:val="-2"/>
          <w:sz w:val="24"/>
          <w:szCs w:val="24"/>
          <w:highlight w:val="none"/>
        </w:rPr>
        <w:t>）；投标人委托造价咨询单位编制《投标总价》的，在该页“投标人 ”栏目加盖造价</w:t>
      </w:r>
      <w:r>
        <w:rPr>
          <w:rFonts w:hint="eastAsia" w:ascii="宋体" w:hAnsi="宋体" w:eastAsia="宋体" w:cs="宋体"/>
          <w:color w:val="auto"/>
          <w:spacing w:val="-7"/>
          <w:sz w:val="24"/>
          <w:szCs w:val="24"/>
          <w:highlight w:val="none"/>
        </w:rPr>
        <w:t>咨询人公章，</w:t>
      </w:r>
      <w:r>
        <w:rPr>
          <w:rFonts w:hint="eastAsia" w:ascii="宋体" w:hAnsi="宋体" w:eastAsia="宋体" w:cs="宋体"/>
          <w:color w:val="auto"/>
          <w:spacing w:val="-1"/>
          <w:sz w:val="24"/>
          <w:szCs w:val="24"/>
          <w:highlight w:val="none"/>
        </w:rPr>
        <w:t>并在该页后附造价咨询人的营业执照副本彩色扫描件。</w:t>
      </w:r>
    </w:p>
    <w:p w14:paraId="0C4BBE75">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b.  </w:t>
      </w:r>
      <w:r>
        <w:rPr>
          <w:rFonts w:hint="eastAsia" w:ascii="宋体" w:hAnsi="宋体" w:eastAsia="宋体" w:cs="宋体"/>
          <w:color w:val="auto"/>
          <w:spacing w:val="2"/>
          <w:sz w:val="24"/>
          <w:szCs w:val="24"/>
          <w:highlight w:val="none"/>
        </w:rPr>
        <w:t>投标人认为有必要补充的其他资料（例如关于投标总价下浮率超过</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
          <w:sz w:val="24"/>
          <w:szCs w:val="24"/>
          <w:highlight w:val="none"/>
        </w:rPr>
        <w:t>15%的书</w:t>
      </w:r>
      <w:r>
        <w:rPr>
          <w:rFonts w:hint="eastAsia" w:ascii="宋体" w:hAnsi="宋体" w:eastAsia="宋体" w:cs="宋体"/>
          <w:color w:val="auto"/>
          <w:spacing w:val="-2"/>
          <w:sz w:val="24"/>
          <w:szCs w:val="24"/>
          <w:highlight w:val="none"/>
        </w:rPr>
        <w:t>面说明和佐证材料）。</w:t>
      </w:r>
    </w:p>
    <w:p w14:paraId="3D35CD77">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10.3.2  </w:t>
      </w:r>
      <w:r>
        <w:rPr>
          <w:rFonts w:hint="eastAsia" w:ascii="宋体" w:hAnsi="宋体" w:eastAsia="宋体" w:cs="宋体"/>
          <w:color w:val="auto"/>
          <w:spacing w:val="-3"/>
          <w:sz w:val="24"/>
          <w:szCs w:val="24"/>
          <w:highlight w:val="none"/>
        </w:rPr>
        <w:t>本节第</w:t>
      </w:r>
      <w:r>
        <w:rPr>
          <w:rFonts w:hint="eastAsia" w:ascii="宋体" w:hAnsi="宋体" w:eastAsia="宋体" w:cs="宋体"/>
          <w:color w:val="auto"/>
          <w:spacing w:val="-38"/>
          <w:sz w:val="24"/>
          <w:szCs w:val="24"/>
          <w:highlight w:val="none"/>
        </w:rPr>
        <w:t xml:space="preserve"> </w:t>
      </w:r>
      <w:r>
        <w:rPr>
          <w:rFonts w:hint="eastAsia" w:ascii="宋体" w:hAnsi="宋体" w:eastAsia="宋体" w:cs="宋体"/>
          <w:b/>
          <w:bCs/>
          <w:color w:val="auto"/>
          <w:spacing w:val="-3"/>
          <w:sz w:val="24"/>
          <w:szCs w:val="24"/>
          <w:highlight w:val="none"/>
        </w:rPr>
        <w:t xml:space="preserve">10.3.1 </w:t>
      </w:r>
      <w:r>
        <w:rPr>
          <w:rFonts w:hint="eastAsia" w:ascii="宋体" w:hAnsi="宋体" w:eastAsia="宋体" w:cs="宋体"/>
          <w:color w:val="auto"/>
          <w:spacing w:val="-3"/>
          <w:sz w:val="24"/>
          <w:szCs w:val="24"/>
          <w:highlight w:val="none"/>
        </w:rPr>
        <w:t>目中所列出的经济标书组成内容中，第（1）至第（3）项所</w:t>
      </w:r>
      <w:r>
        <w:rPr>
          <w:rFonts w:hint="eastAsia" w:ascii="宋体" w:hAnsi="宋体" w:eastAsia="宋体" w:cs="宋体"/>
          <w:color w:val="auto"/>
          <w:spacing w:val="-2"/>
          <w:sz w:val="24"/>
          <w:szCs w:val="24"/>
          <w:highlight w:val="none"/>
        </w:rPr>
        <w:t>有投标人均应提供。</w:t>
      </w:r>
    </w:p>
    <w:p w14:paraId="75213B40">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0"/>
          <w:sz w:val="24"/>
          <w:szCs w:val="24"/>
          <w:highlight w:val="none"/>
        </w:rPr>
        <w:t>10.3.3</w:t>
      </w:r>
      <w:r>
        <w:rPr>
          <w:rFonts w:hint="eastAsia" w:ascii="宋体" w:hAnsi="宋体" w:eastAsia="宋体" w:cs="宋体"/>
          <w:b/>
          <w:bCs/>
          <w:color w:val="auto"/>
          <w:spacing w:val="12"/>
          <w:sz w:val="24"/>
          <w:szCs w:val="24"/>
          <w:highlight w:val="none"/>
        </w:rPr>
        <w:t xml:space="preserve"> </w:t>
      </w:r>
      <w:r>
        <w:rPr>
          <w:rFonts w:hint="eastAsia" w:ascii="宋体" w:hAnsi="宋体" w:eastAsia="宋体" w:cs="宋体"/>
          <w:color w:val="auto"/>
          <w:spacing w:val="-10"/>
          <w:sz w:val="24"/>
          <w:szCs w:val="24"/>
          <w:highlight w:val="none"/>
        </w:rPr>
        <w:t>经济标书的组成内容按本节第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w:t>
      </w:r>
      <w:r>
        <w:rPr>
          <w:rFonts w:hint="eastAsia" w:ascii="宋体" w:hAnsi="宋体" w:eastAsia="宋体" w:cs="宋体"/>
          <w:color w:val="auto"/>
          <w:spacing w:val="-11"/>
          <w:sz w:val="24"/>
          <w:szCs w:val="24"/>
          <w:highlight w:val="none"/>
        </w:rPr>
        <w:t>.3.1目规定的顺序整理、编排后，逐页（页</w:t>
      </w:r>
      <w:r>
        <w:rPr>
          <w:rFonts w:hint="eastAsia" w:ascii="宋体" w:hAnsi="宋体" w:eastAsia="宋体" w:cs="宋体"/>
          <w:color w:val="auto"/>
          <w:spacing w:val="-1"/>
          <w:sz w:val="24"/>
          <w:szCs w:val="24"/>
          <w:highlight w:val="none"/>
        </w:rPr>
        <w:t>码起始从封面开始）连续标记页码。</w:t>
      </w:r>
    </w:p>
    <w:p w14:paraId="2D763206">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9"/>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10.4  </w:t>
      </w:r>
      <w:r>
        <w:rPr>
          <w:rFonts w:hint="eastAsia" w:ascii="宋体" w:hAnsi="宋体" w:eastAsia="宋体" w:cs="宋体"/>
          <w:color w:val="auto"/>
          <w:spacing w:val="-3"/>
          <w:sz w:val="24"/>
          <w:szCs w:val="24"/>
          <w:highlight w:val="none"/>
        </w:rPr>
        <w:t>施工组织设计的编制要求</w:t>
      </w:r>
    </w:p>
    <w:p w14:paraId="1A1A2998">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10.4.1 </w:t>
      </w:r>
      <w:r>
        <w:rPr>
          <w:rFonts w:hint="eastAsia" w:ascii="宋体" w:hAnsi="宋体" w:eastAsia="宋体" w:cs="宋体"/>
          <w:color w:val="auto"/>
          <w:spacing w:val="-1"/>
          <w:sz w:val="24"/>
          <w:szCs w:val="24"/>
          <w:highlight w:val="none"/>
        </w:rPr>
        <w:t>施工组织设计的编制依据包括且不限于：</w:t>
      </w:r>
    </w:p>
    <w:p w14:paraId="6F0C36E6">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（1）招标文件及其答疑（或修改）公告；</w:t>
      </w:r>
    </w:p>
    <w:p w14:paraId="5B677E18">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（2）施工图及相关资料；</w:t>
      </w:r>
    </w:p>
    <w:p w14:paraId="4CDF36D7">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（3）施工现场情况、工程特点；</w:t>
      </w:r>
    </w:p>
    <w:p w14:paraId="0DB1DAD3">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（4）相关</w:t>
      </w:r>
      <w:r>
        <w:rPr>
          <w:rFonts w:hint="eastAsia" w:ascii="宋体" w:hAnsi="宋体" w:eastAsia="宋体" w:cs="宋体"/>
          <w:color w:val="auto"/>
          <w:spacing w:val="-2"/>
          <w:sz w:val="24"/>
          <w:szCs w:val="24"/>
          <w:highlight w:val="none"/>
          <w:lang w:eastAsia="zh-CN"/>
        </w:rPr>
        <w:t>法律法规</w:t>
      </w:r>
      <w:r>
        <w:rPr>
          <w:rFonts w:hint="eastAsia" w:ascii="宋体" w:hAnsi="宋体" w:eastAsia="宋体" w:cs="宋体"/>
          <w:color w:val="auto"/>
          <w:spacing w:val="-2"/>
          <w:sz w:val="24"/>
          <w:szCs w:val="24"/>
          <w:highlight w:val="none"/>
        </w:rPr>
        <w:t>、规定；</w:t>
      </w:r>
    </w:p>
    <w:p w14:paraId="7D96FF0B">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（5）国家、广东省、韶关市关于施工现场管理、施工工艺</w:t>
      </w:r>
      <w:r>
        <w:rPr>
          <w:rFonts w:hint="eastAsia" w:ascii="宋体" w:hAnsi="宋体" w:eastAsia="宋体" w:cs="宋体"/>
          <w:color w:val="auto"/>
          <w:spacing w:val="1"/>
          <w:sz w:val="24"/>
          <w:szCs w:val="24"/>
          <w:highlight w:val="none"/>
        </w:rPr>
        <w:t>、绿色施工、安全防</w:t>
      </w:r>
      <w:r>
        <w:rPr>
          <w:rFonts w:hint="eastAsia" w:ascii="宋体" w:hAnsi="宋体" w:eastAsia="宋体" w:cs="宋体"/>
          <w:color w:val="auto"/>
          <w:spacing w:val="-1"/>
          <w:sz w:val="24"/>
          <w:szCs w:val="24"/>
          <w:highlight w:val="none"/>
        </w:rPr>
        <w:t>护、文明施工、环境保护等方面的标准、规范、技术资料。</w:t>
      </w:r>
      <w:r>
        <w:rPr>
          <w:rFonts w:hint="eastAsia" w:ascii="宋体" w:hAnsi="宋体" w:eastAsia="宋体" w:cs="宋体"/>
          <w:color w:val="auto"/>
          <w:spacing w:val="-2"/>
          <w:sz w:val="24"/>
          <w:szCs w:val="24"/>
          <w:highlight w:val="none"/>
        </w:rPr>
        <w:t>如《广东省住房和城乡建</w:t>
      </w:r>
      <w:r>
        <w:rPr>
          <w:rFonts w:hint="eastAsia" w:ascii="宋体" w:hAnsi="宋体" w:eastAsia="宋体" w:cs="宋体"/>
          <w:color w:val="auto"/>
          <w:sz w:val="24"/>
          <w:szCs w:val="24"/>
          <w:highlight w:val="none"/>
        </w:rPr>
        <w:t>设厅绿色施工导则》《广东省建设工程施工扬尘污染防</w:t>
      </w:r>
      <w:r>
        <w:rPr>
          <w:rFonts w:hint="eastAsia" w:ascii="宋体" w:hAnsi="宋体" w:eastAsia="宋体" w:cs="宋体"/>
          <w:color w:val="auto"/>
          <w:spacing w:val="-1"/>
          <w:sz w:val="24"/>
          <w:szCs w:val="24"/>
          <w:highlight w:val="none"/>
        </w:rPr>
        <w:t>治管理办法（试行）》等；</w:t>
      </w:r>
    </w:p>
    <w:p w14:paraId="1D797AF5">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（6）企业内部标准、工法。</w:t>
      </w:r>
    </w:p>
    <w:p w14:paraId="35132FA2">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10.4.2 </w:t>
      </w:r>
      <w:r>
        <w:rPr>
          <w:rFonts w:hint="eastAsia" w:ascii="宋体" w:hAnsi="宋体" w:eastAsia="宋体" w:cs="宋体"/>
          <w:color w:val="auto"/>
          <w:spacing w:val="-1"/>
          <w:sz w:val="24"/>
          <w:szCs w:val="24"/>
          <w:highlight w:val="none"/>
        </w:rPr>
        <w:t>施工组织设计包括但不限于以下内容：</w:t>
      </w:r>
    </w:p>
    <w:p w14:paraId="4316D8C7">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14835C89">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2D244E7B">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（3）总体概述（包括施工程序总体设想及施工段划分等内容</w:t>
      </w:r>
      <w:r>
        <w:rPr>
          <w:rFonts w:hint="eastAsia" w:ascii="宋体" w:hAnsi="宋体" w:eastAsia="宋体" w:cs="宋体"/>
          <w:color w:val="auto"/>
          <w:spacing w:val="2"/>
          <w:sz w:val="24"/>
          <w:szCs w:val="24"/>
          <w:highlight w:val="none"/>
        </w:rPr>
        <w:t>）；</w:t>
      </w:r>
    </w:p>
    <w:p w14:paraId="45D84419">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（4）施工总进度计划及保证措施（包括进度管理目标；以</w:t>
      </w:r>
      <w:r>
        <w:rPr>
          <w:rFonts w:hint="eastAsia" w:ascii="宋体" w:hAnsi="宋体" w:eastAsia="宋体" w:cs="宋体"/>
          <w:color w:val="auto"/>
          <w:spacing w:val="1"/>
          <w:sz w:val="24"/>
          <w:szCs w:val="24"/>
          <w:highlight w:val="none"/>
        </w:rPr>
        <w:t>横道图或标明关键线</w:t>
      </w:r>
      <w:r>
        <w:rPr>
          <w:rFonts w:hint="eastAsia" w:ascii="宋体" w:hAnsi="宋体" w:eastAsia="宋体" w:cs="宋体"/>
          <w:color w:val="auto"/>
          <w:spacing w:val="-1"/>
          <w:sz w:val="24"/>
          <w:szCs w:val="24"/>
          <w:highlight w:val="none"/>
        </w:rPr>
        <w:t>路的网络进度计划；保障进度计划需要的人、材、机需求计划</w:t>
      </w:r>
      <w:r>
        <w:rPr>
          <w:rFonts w:hint="eastAsia" w:ascii="宋体" w:hAnsi="宋体" w:eastAsia="宋体" w:cs="宋体"/>
          <w:color w:val="auto"/>
          <w:spacing w:val="-2"/>
          <w:sz w:val="24"/>
          <w:szCs w:val="24"/>
          <w:highlight w:val="none"/>
        </w:rPr>
        <w:t>及保证措施；违约责任承诺等内容</w:t>
      </w:r>
      <w:r>
        <w:rPr>
          <w:rFonts w:hint="eastAsia" w:ascii="宋体" w:hAnsi="宋体" w:eastAsia="宋体" w:cs="宋体"/>
          <w:color w:val="auto"/>
          <w:sz w:val="24"/>
          <w:szCs w:val="24"/>
          <w:highlight w:val="none"/>
        </w:rPr>
        <w:t>）；</w:t>
      </w:r>
    </w:p>
    <w:p w14:paraId="6E07A076">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（5）质量保证措施（包括质量管理目标；相应保证措施；违约责任承诺</w:t>
      </w:r>
      <w:r>
        <w:rPr>
          <w:rFonts w:hint="eastAsia" w:ascii="宋体" w:hAnsi="宋体" w:eastAsia="宋体" w:cs="宋体"/>
          <w:color w:val="auto"/>
          <w:spacing w:val="-6"/>
          <w:sz w:val="24"/>
          <w:szCs w:val="24"/>
          <w:highlight w:val="none"/>
        </w:rPr>
        <w:t>等内容</w:t>
      </w:r>
      <w:r>
        <w:rPr>
          <w:rFonts w:hint="eastAsia" w:ascii="宋体" w:hAnsi="宋体" w:eastAsia="宋体" w:cs="宋体"/>
          <w:color w:val="auto"/>
          <w:spacing w:val="-62"/>
          <w:w w:val="97"/>
          <w:sz w:val="24"/>
          <w:szCs w:val="24"/>
          <w:highlight w:val="none"/>
        </w:rPr>
        <w:t>）；</w:t>
      </w:r>
    </w:p>
    <w:p w14:paraId="52A50F73">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（6）施工技术措施（包括关键施工技术、工艺及工程项目</w:t>
      </w:r>
      <w:r>
        <w:rPr>
          <w:rFonts w:hint="eastAsia" w:ascii="宋体" w:hAnsi="宋体" w:eastAsia="宋体" w:cs="宋体"/>
          <w:color w:val="auto"/>
          <w:spacing w:val="1"/>
          <w:sz w:val="24"/>
          <w:szCs w:val="24"/>
          <w:highlight w:val="none"/>
        </w:rPr>
        <w:t>实施的重点、难点分</w:t>
      </w:r>
      <w:r>
        <w:rPr>
          <w:rFonts w:hint="eastAsia" w:ascii="宋体" w:hAnsi="宋体" w:eastAsia="宋体" w:cs="宋体"/>
          <w:color w:val="auto"/>
          <w:spacing w:val="-1"/>
          <w:sz w:val="24"/>
          <w:szCs w:val="24"/>
          <w:highlight w:val="none"/>
        </w:rPr>
        <w:t>析和解决方案；新技术应用与承诺等内容</w:t>
      </w:r>
      <w:r>
        <w:rPr>
          <w:rFonts w:hint="eastAsia" w:ascii="宋体" w:hAnsi="宋体" w:eastAsia="宋体" w:cs="宋体"/>
          <w:color w:val="auto"/>
          <w:spacing w:val="2"/>
          <w:sz w:val="24"/>
          <w:szCs w:val="24"/>
          <w:highlight w:val="none"/>
        </w:rPr>
        <w:t>）；</w:t>
      </w:r>
    </w:p>
    <w:p w14:paraId="5D6016BA">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9"/>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（7）绿色施工、安全防护、文明施工措施计划应对建设单位组织的勘察设计等单位在施工招标文件中列出的危大工程清单</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详见格式十三</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进行投标文件回应，如有</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3"/>
          <w:sz w:val="24"/>
          <w:szCs w:val="24"/>
          <w:highlight w:val="none"/>
        </w:rPr>
        <w:t>；</w:t>
      </w:r>
    </w:p>
    <w:p w14:paraId="386DD151">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（8）施工现场总平面布置（</w:t>
      </w:r>
      <w:bookmarkStart w:id="50" w:name="OLE_LINK8"/>
      <w:r>
        <w:rPr>
          <w:rFonts w:hint="eastAsia" w:ascii="宋体" w:hAnsi="宋体" w:eastAsia="宋体" w:cs="宋体"/>
          <w:color w:val="auto"/>
          <w:spacing w:val="2"/>
          <w:sz w:val="24"/>
          <w:szCs w:val="24"/>
          <w:highlight w:val="none"/>
        </w:rPr>
        <w:t>投标人应递交一份施工现场总</w:t>
      </w:r>
      <w:r>
        <w:rPr>
          <w:rFonts w:hint="eastAsia" w:ascii="宋体" w:hAnsi="宋体" w:eastAsia="宋体" w:cs="宋体"/>
          <w:color w:val="auto"/>
          <w:spacing w:val="1"/>
          <w:sz w:val="24"/>
          <w:szCs w:val="24"/>
          <w:highlight w:val="none"/>
        </w:rPr>
        <w:t>平面布置图，绘出现</w:t>
      </w:r>
      <w:r>
        <w:rPr>
          <w:rFonts w:hint="eastAsia" w:ascii="宋体" w:hAnsi="宋体" w:eastAsia="宋体" w:cs="宋体"/>
          <w:color w:val="auto"/>
          <w:spacing w:val="-1"/>
          <w:sz w:val="24"/>
          <w:szCs w:val="24"/>
          <w:highlight w:val="none"/>
        </w:rPr>
        <w:t>场临时设施布置图表并附文字说明，说明临时设施、加工车间、</w:t>
      </w:r>
      <w:r>
        <w:rPr>
          <w:rFonts w:hint="eastAsia" w:ascii="宋体" w:hAnsi="宋体" w:eastAsia="宋体" w:cs="宋体"/>
          <w:color w:val="auto"/>
          <w:spacing w:val="-2"/>
          <w:sz w:val="24"/>
          <w:szCs w:val="24"/>
          <w:highlight w:val="none"/>
        </w:rPr>
        <w:t>现场办公、设备及仓</w:t>
      </w:r>
      <w:r>
        <w:rPr>
          <w:rFonts w:hint="eastAsia" w:ascii="宋体" w:hAnsi="宋体" w:eastAsia="宋体" w:cs="宋体"/>
          <w:color w:val="auto"/>
          <w:spacing w:val="-1"/>
          <w:sz w:val="24"/>
          <w:szCs w:val="24"/>
          <w:highlight w:val="none"/>
        </w:rPr>
        <w:t>储、供电、供水、卫生、生活、道路、消防等设施的情况和布置</w:t>
      </w:r>
      <w:bookmarkEnd w:id="50"/>
      <w:r>
        <w:rPr>
          <w:rFonts w:hint="eastAsia" w:ascii="宋体" w:hAnsi="宋体" w:eastAsia="宋体" w:cs="宋体"/>
          <w:color w:val="auto"/>
          <w:spacing w:val="9"/>
          <w:sz w:val="24"/>
          <w:szCs w:val="24"/>
          <w:highlight w:val="none"/>
        </w:rPr>
        <w:t>）；</w:t>
      </w:r>
    </w:p>
    <w:p w14:paraId="59B5273E">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（9）项目管理机构。</w:t>
      </w:r>
    </w:p>
    <w:p w14:paraId="5B89F80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（10）投标人认为有必要补充的其他内容（例如对总包管理的认识以及对专业分</w:t>
      </w:r>
      <w:r>
        <w:rPr>
          <w:rFonts w:hint="eastAsia" w:ascii="宋体" w:hAnsi="宋体" w:eastAsia="宋体" w:cs="宋体"/>
          <w:color w:val="auto"/>
          <w:spacing w:val="-1"/>
          <w:sz w:val="24"/>
          <w:szCs w:val="24"/>
          <w:highlight w:val="none"/>
        </w:rPr>
        <w:t>包工程的管理、协调、配合、服务方案）。</w:t>
      </w:r>
    </w:p>
    <w:p w14:paraId="6018CC7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4"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10.4.3  </w:t>
      </w:r>
      <w:r>
        <w:rPr>
          <w:rFonts w:hint="eastAsia" w:ascii="宋体" w:hAnsi="宋体" w:eastAsia="宋体" w:cs="宋体"/>
          <w:color w:val="auto"/>
          <w:spacing w:val="-2"/>
          <w:sz w:val="24"/>
          <w:szCs w:val="24"/>
          <w:highlight w:val="none"/>
        </w:rPr>
        <w:t>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2"/>
          <w:sz w:val="24"/>
          <w:szCs w:val="24"/>
          <w:highlight w:val="none"/>
        </w:rPr>
        <w:t>10.4.2</w:t>
      </w:r>
      <w:r>
        <w:rPr>
          <w:rFonts w:hint="eastAsia" w:ascii="宋体" w:hAnsi="宋体" w:eastAsia="宋体" w:cs="宋体"/>
          <w:color w:val="auto"/>
          <w:spacing w:val="-2"/>
          <w:sz w:val="24"/>
          <w:szCs w:val="24"/>
          <w:highlight w:val="none"/>
        </w:rPr>
        <w:t>目中所列出</w:t>
      </w:r>
      <w:r>
        <w:rPr>
          <w:rFonts w:hint="eastAsia" w:ascii="宋体" w:hAnsi="宋体" w:eastAsia="宋体" w:cs="宋体"/>
          <w:color w:val="auto"/>
          <w:spacing w:val="-3"/>
          <w:sz w:val="24"/>
          <w:szCs w:val="24"/>
          <w:highlight w:val="none"/>
        </w:rPr>
        <w:t>的施工组织设计组成内容中，第（1）至第（9）</w:t>
      </w:r>
      <w:r>
        <w:rPr>
          <w:rFonts w:hint="eastAsia" w:ascii="宋体" w:hAnsi="宋体" w:eastAsia="宋体" w:cs="宋体"/>
          <w:color w:val="auto"/>
          <w:spacing w:val="-2"/>
          <w:sz w:val="24"/>
          <w:szCs w:val="24"/>
          <w:highlight w:val="none"/>
        </w:rPr>
        <w:t>项所有投标人均应提供。</w:t>
      </w:r>
    </w:p>
    <w:p w14:paraId="49C4567F">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62" w:firstLineChars="200"/>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5"/>
          <w:sz w:val="24"/>
          <w:szCs w:val="24"/>
          <w:highlight w:val="none"/>
        </w:rPr>
        <w:t xml:space="preserve">10.4.4 </w:t>
      </w:r>
      <w:r>
        <w:rPr>
          <w:rFonts w:hint="eastAsia" w:ascii="宋体" w:hAnsi="宋体" w:eastAsia="宋体" w:cs="宋体"/>
          <w:color w:val="auto"/>
          <w:spacing w:val="-5"/>
          <w:sz w:val="24"/>
          <w:szCs w:val="24"/>
          <w:highlight w:val="none"/>
        </w:rPr>
        <w:t>施工组织设计的组成内容按本节第10.4.2目规定的顺序整理、编排后，逐</w:t>
      </w:r>
      <w:r>
        <w:rPr>
          <w:rFonts w:hint="eastAsia" w:ascii="宋体" w:hAnsi="宋体" w:eastAsia="宋体" w:cs="宋体"/>
          <w:color w:val="auto"/>
          <w:spacing w:val="-1"/>
          <w:sz w:val="24"/>
          <w:szCs w:val="24"/>
          <w:highlight w:val="none"/>
        </w:rPr>
        <w:t>页（页码起始从封面开始）连续标记页码。</w:t>
      </w:r>
    </w:p>
    <w:p w14:paraId="35CB49F2">
      <w:pPr>
        <w:keepNext w:val="0"/>
        <w:keepLines w:val="0"/>
        <w:pageBreakBefore w:val="0"/>
        <w:widowControl w:val="0"/>
        <w:kinsoku/>
        <w:wordWrap w:val="0"/>
        <w:overflowPunct/>
        <w:topLinePunct/>
        <w:autoSpaceDE/>
        <w:autoSpaceDN/>
        <w:bidi w:val="0"/>
        <w:adjustRightInd w:val="0"/>
        <w:snapToGrid w:val="0"/>
        <w:spacing w:line="360" w:lineRule="auto"/>
        <w:ind w:right="84" w:rightChars="40"/>
        <w:outlineLvl w:val="9"/>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lang w:eastAsia="zh-CN"/>
        </w:rPr>
        <w:t xml:space="preserve">    </w:t>
      </w:r>
      <w:r>
        <w:rPr>
          <w:rFonts w:hint="eastAsia" w:ascii="宋体" w:hAnsi="宋体" w:eastAsia="宋体" w:cs="宋体"/>
          <w:b/>
          <w:bCs/>
          <w:color w:val="auto"/>
          <w:spacing w:val="-1"/>
          <w:sz w:val="24"/>
          <w:szCs w:val="24"/>
          <w:highlight w:val="none"/>
        </w:rPr>
        <w:t>10.4.5</w:t>
      </w:r>
      <w:bookmarkStart w:id="51" w:name="OLE_LINK9"/>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施工组织设计的正文不得超过</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u w:val="single"/>
          <w:lang w:val="en-US" w:eastAsia="zh-CN"/>
        </w:rPr>
        <w:t>500</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rPr>
        <w:t>页</w:t>
      </w:r>
      <w:r>
        <w:rPr>
          <w:rFonts w:hint="eastAsia" w:ascii="宋体" w:hAnsi="宋体" w:eastAsia="宋体" w:cs="宋体"/>
          <w:color w:val="auto"/>
          <w:spacing w:val="-1"/>
          <w:sz w:val="24"/>
          <w:szCs w:val="24"/>
          <w:highlight w:val="none"/>
          <w:lang w:eastAsia="zh-CN"/>
        </w:rPr>
        <w:t>。</w:t>
      </w:r>
      <w:bookmarkEnd w:id="51"/>
      <w:bookmarkStart w:id="52" w:name="bookmark121"/>
      <w:bookmarkEnd w:id="52"/>
    </w:p>
    <w:p w14:paraId="7E1D02FD">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2"/>
        <w:rPr>
          <w:rFonts w:hint="eastAsia" w:ascii="宋体" w:hAnsi="宋体" w:eastAsia="宋体" w:cs="宋体"/>
          <w:color w:val="auto"/>
          <w:sz w:val="24"/>
          <w:szCs w:val="24"/>
          <w:highlight w:val="none"/>
        </w:rPr>
      </w:pPr>
      <w:bookmarkStart w:id="53" w:name="_Toc21729"/>
      <w:bookmarkStart w:id="54" w:name="_Toc21936"/>
      <w:r>
        <w:rPr>
          <w:rFonts w:hint="eastAsia" w:ascii="宋体" w:hAnsi="宋体" w:eastAsia="宋体" w:cs="宋体"/>
          <w:b/>
          <w:bCs/>
          <w:color w:val="auto"/>
          <w:spacing w:val="-9"/>
          <w:sz w:val="24"/>
          <w:szCs w:val="24"/>
          <w:highlight w:val="none"/>
        </w:rPr>
        <w:t>11.</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color w:val="auto"/>
          <w:spacing w:val="-9"/>
          <w:sz w:val="24"/>
          <w:szCs w:val="24"/>
          <w:highlight w:val="none"/>
        </w:rPr>
        <w:t>电子投标：</w:t>
      </w:r>
      <w:bookmarkEnd w:id="53"/>
      <w:bookmarkEnd w:id="54"/>
    </w:p>
    <w:p w14:paraId="11ADACB4">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11.1  </w:t>
      </w:r>
      <w:r>
        <w:rPr>
          <w:rFonts w:hint="eastAsia" w:ascii="宋体" w:hAnsi="宋体" w:eastAsia="宋体" w:cs="宋体"/>
          <w:color w:val="auto"/>
          <w:spacing w:val="-3"/>
          <w:sz w:val="24"/>
          <w:szCs w:val="24"/>
          <w:highlight w:val="none"/>
        </w:rPr>
        <w:t>在建设工程交易系统上传加盖了电子印章的投标文件、录入相关信息及标书</w:t>
      </w:r>
      <w:r>
        <w:rPr>
          <w:rFonts w:hint="eastAsia" w:ascii="宋体" w:hAnsi="宋体" w:eastAsia="宋体" w:cs="宋体"/>
          <w:color w:val="auto"/>
          <w:spacing w:val="2"/>
          <w:sz w:val="24"/>
          <w:szCs w:val="24"/>
          <w:highlight w:val="none"/>
        </w:rPr>
        <w:t>页码信息</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
          <w:sz w:val="24"/>
          <w:szCs w:val="24"/>
          <w:highlight w:val="none"/>
        </w:rPr>
        <w:t>页码起始从封面开始）并提交投标标书。提交标书为已加密投标文件。</w:t>
      </w:r>
      <w:r>
        <w:rPr>
          <w:rFonts w:hint="eastAsia" w:ascii="宋体" w:hAnsi="宋体" w:eastAsia="宋体" w:cs="宋体"/>
          <w:color w:val="auto"/>
          <w:spacing w:val="-2"/>
          <w:sz w:val="24"/>
          <w:szCs w:val="24"/>
          <w:highlight w:val="none"/>
        </w:rPr>
        <w:t>具体操作参照《韶关市公共资源建设工程交易系统</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投标人操</w:t>
      </w:r>
      <w:r>
        <w:rPr>
          <w:rFonts w:hint="eastAsia" w:ascii="宋体" w:hAnsi="宋体" w:eastAsia="宋体" w:cs="宋体"/>
          <w:color w:val="auto"/>
          <w:spacing w:val="-3"/>
          <w:sz w:val="24"/>
          <w:szCs w:val="24"/>
          <w:highlight w:val="none"/>
        </w:rPr>
        <w:t>作指南（电子评标）》。</w:t>
      </w:r>
      <w:r>
        <w:rPr>
          <w:rFonts w:hint="eastAsia" w:ascii="宋体" w:hAnsi="宋体" w:eastAsia="宋体" w:cs="宋体"/>
          <w:color w:val="auto"/>
          <w:spacing w:val="-1"/>
          <w:sz w:val="24"/>
          <w:szCs w:val="24"/>
          <w:highlight w:val="none"/>
        </w:rPr>
        <w:t>本项目评标采用全流程电子化进行招标投标（投标人应根据</w:t>
      </w:r>
      <w:r>
        <w:rPr>
          <w:rFonts w:hint="eastAsia" w:ascii="宋体" w:hAnsi="宋体" w:eastAsia="宋体" w:cs="宋体"/>
          <w:color w:val="auto"/>
          <w:spacing w:val="-2"/>
          <w:sz w:val="24"/>
          <w:szCs w:val="24"/>
          <w:highlight w:val="none"/>
        </w:rPr>
        <w:t>韶关市公共资源建设工程</w:t>
      </w:r>
      <w:r>
        <w:rPr>
          <w:rFonts w:hint="eastAsia" w:ascii="宋体" w:hAnsi="宋体" w:eastAsia="宋体" w:cs="宋体"/>
          <w:color w:val="auto"/>
          <w:spacing w:val="-1"/>
          <w:sz w:val="24"/>
          <w:szCs w:val="24"/>
          <w:highlight w:val="none"/>
        </w:rPr>
        <w:t>交易系统进行编辑投标相关内容、按招标文件电子投标要求</w:t>
      </w:r>
      <w:r>
        <w:rPr>
          <w:rFonts w:hint="eastAsia" w:ascii="宋体" w:hAnsi="宋体" w:eastAsia="宋体" w:cs="宋体"/>
          <w:color w:val="auto"/>
          <w:spacing w:val="-2"/>
          <w:sz w:val="24"/>
          <w:szCs w:val="24"/>
          <w:highlight w:val="none"/>
        </w:rPr>
        <w:t>上传已加盖电子印章投标</w:t>
      </w:r>
      <w:r>
        <w:rPr>
          <w:rFonts w:hint="eastAsia" w:ascii="宋体" w:hAnsi="宋体" w:eastAsia="宋体" w:cs="宋体"/>
          <w:color w:val="auto"/>
          <w:spacing w:val="-1"/>
          <w:sz w:val="24"/>
          <w:szCs w:val="24"/>
          <w:highlight w:val="none"/>
        </w:rPr>
        <w:t>文件，否则将自行承担不利后果）。投标文件完成上传后，投标人应</w:t>
      </w:r>
      <w:r>
        <w:rPr>
          <w:rFonts w:hint="eastAsia" w:ascii="宋体" w:hAnsi="宋体" w:eastAsia="宋体" w:cs="宋体"/>
          <w:color w:val="auto"/>
          <w:spacing w:val="-2"/>
          <w:sz w:val="24"/>
          <w:szCs w:val="24"/>
          <w:highlight w:val="none"/>
        </w:rPr>
        <w:t>使用 CA 数字证</w:t>
      </w:r>
      <w:r>
        <w:rPr>
          <w:rFonts w:hint="eastAsia" w:ascii="宋体" w:hAnsi="宋体" w:eastAsia="宋体" w:cs="宋体"/>
          <w:color w:val="auto"/>
          <w:spacing w:val="-1"/>
          <w:sz w:val="24"/>
          <w:szCs w:val="24"/>
          <w:highlight w:val="none"/>
        </w:rPr>
        <w:t>书对投标文件进行文件加密，形成加密的投标文件并提交标书。</w:t>
      </w:r>
    </w:p>
    <w:p w14:paraId="1F264F91">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5"/>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11.2</w:t>
      </w:r>
      <w:r>
        <w:rPr>
          <w:rFonts w:hint="eastAsia" w:ascii="宋体" w:hAnsi="宋体" w:eastAsia="宋体" w:cs="宋体"/>
          <w:b/>
          <w:bCs/>
          <w:color w:val="auto"/>
          <w:spacing w:val="19"/>
          <w:sz w:val="24"/>
          <w:szCs w:val="24"/>
          <w:highlight w:val="none"/>
        </w:rPr>
        <w:t xml:space="preserve">  </w:t>
      </w:r>
      <w:r>
        <w:rPr>
          <w:rFonts w:hint="eastAsia" w:ascii="宋体" w:hAnsi="宋体" w:eastAsia="宋体" w:cs="宋体"/>
          <w:color w:val="auto"/>
          <w:spacing w:val="-4"/>
          <w:sz w:val="24"/>
          <w:szCs w:val="24"/>
          <w:highlight w:val="none"/>
        </w:rPr>
        <w:t>电子投标文件的修改、撤回：在提交投标文件截止时间前，投标人可</w:t>
      </w:r>
      <w:r>
        <w:rPr>
          <w:rFonts w:hint="eastAsia" w:ascii="宋体" w:hAnsi="宋体" w:eastAsia="宋体" w:cs="宋体"/>
          <w:color w:val="auto"/>
          <w:spacing w:val="-5"/>
          <w:sz w:val="24"/>
          <w:szCs w:val="24"/>
          <w:highlight w:val="none"/>
        </w:rPr>
        <w:t>以修改</w:t>
      </w:r>
      <w:r>
        <w:rPr>
          <w:rFonts w:hint="eastAsia" w:ascii="宋体" w:hAnsi="宋体" w:eastAsia="宋体" w:cs="宋体"/>
          <w:color w:val="auto"/>
          <w:spacing w:val="-1"/>
          <w:sz w:val="24"/>
          <w:szCs w:val="24"/>
          <w:highlight w:val="none"/>
        </w:rPr>
        <w:t>或撤回未解密的电子投标文件，并于提交投标文件截止时间</w:t>
      </w:r>
      <w:r>
        <w:rPr>
          <w:rFonts w:hint="eastAsia" w:ascii="宋体" w:hAnsi="宋体" w:eastAsia="宋体" w:cs="宋体"/>
          <w:color w:val="auto"/>
          <w:spacing w:val="-1"/>
          <w:sz w:val="24"/>
          <w:szCs w:val="24"/>
          <w:highlight w:val="none"/>
          <w:lang w:eastAsia="zh-CN"/>
        </w:rPr>
        <w:t>前</w:t>
      </w:r>
      <w:r>
        <w:rPr>
          <w:rFonts w:hint="eastAsia" w:ascii="宋体" w:hAnsi="宋体" w:eastAsia="宋体" w:cs="宋体"/>
          <w:color w:val="auto"/>
          <w:spacing w:val="-2"/>
          <w:sz w:val="24"/>
          <w:szCs w:val="24"/>
          <w:highlight w:val="none"/>
        </w:rPr>
        <w:t>重新上传修改后的电</w:t>
      </w:r>
      <w:r>
        <w:rPr>
          <w:rFonts w:hint="eastAsia" w:ascii="宋体" w:hAnsi="宋体" w:eastAsia="宋体" w:cs="宋体"/>
          <w:color w:val="auto"/>
          <w:spacing w:val="-1"/>
          <w:sz w:val="24"/>
          <w:szCs w:val="24"/>
          <w:highlight w:val="none"/>
        </w:rPr>
        <w:t>子投标文件至系统，到达投标文件提交截止时间后投标人不</w:t>
      </w:r>
      <w:r>
        <w:rPr>
          <w:rFonts w:hint="eastAsia" w:ascii="宋体" w:hAnsi="宋体" w:eastAsia="宋体" w:cs="宋体"/>
          <w:color w:val="auto"/>
          <w:spacing w:val="-2"/>
          <w:sz w:val="24"/>
          <w:szCs w:val="24"/>
          <w:highlight w:val="none"/>
        </w:rPr>
        <w:t>得撤回、补充、修改和更换投标文件。</w:t>
      </w:r>
    </w:p>
    <w:p w14:paraId="147782C6">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auto"/>
        <w:ind w:right="84" w:rightChars="40" w:firstLine="446" w:firstLineChars="200"/>
        <w:outlineLvl w:val="2"/>
        <w:rPr>
          <w:rFonts w:hint="eastAsia" w:ascii="宋体" w:hAnsi="宋体" w:eastAsia="宋体" w:cs="宋体"/>
          <w:b/>
          <w:bCs/>
          <w:color w:val="auto"/>
          <w:spacing w:val="-4"/>
          <w:sz w:val="24"/>
          <w:szCs w:val="24"/>
          <w:highlight w:val="none"/>
        </w:rPr>
      </w:pPr>
      <w:bookmarkStart w:id="55" w:name="_Toc22059"/>
      <w:r>
        <w:rPr>
          <w:rFonts w:hint="eastAsia" w:ascii="宋体" w:hAnsi="宋体" w:eastAsia="宋体" w:cs="宋体"/>
          <w:b/>
          <w:bCs/>
          <w:color w:val="auto"/>
          <w:spacing w:val="-9"/>
          <w:sz w:val="24"/>
          <w:szCs w:val="24"/>
          <w:highlight w:val="none"/>
          <w:lang w:val="en-US" w:eastAsia="zh-CN"/>
        </w:rPr>
        <w:t>12.</w:t>
      </w:r>
      <w:r>
        <w:rPr>
          <w:rFonts w:hint="eastAsia" w:ascii="宋体" w:hAnsi="宋体" w:eastAsia="宋体" w:cs="宋体"/>
          <w:b/>
          <w:bCs/>
          <w:color w:val="auto"/>
          <w:spacing w:val="22"/>
          <w:w w:val="101"/>
          <w:sz w:val="24"/>
          <w:szCs w:val="24"/>
          <w:highlight w:val="none"/>
        </w:rPr>
        <w:t xml:space="preserve"> </w:t>
      </w:r>
      <w:bookmarkStart w:id="56" w:name="_Toc29834"/>
      <w:r>
        <w:rPr>
          <w:rFonts w:hint="eastAsia" w:ascii="宋体" w:hAnsi="宋体" w:eastAsia="宋体" w:cs="宋体"/>
          <w:b/>
          <w:bCs/>
          <w:color w:val="auto"/>
          <w:spacing w:val="-4"/>
          <w:sz w:val="24"/>
          <w:szCs w:val="24"/>
          <w:highlight w:val="none"/>
        </w:rPr>
        <w:t>电子投标及投标解密失败及突发情况的补救方案</w:t>
      </w:r>
      <w:bookmarkEnd w:id="55"/>
      <w:bookmarkEnd w:id="56"/>
    </w:p>
    <w:p w14:paraId="7EBA08C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8"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12.1 </w:t>
      </w:r>
      <w:r>
        <w:rPr>
          <w:rFonts w:hint="eastAsia" w:ascii="宋体" w:hAnsi="宋体" w:eastAsia="宋体" w:cs="宋体"/>
          <w:color w:val="auto"/>
          <w:spacing w:val="-1"/>
          <w:sz w:val="24"/>
          <w:szCs w:val="24"/>
          <w:highlight w:val="none"/>
        </w:rPr>
        <w:t>按照交易平台关于全流程电子化项目的相</w:t>
      </w:r>
      <w:r>
        <w:rPr>
          <w:rFonts w:hint="eastAsia" w:ascii="宋体" w:hAnsi="宋体" w:eastAsia="宋体" w:cs="宋体"/>
          <w:color w:val="auto"/>
          <w:spacing w:val="-2"/>
          <w:sz w:val="24"/>
          <w:szCs w:val="24"/>
          <w:highlight w:val="none"/>
        </w:rPr>
        <w:t>关指南进行操作。详见：全国公共</w:t>
      </w:r>
      <w:r>
        <w:rPr>
          <w:rFonts w:hint="eastAsia" w:ascii="宋体" w:hAnsi="宋体" w:eastAsia="宋体" w:cs="宋体"/>
          <w:color w:val="auto"/>
          <w:spacing w:val="-1"/>
          <w:sz w:val="24"/>
          <w:szCs w:val="24"/>
          <w:highlight w:val="none"/>
        </w:rPr>
        <w:t>资源交易平台（广东省·韶关市</w:t>
      </w:r>
      <w:r>
        <w:rPr>
          <w:rFonts w:hint="eastAsia" w:ascii="宋体" w:hAnsi="宋体" w:eastAsia="宋体" w:cs="宋体"/>
          <w:color w:val="auto"/>
          <w:spacing w:val="-26"/>
          <w:sz w:val="24"/>
          <w:szCs w:val="24"/>
          <w:highlight w:val="none"/>
        </w:rPr>
        <w:t>）（</w:t>
      </w:r>
      <w:r>
        <w:rPr>
          <w:rFonts w:hint="eastAsia" w:ascii="宋体" w:hAnsi="宋体" w:eastAsia="宋体" w:cs="宋体"/>
          <w:color w:val="auto"/>
          <w:spacing w:val="-1"/>
          <w:sz w:val="24"/>
          <w:szCs w:val="24"/>
          <w:highlight w:val="none"/>
        </w:rPr>
        <w:t>https://y</w:t>
      </w:r>
      <w:r>
        <w:rPr>
          <w:rFonts w:hint="eastAsia" w:ascii="宋体" w:hAnsi="宋体" w:eastAsia="宋体" w:cs="宋体"/>
          <w:color w:val="auto"/>
          <w:spacing w:val="-2"/>
          <w:sz w:val="24"/>
          <w:szCs w:val="24"/>
          <w:highlight w:val="none"/>
        </w:rPr>
        <w:t>gp.gdzwfw.gov.cn/ggzy-portal/#/44</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0200/index）服务指南栏目发布的最新版操作指引。</w:t>
      </w:r>
    </w:p>
    <w:p w14:paraId="49C59ED1">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补救方案</w:t>
      </w:r>
    </w:p>
    <w:p w14:paraId="6A4F6FEE">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12.2.1  </w:t>
      </w:r>
      <w:r>
        <w:rPr>
          <w:rFonts w:hint="eastAsia" w:ascii="宋体" w:hAnsi="宋体" w:eastAsia="宋体" w:cs="宋体"/>
          <w:color w:val="auto"/>
          <w:spacing w:val="-1"/>
          <w:sz w:val="24"/>
          <w:szCs w:val="24"/>
          <w:highlight w:val="none"/>
        </w:rPr>
        <w:t>投标文件解密失败的补救方案：</w:t>
      </w:r>
    </w:p>
    <w:p w14:paraId="0CB7BC8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在规定时间内，因投标人之外原因</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指网络瘫痪、服务器损坏、交易系统故障短期无法恢复</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等导致的电子投标文件解密失败，在开标现场解密环节由代理授权后，</w:t>
      </w:r>
      <w:r>
        <w:rPr>
          <w:rFonts w:hint="eastAsia" w:ascii="宋体" w:hAnsi="宋体" w:eastAsia="宋体" w:cs="宋体"/>
          <w:color w:val="auto"/>
          <w:spacing w:val="1"/>
          <w:sz w:val="24"/>
          <w:szCs w:val="24"/>
          <w:highlight w:val="none"/>
        </w:rPr>
        <w:t>解密失败投标人可在建设工程交易系统在规定时间（代理机构授权后</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1"/>
          <w:sz w:val="24"/>
          <w:szCs w:val="24"/>
          <w:highlight w:val="none"/>
        </w:rPr>
        <w:t>30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1"/>
          <w:sz w:val="24"/>
          <w:szCs w:val="24"/>
          <w:highlight w:val="none"/>
        </w:rPr>
        <w:t>分钟内）内</w:t>
      </w:r>
      <w:bookmarkStart w:id="57" w:name="bookmark122"/>
      <w:bookmarkEnd w:id="57"/>
      <w:r>
        <w:rPr>
          <w:rFonts w:hint="eastAsia" w:ascii="宋体" w:hAnsi="宋体" w:eastAsia="宋体" w:cs="宋体"/>
          <w:color w:val="auto"/>
          <w:spacing w:val="-1"/>
          <w:sz w:val="24"/>
          <w:szCs w:val="24"/>
          <w:highlight w:val="none"/>
        </w:rPr>
        <w:t>重新提交投标文件继续开标程序。</w:t>
      </w:r>
    </w:p>
    <w:p w14:paraId="6263DD17">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12.2.2  </w:t>
      </w:r>
      <w:r>
        <w:rPr>
          <w:rFonts w:hint="eastAsia" w:ascii="宋体" w:hAnsi="宋体" w:eastAsia="宋体" w:cs="宋体"/>
          <w:color w:val="auto"/>
          <w:spacing w:val="-1"/>
          <w:sz w:val="24"/>
          <w:szCs w:val="24"/>
          <w:highlight w:val="none"/>
        </w:rPr>
        <w:t>评标时突发情况的补救方案</w:t>
      </w:r>
    </w:p>
    <w:p w14:paraId="2E0CB6D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在评标过程中，因主场或副场网络故障、电子设备或者</w:t>
      </w:r>
      <w:r>
        <w:rPr>
          <w:rFonts w:hint="eastAsia" w:ascii="宋体" w:hAnsi="宋体" w:eastAsia="宋体" w:cs="宋体"/>
          <w:color w:val="auto"/>
          <w:spacing w:val="-2"/>
          <w:sz w:val="24"/>
          <w:szCs w:val="24"/>
          <w:highlight w:val="none"/>
        </w:rPr>
        <w:t>评标系统故障，以及其他</w:t>
      </w:r>
      <w:r>
        <w:rPr>
          <w:rFonts w:hint="eastAsia" w:ascii="宋体" w:hAnsi="宋体" w:eastAsia="宋体" w:cs="宋体"/>
          <w:color w:val="auto"/>
          <w:spacing w:val="-3"/>
          <w:sz w:val="24"/>
          <w:szCs w:val="24"/>
          <w:highlight w:val="none"/>
        </w:rPr>
        <w:t>原因导致无法继续进行评标时，在</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小时以内解除故障的可继续评标，超过</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小时无</w:t>
      </w:r>
      <w:r>
        <w:rPr>
          <w:rFonts w:hint="eastAsia" w:ascii="宋体" w:hAnsi="宋体" w:eastAsia="宋体" w:cs="宋体"/>
          <w:color w:val="auto"/>
          <w:spacing w:val="-1"/>
          <w:sz w:val="24"/>
          <w:szCs w:val="24"/>
          <w:highlight w:val="none"/>
        </w:rPr>
        <w:t>法解除故障的，由招标人确定是否进行评标。如延期评标，</w:t>
      </w:r>
      <w:r>
        <w:rPr>
          <w:rFonts w:hint="eastAsia" w:ascii="宋体" w:hAnsi="宋体" w:eastAsia="宋体" w:cs="宋体"/>
          <w:color w:val="auto"/>
          <w:spacing w:val="-2"/>
          <w:sz w:val="24"/>
          <w:szCs w:val="24"/>
          <w:highlight w:val="none"/>
        </w:rPr>
        <w:t>招标人及参与评标活动的</w:t>
      </w:r>
      <w:r>
        <w:rPr>
          <w:rFonts w:hint="eastAsia" w:ascii="宋体" w:hAnsi="宋体" w:eastAsia="宋体" w:cs="宋体"/>
          <w:color w:val="auto"/>
          <w:spacing w:val="-1"/>
          <w:sz w:val="24"/>
          <w:szCs w:val="24"/>
          <w:highlight w:val="none"/>
        </w:rPr>
        <w:t>各方主体及其有关工作人员应当配合主场、副场做好招投标</w:t>
      </w:r>
      <w:r>
        <w:rPr>
          <w:rFonts w:hint="eastAsia" w:ascii="宋体" w:hAnsi="宋体" w:eastAsia="宋体" w:cs="宋体"/>
          <w:color w:val="auto"/>
          <w:spacing w:val="-2"/>
          <w:sz w:val="24"/>
          <w:szCs w:val="24"/>
          <w:highlight w:val="none"/>
        </w:rPr>
        <w:t>资料的封存和保密工作，</w:t>
      </w:r>
      <w:r>
        <w:rPr>
          <w:rFonts w:hint="eastAsia" w:ascii="宋体" w:hAnsi="宋体" w:eastAsia="宋体" w:cs="宋体"/>
          <w:color w:val="auto"/>
          <w:spacing w:val="-1"/>
          <w:sz w:val="24"/>
          <w:szCs w:val="24"/>
          <w:highlight w:val="none"/>
        </w:rPr>
        <w:t>另行组建评标委员会重新评标。原评标委员会成员应当对评</w:t>
      </w:r>
      <w:r>
        <w:rPr>
          <w:rFonts w:hint="eastAsia" w:ascii="宋体" w:hAnsi="宋体" w:eastAsia="宋体" w:cs="宋体"/>
          <w:color w:val="auto"/>
          <w:spacing w:val="-2"/>
          <w:sz w:val="24"/>
          <w:szCs w:val="24"/>
          <w:highlight w:val="none"/>
        </w:rPr>
        <w:t>标情况保密，不得对外透</w:t>
      </w:r>
      <w:r>
        <w:rPr>
          <w:rFonts w:hint="eastAsia" w:ascii="宋体" w:hAnsi="宋体" w:eastAsia="宋体" w:cs="宋体"/>
          <w:color w:val="auto"/>
          <w:spacing w:val="-1"/>
          <w:sz w:val="24"/>
          <w:szCs w:val="24"/>
          <w:highlight w:val="none"/>
        </w:rPr>
        <w:t>露与评标有关的任何信息与情况。</w:t>
      </w:r>
    </w:p>
    <w:p w14:paraId="50C98CA0">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4"/>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12.2.3  </w:t>
      </w:r>
      <w:r>
        <w:rPr>
          <w:rFonts w:hint="eastAsia" w:ascii="宋体" w:hAnsi="宋体" w:eastAsia="宋体" w:cs="宋体"/>
          <w:color w:val="auto"/>
          <w:spacing w:val="-1"/>
          <w:sz w:val="24"/>
          <w:szCs w:val="24"/>
          <w:highlight w:val="none"/>
        </w:rPr>
        <w:t>除发生上述情况外，开标评标均以投标人（联合体投标的，由联合体牵头人）通过交易平台网上递交的电子投标文件为准。</w:t>
      </w:r>
    </w:p>
    <w:p w14:paraId="7A634205">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2"/>
        <w:rPr>
          <w:rFonts w:hint="eastAsia" w:ascii="宋体" w:hAnsi="宋体" w:eastAsia="宋体" w:cs="宋体"/>
          <w:color w:val="auto"/>
          <w:sz w:val="24"/>
          <w:szCs w:val="24"/>
          <w:highlight w:val="none"/>
        </w:rPr>
      </w:pPr>
      <w:bookmarkStart w:id="58" w:name="_Toc23264"/>
      <w:bookmarkStart w:id="59" w:name="_Toc27195"/>
      <w:r>
        <w:rPr>
          <w:rFonts w:hint="eastAsia" w:ascii="宋体" w:hAnsi="宋体" w:eastAsia="宋体" w:cs="宋体"/>
          <w:b/>
          <w:bCs/>
          <w:color w:val="auto"/>
          <w:spacing w:val="-7"/>
          <w:sz w:val="24"/>
          <w:szCs w:val="24"/>
          <w:highlight w:val="none"/>
        </w:rPr>
        <w:t>13</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7"/>
          <w:sz w:val="24"/>
          <w:szCs w:val="24"/>
          <w:highlight w:val="none"/>
        </w:rPr>
        <w:t>．投标文件的提交</w:t>
      </w:r>
      <w:bookmarkEnd w:id="58"/>
      <w:bookmarkEnd w:id="59"/>
    </w:p>
    <w:p w14:paraId="26E9A4BC">
      <w:pPr>
        <w:keepNext w:val="0"/>
        <w:keepLines w:val="0"/>
        <w:pageBreakBefore w:val="0"/>
        <w:widowControl w:val="0"/>
        <w:kinsoku/>
        <w:wordWrap w:val="0"/>
        <w:overflowPunct/>
        <w:topLinePunct/>
        <w:autoSpaceDE/>
        <w:autoSpaceDN/>
        <w:bidi w:val="0"/>
        <w:adjustRightInd w:val="0"/>
        <w:snapToGrid w:val="0"/>
        <w:spacing w:line="360" w:lineRule="auto"/>
        <w:ind w:left="13" w:right="84" w:rightChars="40" w:firstLine="482"/>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 xml:space="preserve">13.1  </w:t>
      </w:r>
      <w:r>
        <w:rPr>
          <w:rFonts w:hint="eastAsia" w:ascii="宋体" w:hAnsi="宋体" w:eastAsia="宋体" w:cs="宋体"/>
          <w:color w:val="auto"/>
          <w:spacing w:val="-11"/>
          <w:sz w:val="24"/>
          <w:szCs w:val="24"/>
          <w:highlight w:val="none"/>
        </w:rPr>
        <w:t>在投标文件提交截止时间前，投标人通过全国公共资源交易平台（</w:t>
      </w:r>
      <w:r>
        <w:rPr>
          <w:rFonts w:hint="eastAsia" w:ascii="宋体" w:hAnsi="宋体" w:eastAsia="宋体" w:cs="宋体"/>
          <w:color w:val="auto"/>
          <w:spacing w:val="-12"/>
          <w:sz w:val="24"/>
          <w:szCs w:val="24"/>
          <w:highlight w:val="none"/>
        </w:rPr>
        <w:t>广东省·韶</w:t>
      </w:r>
      <w:r>
        <w:rPr>
          <w:rFonts w:hint="eastAsia" w:ascii="宋体" w:hAnsi="宋体" w:eastAsia="宋体" w:cs="宋体"/>
          <w:color w:val="auto"/>
          <w:spacing w:val="-1"/>
          <w:sz w:val="24"/>
          <w:szCs w:val="24"/>
          <w:highlight w:val="none"/>
        </w:rPr>
        <w:t>关市）提交已加密投标文件。逾期提交的电子投标文</w:t>
      </w:r>
      <w:r>
        <w:rPr>
          <w:rFonts w:hint="eastAsia" w:ascii="宋体" w:hAnsi="宋体" w:eastAsia="宋体" w:cs="宋体"/>
          <w:color w:val="auto"/>
          <w:spacing w:val="-2"/>
          <w:sz w:val="24"/>
          <w:szCs w:val="24"/>
          <w:highlight w:val="none"/>
        </w:rPr>
        <w:t>件，全国公共资源交易平台（广</w:t>
      </w:r>
      <w:r>
        <w:rPr>
          <w:rFonts w:hint="eastAsia" w:ascii="宋体" w:hAnsi="宋体" w:eastAsia="宋体" w:cs="宋体"/>
          <w:color w:val="auto"/>
          <w:spacing w:val="-9"/>
          <w:sz w:val="24"/>
          <w:szCs w:val="24"/>
          <w:highlight w:val="none"/>
        </w:rPr>
        <w:t>东省·韶关市）将予以拒收。</w:t>
      </w:r>
    </w:p>
    <w:p w14:paraId="1EA21CB3">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13.2  </w:t>
      </w:r>
      <w:r>
        <w:rPr>
          <w:rFonts w:hint="eastAsia" w:ascii="宋体" w:hAnsi="宋体" w:eastAsia="宋体" w:cs="宋体"/>
          <w:color w:val="auto"/>
          <w:spacing w:val="2"/>
          <w:sz w:val="24"/>
          <w:szCs w:val="24"/>
          <w:highlight w:val="none"/>
        </w:rPr>
        <w:t>提交时间和地点：见本章第二节“重要事项时间地点一览表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p>
    <w:p w14:paraId="6D303DB2">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8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13.3  </w:t>
      </w:r>
      <w:r>
        <w:rPr>
          <w:rFonts w:hint="eastAsia" w:ascii="宋体" w:hAnsi="宋体" w:eastAsia="宋体" w:cs="宋体"/>
          <w:color w:val="auto"/>
          <w:spacing w:val="-1"/>
          <w:sz w:val="24"/>
          <w:szCs w:val="24"/>
          <w:highlight w:val="none"/>
        </w:rPr>
        <w:t>递交时间和地点：投标人如有招标</w:t>
      </w:r>
      <w:r>
        <w:rPr>
          <w:rFonts w:hint="eastAsia" w:ascii="宋体" w:hAnsi="宋体" w:eastAsia="宋体" w:cs="宋体"/>
          <w:color w:val="auto"/>
          <w:spacing w:val="-2"/>
          <w:sz w:val="24"/>
          <w:szCs w:val="24"/>
          <w:highlight w:val="none"/>
        </w:rPr>
        <w:t>文件要求提交的用于评审的证书、证件、证明原件（附一式两份清单</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由投标人法定代表人或其委托代理人在指定的时间和</w:t>
      </w:r>
      <w:r>
        <w:rPr>
          <w:rFonts w:hint="eastAsia" w:ascii="宋体" w:hAnsi="宋体" w:eastAsia="宋体" w:cs="宋体"/>
          <w:color w:val="auto"/>
          <w:spacing w:val="-1"/>
          <w:sz w:val="24"/>
          <w:szCs w:val="24"/>
          <w:highlight w:val="none"/>
        </w:rPr>
        <w:t>地点递交（见“重要事项时间地点一览表</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w:t>
      </w:r>
    </w:p>
    <w:p w14:paraId="6826100D">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8"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13.4  </w:t>
      </w:r>
      <w:r>
        <w:rPr>
          <w:rFonts w:hint="eastAsia" w:ascii="宋体" w:hAnsi="宋体" w:eastAsia="宋体" w:cs="宋体"/>
          <w:color w:val="auto"/>
          <w:spacing w:val="-1"/>
          <w:sz w:val="24"/>
          <w:szCs w:val="24"/>
          <w:highlight w:val="none"/>
        </w:rPr>
        <w:t>代理机构对因不可抗力事件造成的投</w:t>
      </w:r>
      <w:r>
        <w:rPr>
          <w:rFonts w:hint="eastAsia" w:ascii="宋体" w:hAnsi="宋体" w:eastAsia="宋体" w:cs="宋体"/>
          <w:color w:val="auto"/>
          <w:spacing w:val="-2"/>
          <w:sz w:val="24"/>
          <w:szCs w:val="24"/>
          <w:highlight w:val="none"/>
        </w:rPr>
        <w:t>标文件的损坏、丢失的，不承担责任。</w:t>
      </w:r>
    </w:p>
    <w:p w14:paraId="678D957F">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13.5</w:t>
      </w:r>
      <w:r>
        <w:rPr>
          <w:rFonts w:hint="eastAsia" w:ascii="宋体" w:hAnsi="宋体" w:eastAsia="宋体" w:cs="宋体"/>
          <w:b/>
          <w:bCs/>
          <w:color w:val="auto"/>
          <w:spacing w:val="15"/>
          <w:sz w:val="24"/>
          <w:szCs w:val="24"/>
          <w:highlight w:val="none"/>
        </w:rPr>
        <w:t xml:space="preserve">  </w:t>
      </w:r>
      <w:r>
        <w:rPr>
          <w:rFonts w:hint="eastAsia" w:ascii="宋体" w:hAnsi="宋体" w:eastAsia="宋体" w:cs="宋体"/>
          <w:color w:val="auto"/>
          <w:spacing w:val="-1"/>
          <w:sz w:val="24"/>
          <w:szCs w:val="24"/>
          <w:highlight w:val="none"/>
        </w:rPr>
        <w:t>出现下述情形之一，属于未成功提</w:t>
      </w:r>
      <w:r>
        <w:rPr>
          <w:rFonts w:hint="eastAsia" w:ascii="宋体" w:hAnsi="宋体" w:eastAsia="宋体" w:cs="宋体"/>
          <w:color w:val="auto"/>
          <w:spacing w:val="-2"/>
          <w:sz w:val="24"/>
          <w:szCs w:val="24"/>
          <w:highlight w:val="none"/>
        </w:rPr>
        <w:t>交投标文件，按无效投标处理：</w:t>
      </w:r>
    </w:p>
    <w:p w14:paraId="686D2310">
      <w:pPr>
        <w:keepNext w:val="0"/>
        <w:keepLines w:val="0"/>
        <w:pageBreakBefore w:val="0"/>
        <w:widowControl w:val="0"/>
        <w:kinsoku/>
        <w:wordWrap w:val="0"/>
        <w:overflowPunct/>
        <w:topLinePunct/>
        <w:autoSpaceDE/>
        <w:autoSpaceDN/>
        <w:bidi w:val="0"/>
        <w:adjustRightInd w:val="0"/>
        <w:snapToGrid w:val="0"/>
        <w:spacing w:line="360" w:lineRule="auto"/>
        <w:ind w:left="74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（1）至提交投标文件截止时，投标文件未完整上传及提交标书；</w:t>
      </w:r>
    </w:p>
    <w:p w14:paraId="2C000C09">
      <w:pPr>
        <w:keepNext w:val="0"/>
        <w:keepLines w:val="0"/>
        <w:pageBreakBefore w:val="0"/>
        <w:widowControl w:val="0"/>
        <w:kinsoku/>
        <w:wordWrap w:val="0"/>
        <w:overflowPunct/>
        <w:topLinePunct/>
        <w:autoSpaceDE/>
        <w:autoSpaceDN/>
        <w:bidi w:val="0"/>
        <w:adjustRightInd w:val="0"/>
        <w:snapToGrid w:val="0"/>
        <w:spacing w:line="360" w:lineRule="auto"/>
        <w:ind w:left="74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（2）解密失败且在规定时间内未重新提交投标文件的；</w:t>
      </w:r>
    </w:p>
    <w:p w14:paraId="395825B3">
      <w:pPr>
        <w:keepNext w:val="0"/>
        <w:keepLines w:val="0"/>
        <w:pageBreakBefore w:val="0"/>
        <w:widowControl w:val="0"/>
        <w:kinsoku/>
        <w:wordWrap w:val="0"/>
        <w:overflowPunct/>
        <w:topLinePunct/>
        <w:autoSpaceDE/>
        <w:autoSpaceDN/>
        <w:bidi w:val="0"/>
        <w:adjustRightInd w:val="0"/>
        <w:snapToGrid w:val="0"/>
        <w:spacing w:line="360" w:lineRule="auto"/>
        <w:ind w:left="74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（3）投标文件损坏或格式不正确的；</w:t>
      </w:r>
    </w:p>
    <w:p w14:paraId="7149659E">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13.6  </w:t>
      </w:r>
      <w:r>
        <w:rPr>
          <w:rFonts w:hint="eastAsia" w:ascii="宋体" w:hAnsi="宋体" w:eastAsia="宋体" w:cs="宋体"/>
          <w:color w:val="auto"/>
          <w:spacing w:val="-1"/>
          <w:sz w:val="24"/>
          <w:szCs w:val="24"/>
          <w:highlight w:val="none"/>
        </w:rPr>
        <w:t>联合体投标的，由联合体牵头人按以上要求递交相关资料。</w:t>
      </w:r>
    </w:p>
    <w:p w14:paraId="3CC1DF99">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8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13.7  </w:t>
      </w:r>
      <w:r>
        <w:rPr>
          <w:rFonts w:hint="eastAsia" w:ascii="宋体" w:hAnsi="宋体" w:eastAsia="宋体" w:cs="宋体"/>
          <w:color w:val="auto"/>
          <w:spacing w:val="-2"/>
          <w:sz w:val="24"/>
          <w:szCs w:val="24"/>
          <w:highlight w:val="none"/>
        </w:rPr>
        <w:t>招标人或其授权的招标代理机构核对、接收投标人递交的投标相关资料后，</w:t>
      </w:r>
      <w:r>
        <w:rPr>
          <w:rFonts w:hint="eastAsia" w:ascii="宋体" w:hAnsi="宋体" w:eastAsia="宋体" w:cs="宋体"/>
          <w:color w:val="auto"/>
          <w:spacing w:val="-1"/>
          <w:sz w:val="24"/>
          <w:szCs w:val="24"/>
          <w:highlight w:val="none"/>
        </w:rPr>
        <w:t>应向投标人出具标明签收</w:t>
      </w:r>
      <w:r>
        <w:rPr>
          <w:rFonts w:hint="eastAsia" w:ascii="宋体" w:hAnsi="宋体" w:eastAsia="宋体" w:cs="宋体"/>
          <w:color w:val="auto"/>
          <w:spacing w:val="-2"/>
          <w:sz w:val="24"/>
          <w:szCs w:val="24"/>
          <w:highlight w:val="none"/>
        </w:rPr>
        <w:t>人和签收时间的凭证，并妥善保管。</w:t>
      </w:r>
    </w:p>
    <w:p w14:paraId="2D855702">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8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13.8 </w:t>
      </w:r>
      <w:r>
        <w:rPr>
          <w:rFonts w:hint="eastAsia" w:ascii="宋体" w:hAnsi="宋体" w:eastAsia="宋体" w:cs="宋体"/>
          <w:color w:val="auto"/>
          <w:spacing w:val="-2"/>
          <w:sz w:val="24"/>
          <w:szCs w:val="24"/>
          <w:highlight w:val="none"/>
        </w:rPr>
        <w:t xml:space="preserve"> 本次招标投标有效期为</w:t>
      </w:r>
      <w:r>
        <w:rPr>
          <w:rFonts w:hint="eastAsia" w:ascii="宋体" w:hAnsi="宋体" w:eastAsia="宋体" w:cs="宋体"/>
          <w:color w:val="auto"/>
          <w:spacing w:val="-2"/>
          <w:sz w:val="24"/>
          <w:szCs w:val="24"/>
          <w:highlight w:val="none"/>
          <w:u w:val="single"/>
          <w:lang w:eastAsia="zh-CN"/>
        </w:rPr>
        <w:t>90</w:t>
      </w:r>
      <w:r>
        <w:rPr>
          <w:rFonts w:hint="eastAsia" w:ascii="宋体" w:hAnsi="宋体" w:eastAsia="宋体" w:cs="宋体"/>
          <w:color w:val="auto"/>
          <w:spacing w:val="-2"/>
          <w:sz w:val="24"/>
          <w:szCs w:val="24"/>
          <w:highlight w:val="none"/>
        </w:rPr>
        <w:t>个日历天，投标有效期从提交投标文件的截止之日起计算。在此期间，投标人不得撤销或修改其</w:t>
      </w:r>
      <w:r>
        <w:rPr>
          <w:rFonts w:hint="eastAsia" w:ascii="宋体" w:hAnsi="宋体" w:eastAsia="宋体" w:cs="宋体"/>
          <w:color w:val="auto"/>
          <w:spacing w:val="-7"/>
          <w:sz w:val="24"/>
          <w:szCs w:val="24"/>
          <w:highlight w:val="none"/>
        </w:rPr>
        <w:t>投标文件，否则其投标保证不予退还。</w:t>
      </w:r>
    </w:p>
    <w:p w14:paraId="4966071C">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2"/>
        <w:rPr>
          <w:rFonts w:hint="eastAsia" w:ascii="宋体" w:hAnsi="宋体" w:eastAsia="宋体" w:cs="宋体"/>
          <w:color w:val="auto"/>
          <w:sz w:val="24"/>
          <w:szCs w:val="24"/>
          <w:highlight w:val="none"/>
        </w:rPr>
      </w:pPr>
      <w:bookmarkStart w:id="60" w:name="_Toc10803"/>
      <w:bookmarkStart w:id="61" w:name="_Toc22047"/>
      <w:r>
        <w:rPr>
          <w:rFonts w:hint="eastAsia" w:ascii="宋体" w:hAnsi="宋体" w:eastAsia="宋体" w:cs="宋体"/>
          <w:b/>
          <w:bCs/>
          <w:color w:val="auto"/>
          <w:spacing w:val="-11"/>
          <w:sz w:val="24"/>
          <w:szCs w:val="24"/>
          <w:highlight w:val="none"/>
        </w:rPr>
        <w:t>14</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11"/>
          <w:sz w:val="24"/>
          <w:szCs w:val="24"/>
          <w:highlight w:val="none"/>
        </w:rPr>
        <w:t>．开标</w:t>
      </w:r>
      <w:bookmarkEnd w:id="60"/>
      <w:bookmarkEnd w:id="61"/>
    </w:p>
    <w:p w14:paraId="782270CF">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5"/>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14.1  </w:t>
      </w:r>
      <w:r>
        <w:rPr>
          <w:rFonts w:hint="eastAsia" w:ascii="宋体" w:hAnsi="宋体" w:eastAsia="宋体" w:cs="宋体"/>
          <w:color w:val="auto"/>
          <w:spacing w:val="-3"/>
          <w:sz w:val="24"/>
          <w:szCs w:val="24"/>
          <w:highlight w:val="none"/>
        </w:rPr>
        <w:t>招标人邀请所有正确获取招标文件、电子投标、缴纳投标保证的投标人参加</w:t>
      </w:r>
      <w:r>
        <w:rPr>
          <w:rFonts w:hint="eastAsia" w:ascii="宋体" w:hAnsi="宋体" w:eastAsia="宋体" w:cs="宋体"/>
          <w:color w:val="auto"/>
          <w:spacing w:val="-1"/>
          <w:sz w:val="24"/>
          <w:szCs w:val="24"/>
          <w:highlight w:val="none"/>
        </w:rPr>
        <w:t>开标，投标人可自主决定是否参加。投标人可</w:t>
      </w:r>
      <w:r>
        <w:rPr>
          <w:rFonts w:hint="eastAsia" w:ascii="宋体" w:hAnsi="宋体" w:eastAsia="宋体" w:cs="宋体"/>
          <w:color w:val="auto"/>
          <w:spacing w:val="-1"/>
          <w:sz w:val="24"/>
          <w:szCs w:val="24"/>
          <w:highlight w:val="none"/>
          <w:lang w:eastAsia="zh-CN"/>
        </w:rPr>
        <w:t>登录</w:t>
      </w:r>
      <w:r>
        <w:rPr>
          <w:rFonts w:hint="eastAsia" w:ascii="宋体" w:hAnsi="宋体" w:eastAsia="宋体" w:cs="宋体"/>
          <w:color w:val="auto"/>
          <w:spacing w:val="-1"/>
          <w:sz w:val="24"/>
          <w:szCs w:val="24"/>
          <w:highlight w:val="none"/>
        </w:rPr>
        <w:t>交易平台</w:t>
      </w:r>
      <w:r>
        <w:rPr>
          <w:rFonts w:hint="eastAsia" w:ascii="宋体" w:hAnsi="宋体" w:eastAsia="宋体" w:cs="宋体"/>
          <w:color w:val="auto"/>
          <w:spacing w:val="-2"/>
          <w:sz w:val="24"/>
          <w:szCs w:val="24"/>
          <w:highlight w:val="none"/>
        </w:rPr>
        <w:t>观看开标实况、提出异议</w:t>
      </w:r>
      <w:r>
        <w:rPr>
          <w:rFonts w:hint="eastAsia" w:ascii="宋体" w:hAnsi="宋体" w:eastAsia="宋体" w:cs="宋体"/>
          <w:color w:val="auto"/>
          <w:spacing w:val="-1"/>
          <w:sz w:val="24"/>
          <w:szCs w:val="24"/>
          <w:highlight w:val="none"/>
        </w:rPr>
        <w:t>或进行澄清、确认等操作（具体按招标文件和系统操作手册</w:t>
      </w:r>
      <w:r>
        <w:rPr>
          <w:rFonts w:hint="eastAsia" w:ascii="宋体" w:hAnsi="宋体" w:eastAsia="宋体" w:cs="宋体"/>
          <w:color w:val="auto"/>
          <w:spacing w:val="-2"/>
          <w:sz w:val="24"/>
          <w:szCs w:val="24"/>
          <w:highlight w:val="none"/>
        </w:rPr>
        <w:t>为准）。投标人不参加开</w:t>
      </w:r>
      <w:bookmarkStart w:id="62" w:name="bookmark123"/>
      <w:bookmarkEnd w:id="62"/>
      <w:r>
        <w:rPr>
          <w:rFonts w:hint="eastAsia" w:ascii="宋体" w:hAnsi="宋体" w:eastAsia="宋体" w:cs="宋体"/>
          <w:color w:val="auto"/>
          <w:sz w:val="24"/>
          <w:szCs w:val="24"/>
          <w:highlight w:val="none"/>
        </w:rPr>
        <w:t>标的，视其默认开标结果，以及放弃在开标期间见证、</w:t>
      </w:r>
      <w:r>
        <w:rPr>
          <w:rFonts w:hint="eastAsia" w:ascii="宋体" w:hAnsi="宋体" w:eastAsia="宋体" w:cs="宋体"/>
          <w:color w:val="auto"/>
          <w:spacing w:val="-1"/>
          <w:sz w:val="24"/>
          <w:szCs w:val="24"/>
          <w:highlight w:val="none"/>
        </w:rPr>
        <w:t>监督、投诉、申辩的权利。</w:t>
      </w:r>
    </w:p>
    <w:p w14:paraId="2A21DC31">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14.1.1  </w:t>
      </w:r>
      <w:r>
        <w:rPr>
          <w:rFonts w:hint="eastAsia" w:ascii="宋体" w:hAnsi="宋体" w:eastAsia="宋体" w:cs="宋体"/>
          <w:color w:val="auto"/>
          <w:sz w:val="24"/>
          <w:szCs w:val="24"/>
          <w:highlight w:val="none"/>
        </w:rPr>
        <w:t>开标时间和地点：见本章第</w:t>
      </w:r>
      <w:r>
        <w:rPr>
          <w:rFonts w:hint="eastAsia" w:ascii="宋体" w:hAnsi="宋体" w:eastAsia="宋体" w:cs="宋体"/>
          <w:color w:val="auto"/>
          <w:spacing w:val="-1"/>
          <w:sz w:val="24"/>
          <w:szCs w:val="24"/>
          <w:highlight w:val="none"/>
        </w:rPr>
        <w:t>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p>
    <w:p w14:paraId="7686F22A">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 xml:space="preserve">14.1.2 </w:t>
      </w:r>
      <w:r>
        <w:rPr>
          <w:rFonts w:hint="eastAsia" w:ascii="宋体" w:hAnsi="宋体" w:eastAsia="宋体" w:cs="宋体"/>
          <w:color w:val="auto"/>
          <w:spacing w:val="-7"/>
          <w:sz w:val="24"/>
          <w:szCs w:val="24"/>
          <w:highlight w:val="none"/>
        </w:rPr>
        <w:t>开标前</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7"/>
          <w:sz w:val="24"/>
          <w:szCs w:val="24"/>
          <w:highlight w:val="none"/>
        </w:rPr>
        <w:t>24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7"/>
          <w:sz w:val="24"/>
          <w:szCs w:val="24"/>
          <w:highlight w:val="none"/>
        </w:rPr>
        <w:t>小时，若建设工程交易系统显示缴</w:t>
      </w:r>
      <w:r>
        <w:rPr>
          <w:rFonts w:hint="eastAsia" w:ascii="宋体" w:hAnsi="宋体" w:eastAsia="宋体" w:cs="宋体"/>
          <w:color w:val="auto"/>
          <w:spacing w:val="-8"/>
          <w:sz w:val="24"/>
          <w:szCs w:val="24"/>
          <w:highlight w:val="none"/>
        </w:rPr>
        <w:t>纳投标保证（包括投标保证金、</w:t>
      </w:r>
      <w:r>
        <w:rPr>
          <w:rFonts w:hint="eastAsia" w:ascii="宋体" w:hAnsi="宋体" w:eastAsia="宋体" w:cs="宋体"/>
          <w:color w:val="auto"/>
          <w:spacing w:val="-2"/>
          <w:sz w:val="24"/>
          <w:szCs w:val="24"/>
          <w:highlight w:val="none"/>
        </w:rPr>
        <w:t>投标保证担保、投标保证保险）的投标人数量不足</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个时，招标人将取消原定于次日</w:t>
      </w:r>
      <w:r>
        <w:rPr>
          <w:rFonts w:hint="eastAsia" w:ascii="宋体" w:hAnsi="宋体" w:eastAsia="宋体" w:cs="宋体"/>
          <w:color w:val="auto"/>
          <w:spacing w:val="-1"/>
          <w:sz w:val="24"/>
          <w:szCs w:val="24"/>
          <w:highlight w:val="none"/>
        </w:rPr>
        <w:t>召开的开标活动。投标人可在投标保证缴纳截止时间（见本章</w:t>
      </w:r>
      <w:r>
        <w:rPr>
          <w:rFonts w:hint="eastAsia" w:ascii="宋体" w:hAnsi="宋体" w:eastAsia="宋体" w:cs="宋体"/>
          <w:color w:val="auto"/>
          <w:spacing w:val="-2"/>
          <w:sz w:val="24"/>
          <w:szCs w:val="24"/>
          <w:highlight w:val="none"/>
        </w:rPr>
        <w:t>第二节“重要事项时间</w:t>
      </w:r>
      <w:r>
        <w:rPr>
          <w:rFonts w:hint="eastAsia" w:ascii="宋体" w:hAnsi="宋体" w:eastAsia="宋体" w:cs="宋体"/>
          <w:color w:val="auto"/>
          <w:spacing w:val="-1"/>
          <w:sz w:val="24"/>
          <w:szCs w:val="24"/>
          <w:highlight w:val="none"/>
        </w:rPr>
        <w:t>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”）至电子投标截止时间（见本章第二节“重要事项时间地点一览</w:t>
      </w:r>
      <w:r>
        <w:rPr>
          <w:rFonts w:hint="eastAsia" w:ascii="宋体" w:hAnsi="宋体" w:eastAsia="宋体" w:cs="宋体"/>
          <w:color w:val="auto"/>
          <w:spacing w:val="-2"/>
          <w:sz w:val="24"/>
          <w:szCs w:val="24"/>
          <w:highlight w:val="none"/>
        </w:rPr>
        <w:t>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”）期间登录全国公共资源交易平台（广东省·韶关市</w:t>
      </w:r>
      <w:r>
        <w:rPr>
          <w:rFonts w:hint="eastAsia" w:ascii="宋体" w:hAnsi="宋体" w:eastAsia="宋体" w:cs="宋体"/>
          <w:color w:val="auto"/>
          <w:spacing w:val="-22"/>
          <w:sz w:val="24"/>
          <w:szCs w:val="24"/>
          <w:highlight w:val="none"/>
        </w:rPr>
        <w:t>）（</w:t>
      </w:r>
      <w:r>
        <w:rPr>
          <w:rFonts w:hint="eastAsia" w:ascii="宋体" w:hAnsi="宋体" w:eastAsia="宋体" w:cs="宋体"/>
          <w:color w:val="auto"/>
          <w:spacing w:val="-2"/>
          <w:sz w:val="24"/>
          <w:szCs w:val="24"/>
          <w:highlight w:val="none"/>
        </w:rPr>
        <w:t>https://ygp.gdzwfw.gov.cn/</w:t>
      </w:r>
      <w:r>
        <w:rPr>
          <w:rFonts w:hint="eastAsia" w:ascii="宋体" w:hAnsi="宋体" w:eastAsia="宋体" w:cs="宋体"/>
          <w:color w:val="auto"/>
          <w:sz w:val="24"/>
          <w:szCs w:val="24"/>
          <w:highlight w:val="none"/>
        </w:rPr>
        <w:t xml:space="preserve"> ggzy-portal/#/440200/index）查询是否发布了取</w:t>
      </w:r>
      <w:r>
        <w:rPr>
          <w:rFonts w:hint="eastAsia" w:ascii="宋体" w:hAnsi="宋体" w:eastAsia="宋体" w:cs="宋体"/>
          <w:color w:val="auto"/>
          <w:spacing w:val="-1"/>
          <w:sz w:val="24"/>
          <w:szCs w:val="24"/>
          <w:highlight w:val="none"/>
        </w:rPr>
        <w:t>消开标活动的相关信息。</w:t>
      </w:r>
    </w:p>
    <w:p w14:paraId="161654C6">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9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14.1.3</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本项目实行全流程电子化招标投标，投标人在交易平台按要求上传加盖电</w:t>
      </w:r>
      <w:r>
        <w:rPr>
          <w:rFonts w:hint="eastAsia" w:ascii="宋体" w:hAnsi="宋体" w:eastAsia="宋体" w:cs="宋体"/>
          <w:color w:val="auto"/>
          <w:spacing w:val="-1"/>
          <w:sz w:val="24"/>
          <w:szCs w:val="24"/>
          <w:highlight w:val="none"/>
        </w:rPr>
        <w:t>子印章并经加密的电子投标文件，并在交易平台录入准确的</w:t>
      </w:r>
      <w:r>
        <w:rPr>
          <w:rFonts w:hint="eastAsia" w:ascii="宋体" w:hAnsi="宋体" w:eastAsia="宋体" w:cs="宋体"/>
          <w:color w:val="auto"/>
          <w:spacing w:val="-2"/>
          <w:sz w:val="24"/>
          <w:szCs w:val="24"/>
          <w:highlight w:val="none"/>
        </w:rPr>
        <w:t>页码信息即可完成在线投</w:t>
      </w:r>
      <w:r>
        <w:rPr>
          <w:rFonts w:hint="eastAsia" w:ascii="宋体" w:hAnsi="宋体" w:eastAsia="宋体" w:cs="宋体"/>
          <w:color w:val="auto"/>
          <w:spacing w:val="-1"/>
          <w:sz w:val="24"/>
          <w:szCs w:val="24"/>
          <w:highlight w:val="none"/>
        </w:rPr>
        <w:t>标</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由于投标人原因导致未按投标</w:t>
      </w:r>
      <w:r>
        <w:rPr>
          <w:rFonts w:hint="eastAsia" w:ascii="宋体" w:hAnsi="宋体" w:eastAsia="宋体" w:cs="宋体"/>
          <w:color w:val="auto"/>
          <w:spacing w:val="-1"/>
          <w:sz w:val="24"/>
          <w:szCs w:val="24"/>
          <w:highlight w:val="none"/>
          <w:lang w:eastAsia="zh-CN"/>
        </w:rPr>
        <w:t>截止</w:t>
      </w:r>
      <w:r>
        <w:rPr>
          <w:rFonts w:hint="eastAsia" w:ascii="宋体" w:hAnsi="宋体" w:eastAsia="宋体" w:cs="宋体"/>
          <w:color w:val="auto"/>
          <w:spacing w:val="-1"/>
          <w:sz w:val="24"/>
          <w:szCs w:val="24"/>
          <w:highlight w:val="none"/>
        </w:rPr>
        <w:t>时限上传完整投标文</w:t>
      </w:r>
      <w:r>
        <w:rPr>
          <w:rFonts w:hint="eastAsia" w:ascii="宋体" w:hAnsi="宋体" w:eastAsia="宋体" w:cs="宋体"/>
          <w:color w:val="auto"/>
          <w:spacing w:val="-2"/>
          <w:sz w:val="24"/>
          <w:szCs w:val="24"/>
          <w:highlight w:val="none"/>
        </w:rPr>
        <w:t>件、在交易平台中上传的</w:t>
      </w:r>
      <w:r>
        <w:rPr>
          <w:rFonts w:hint="eastAsia" w:ascii="宋体" w:hAnsi="宋体" w:eastAsia="宋体" w:cs="宋体"/>
          <w:color w:val="auto"/>
          <w:spacing w:val="-1"/>
          <w:sz w:val="24"/>
          <w:szCs w:val="24"/>
          <w:highlight w:val="none"/>
        </w:rPr>
        <w:t>投标文件无法解密、投标文件损坏或格式不正确、投标文件</w:t>
      </w:r>
      <w:r>
        <w:rPr>
          <w:rFonts w:hint="eastAsia" w:ascii="宋体" w:hAnsi="宋体" w:eastAsia="宋体" w:cs="宋体"/>
          <w:color w:val="auto"/>
          <w:spacing w:val="-2"/>
          <w:sz w:val="24"/>
          <w:szCs w:val="24"/>
          <w:highlight w:val="none"/>
        </w:rPr>
        <w:t>未按招标文件要求加盖电</w:t>
      </w:r>
      <w:r>
        <w:rPr>
          <w:rFonts w:hint="eastAsia" w:ascii="宋体" w:hAnsi="宋体" w:eastAsia="宋体" w:cs="宋体"/>
          <w:color w:val="auto"/>
          <w:spacing w:val="-1"/>
          <w:sz w:val="24"/>
          <w:szCs w:val="24"/>
          <w:highlight w:val="none"/>
        </w:rPr>
        <w:t>子印章或电子印章不完整、电子投标文件解密失败且未按要</w:t>
      </w:r>
      <w:r>
        <w:rPr>
          <w:rFonts w:hint="eastAsia" w:ascii="宋体" w:hAnsi="宋体" w:eastAsia="宋体" w:cs="宋体"/>
          <w:color w:val="auto"/>
          <w:spacing w:val="-2"/>
          <w:sz w:val="24"/>
          <w:szCs w:val="24"/>
          <w:highlight w:val="none"/>
        </w:rPr>
        <w:t>求上传备用投标文件等情</w:t>
      </w:r>
      <w:r>
        <w:rPr>
          <w:rFonts w:hint="eastAsia" w:ascii="宋体" w:hAnsi="宋体" w:eastAsia="宋体" w:cs="宋体"/>
          <w:color w:val="auto"/>
          <w:spacing w:val="-1"/>
          <w:sz w:val="24"/>
          <w:szCs w:val="24"/>
          <w:highlight w:val="none"/>
        </w:rPr>
        <w:t>形导致投标无效的，由投标人自行负责。</w:t>
      </w:r>
    </w:p>
    <w:p w14:paraId="722B81D4">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14.2  </w:t>
      </w:r>
      <w:r>
        <w:rPr>
          <w:rFonts w:hint="eastAsia" w:ascii="宋体" w:hAnsi="宋体" w:eastAsia="宋体" w:cs="宋体"/>
          <w:color w:val="auto"/>
          <w:spacing w:val="-2"/>
          <w:sz w:val="24"/>
          <w:szCs w:val="24"/>
          <w:highlight w:val="none"/>
        </w:rPr>
        <w:t>开标程序</w:t>
      </w:r>
    </w:p>
    <w:p w14:paraId="3C70C530">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outlineLvl w:val="9"/>
        <w:rPr>
          <w:rFonts w:hint="eastAsia" w:ascii="宋体" w:hAnsi="宋体" w:eastAsia="宋体" w:cs="宋体"/>
          <w:color w:val="auto"/>
          <w:sz w:val="24"/>
          <w:szCs w:val="24"/>
          <w:highlight w:val="none"/>
        </w:rPr>
      </w:pPr>
      <w:bookmarkStart w:id="63" w:name="_Toc10291"/>
      <w:bookmarkStart w:id="64" w:name="_Toc8314"/>
      <w:bookmarkStart w:id="65" w:name="_Toc10685"/>
      <w:bookmarkStart w:id="66" w:name="_Toc15587"/>
      <w:r>
        <w:rPr>
          <w:rFonts w:hint="eastAsia" w:ascii="宋体" w:hAnsi="宋体" w:eastAsia="宋体" w:cs="宋体"/>
          <w:color w:val="auto"/>
          <w:spacing w:val="-1"/>
          <w:sz w:val="24"/>
          <w:szCs w:val="24"/>
          <w:highlight w:val="none"/>
        </w:rPr>
        <w:t>（1）主持人（招标人代表或招标人授权的招标代理机构人员）宣读开标纪律。</w:t>
      </w:r>
      <w:bookmarkEnd w:id="63"/>
      <w:bookmarkEnd w:id="64"/>
      <w:bookmarkEnd w:id="65"/>
      <w:bookmarkEnd w:id="66"/>
    </w:p>
    <w:p w14:paraId="1BF35E75">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outlineLvl w:val="9"/>
        <w:rPr>
          <w:rFonts w:hint="eastAsia" w:ascii="宋体" w:hAnsi="宋体" w:eastAsia="宋体" w:cs="宋体"/>
          <w:color w:val="auto"/>
          <w:sz w:val="24"/>
          <w:szCs w:val="24"/>
          <w:highlight w:val="none"/>
        </w:rPr>
      </w:pPr>
      <w:bookmarkStart w:id="67" w:name="_Toc16292"/>
      <w:bookmarkStart w:id="68" w:name="_Toc30853"/>
      <w:bookmarkStart w:id="69" w:name="_Toc20238"/>
      <w:bookmarkStart w:id="70" w:name="_Toc2011"/>
      <w:r>
        <w:rPr>
          <w:rFonts w:hint="eastAsia" w:ascii="宋体" w:hAnsi="宋体" w:eastAsia="宋体" w:cs="宋体"/>
          <w:color w:val="auto"/>
          <w:spacing w:val="-1"/>
          <w:sz w:val="24"/>
          <w:szCs w:val="24"/>
          <w:highlight w:val="none"/>
        </w:rPr>
        <w:t>（2）主持人宣布唱标人、记录人、见证人、监督人等有关人员姓名。</w:t>
      </w:r>
      <w:bookmarkEnd w:id="67"/>
      <w:bookmarkEnd w:id="68"/>
      <w:bookmarkEnd w:id="69"/>
      <w:bookmarkEnd w:id="70"/>
    </w:p>
    <w:p w14:paraId="0047692A">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outlineLvl w:val="9"/>
        <w:rPr>
          <w:rFonts w:hint="eastAsia" w:ascii="宋体" w:hAnsi="宋体" w:eastAsia="宋体" w:cs="宋体"/>
          <w:color w:val="auto"/>
          <w:sz w:val="24"/>
          <w:szCs w:val="24"/>
          <w:highlight w:val="none"/>
        </w:rPr>
      </w:pPr>
      <w:bookmarkStart w:id="71" w:name="_Toc17462"/>
      <w:bookmarkStart w:id="72" w:name="_Toc26494"/>
      <w:bookmarkStart w:id="73" w:name="_Toc31716"/>
      <w:bookmarkStart w:id="74" w:name="_Toc1974"/>
      <w:r>
        <w:rPr>
          <w:rFonts w:hint="eastAsia" w:ascii="宋体" w:hAnsi="宋体" w:eastAsia="宋体" w:cs="宋体"/>
          <w:color w:val="auto"/>
          <w:spacing w:val="-1"/>
          <w:sz w:val="24"/>
          <w:szCs w:val="24"/>
          <w:highlight w:val="none"/>
        </w:rPr>
        <w:t>（3）唱标人公布在投标截止时间前进行投标文件的投标人数量和名称</w:t>
      </w:r>
      <w:bookmarkEnd w:id="71"/>
      <w:bookmarkEnd w:id="72"/>
      <w:bookmarkEnd w:id="73"/>
      <w:bookmarkEnd w:id="74"/>
    </w:p>
    <w:p w14:paraId="360BD6F3">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outlineLvl w:val="9"/>
        <w:rPr>
          <w:rFonts w:hint="eastAsia" w:ascii="宋体" w:hAnsi="宋体" w:eastAsia="宋体" w:cs="宋体"/>
          <w:color w:val="auto"/>
          <w:spacing w:val="-1"/>
          <w:sz w:val="24"/>
          <w:szCs w:val="24"/>
          <w:highlight w:val="none"/>
        </w:rPr>
      </w:pPr>
      <w:bookmarkStart w:id="75" w:name="_Toc15860"/>
      <w:bookmarkStart w:id="76" w:name="_Toc8179"/>
      <w:bookmarkStart w:id="77" w:name="_Toc27967"/>
      <w:bookmarkStart w:id="78" w:name="_Toc20559"/>
      <w:r>
        <w:rPr>
          <w:rFonts w:hint="eastAsia" w:ascii="宋体" w:hAnsi="宋体" w:eastAsia="宋体" w:cs="宋体"/>
          <w:color w:val="auto"/>
          <w:spacing w:val="-1"/>
          <w:sz w:val="24"/>
          <w:szCs w:val="24"/>
          <w:highlight w:val="none"/>
        </w:rPr>
        <w:t>（4）招标代理机构会同交易场所工作人员对投标人的电子投标信息进行解密，</w:t>
      </w:r>
      <w:bookmarkEnd w:id="75"/>
      <w:bookmarkEnd w:id="76"/>
      <w:bookmarkEnd w:id="77"/>
      <w:bookmarkEnd w:id="78"/>
      <w:r>
        <w:rPr>
          <w:rFonts w:hint="eastAsia" w:ascii="宋体" w:hAnsi="宋体" w:eastAsia="宋体" w:cs="宋体"/>
          <w:color w:val="auto"/>
          <w:spacing w:val="-1"/>
          <w:sz w:val="24"/>
          <w:szCs w:val="24"/>
          <w:highlight w:val="none"/>
        </w:rPr>
        <w:t>建设工程交易系统自动生成《投标保证缴纳情况表》和《开标一览表》。</w:t>
      </w:r>
    </w:p>
    <w:p w14:paraId="68987A2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66" w:firstLineChars="200"/>
        <w:outlineLvl w:val="9"/>
        <w:rPr>
          <w:rFonts w:hint="eastAsia" w:ascii="宋体" w:hAnsi="宋体" w:eastAsia="宋体" w:cs="宋体"/>
          <w:color w:val="auto"/>
          <w:sz w:val="24"/>
          <w:szCs w:val="24"/>
          <w:highlight w:val="none"/>
        </w:rPr>
      </w:pPr>
      <w:bookmarkStart w:id="79" w:name="_Toc28812"/>
      <w:bookmarkStart w:id="80" w:name="_Toc2199"/>
      <w:bookmarkStart w:id="81" w:name="_Toc28266"/>
      <w:bookmarkStart w:id="82" w:name="_Toc26216"/>
      <w:r>
        <w:rPr>
          <w:rFonts w:hint="eastAsia" w:ascii="宋体" w:hAnsi="宋体" w:eastAsia="宋体" w:cs="宋体"/>
          <w:b/>
          <w:bCs/>
          <w:color w:val="auto"/>
          <w:spacing w:val="-4"/>
          <w:sz w:val="24"/>
          <w:szCs w:val="24"/>
          <w:highlight w:val="none"/>
        </w:rPr>
        <w:t>温馨提示：因本项目实行全流程电子化招标投标，投标人无须进行现场签到，可</w:t>
      </w:r>
      <w:bookmarkEnd w:id="79"/>
      <w:bookmarkEnd w:id="80"/>
      <w:bookmarkEnd w:id="81"/>
      <w:r>
        <w:rPr>
          <w:rFonts w:hint="eastAsia" w:ascii="宋体" w:hAnsi="宋体" w:eastAsia="宋体" w:cs="宋体"/>
          <w:b/>
          <w:bCs/>
          <w:color w:val="auto"/>
          <w:spacing w:val="-4"/>
          <w:sz w:val="24"/>
          <w:szCs w:val="24"/>
          <w:highlight w:val="none"/>
        </w:rPr>
        <w:t>登录交易平台观看开标实况、提出异议或进行澄清、确认等操作，对开标事项的异议</w:t>
      </w:r>
      <w:r>
        <w:rPr>
          <w:rFonts w:hint="eastAsia" w:ascii="宋体" w:hAnsi="宋体" w:eastAsia="宋体" w:cs="宋体"/>
          <w:b/>
          <w:bCs/>
          <w:color w:val="auto"/>
          <w:spacing w:val="-2"/>
          <w:sz w:val="24"/>
          <w:szCs w:val="24"/>
          <w:highlight w:val="none"/>
        </w:rPr>
        <w:t>未在开标期间提出的，招标</w:t>
      </w:r>
      <w:r>
        <w:rPr>
          <w:rFonts w:hint="eastAsia" w:ascii="宋体" w:hAnsi="宋体" w:eastAsia="宋体" w:cs="宋体"/>
          <w:b/>
          <w:bCs/>
          <w:color w:val="auto"/>
          <w:spacing w:val="-2"/>
          <w:sz w:val="24"/>
          <w:szCs w:val="24"/>
          <w:highlight w:val="none"/>
          <w:lang w:eastAsia="zh-CN"/>
        </w:rPr>
        <w:t>人不</w:t>
      </w:r>
      <w:r>
        <w:rPr>
          <w:rFonts w:hint="eastAsia" w:ascii="宋体" w:hAnsi="宋体" w:eastAsia="宋体" w:cs="宋体"/>
          <w:b/>
          <w:bCs/>
          <w:color w:val="auto"/>
          <w:spacing w:val="-2"/>
          <w:sz w:val="24"/>
          <w:szCs w:val="24"/>
          <w:highlight w:val="none"/>
        </w:rPr>
        <w:t>予受理。具体按招标文件和系统操作手册为</w:t>
      </w:r>
      <w:r>
        <w:rPr>
          <w:rFonts w:hint="eastAsia" w:ascii="宋体" w:hAnsi="宋体" w:eastAsia="宋体" w:cs="宋体"/>
          <w:b/>
          <w:bCs/>
          <w:color w:val="auto"/>
          <w:spacing w:val="-3"/>
          <w:sz w:val="24"/>
          <w:szCs w:val="24"/>
          <w:highlight w:val="none"/>
        </w:rPr>
        <w:t>准。</w:t>
      </w:r>
      <w:bookmarkEnd w:id="82"/>
    </w:p>
    <w:p w14:paraId="02A221E4">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14.3  </w:t>
      </w:r>
      <w:r>
        <w:rPr>
          <w:rFonts w:hint="eastAsia" w:ascii="宋体" w:hAnsi="宋体" w:eastAsia="宋体" w:cs="宋体"/>
          <w:color w:val="auto"/>
          <w:spacing w:val="-3"/>
          <w:sz w:val="24"/>
          <w:szCs w:val="24"/>
          <w:highlight w:val="none"/>
        </w:rPr>
        <w:t>投标人对开标相关事项（如开标程序等）有异议的，必须在开标期间和开标</w:t>
      </w:r>
      <w:r>
        <w:rPr>
          <w:rFonts w:hint="eastAsia" w:ascii="宋体" w:hAnsi="宋体" w:eastAsia="宋体" w:cs="宋体"/>
          <w:color w:val="auto"/>
          <w:spacing w:val="-1"/>
          <w:sz w:val="24"/>
          <w:szCs w:val="24"/>
          <w:highlight w:val="none"/>
        </w:rPr>
        <w:t>现场提出，招标人或其授权的招标代理机构应当场作出答</w:t>
      </w:r>
      <w:r>
        <w:rPr>
          <w:rFonts w:hint="eastAsia" w:ascii="宋体" w:hAnsi="宋体" w:eastAsia="宋体" w:cs="宋体"/>
          <w:color w:val="auto"/>
          <w:spacing w:val="-2"/>
          <w:sz w:val="24"/>
          <w:szCs w:val="24"/>
          <w:highlight w:val="none"/>
        </w:rPr>
        <w:t>复，并记录在案。对开标事</w:t>
      </w:r>
      <w:r>
        <w:rPr>
          <w:rFonts w:hint="eastAsia" w:ascii="宋体" w:hAnsi="宋体" w:eastAsia="宋体" w:cs="宋体"/>
          <w:color w:val="auto"/>
          <w:spacing w:val="-1"/>
          <w:sz w:val="24"/>
          <w:szCs w:val="24"/>
          <w:highlight w:val="none"/>
        </w:rPr>
        <w:t>项的异议未在开标期间和开标现场提出的，招标人不予受理。</w:t>
      </w:r>
    </w:p>
    <w:p w14:paraId="3FB871EB">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8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14.4 </w:t>
      </w:r>
      <w:r>
        <w:rPr>
          <w:rFonts w:hint="eastAsia" w:ascii="宋体" w:hAnsi="宋体" w:eastAsia="宋体" w:cs="宋体"/>
          <w:color w:val="auto"/>
          <w:spacing w:val="-1"/>
          <w:sz w:val="24"/>
          <w:szCs w:val="24"/>
          <w:highlight w:val="none"/>
        </w:rPr>
        <w:t>招标代理机构将资料原件（如有）</w:t>
      </w:r>
      <w:r>
        <w:rPr>
          <w:rFonts w:hint="eastAsia" w:ascii="宋体" w:hAnsi="宋体" w:eastAsia="宋体" w:cs="宋体"/>
          <w:color w:val="auto"/>
          <w:spacing w:val="-2"/>
          <w:sz w:val="24"/>
          <w:szCs w:val="24"/>
          <w:highlight w:val="none"/>
        </w:rPr>
        <w:t>、《开标一览表》以及其他有关资料移交评标委员会。</w:t>
      </w:r>
    </w:p>
    <w:p w14:paraId="78E39F9C">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2"/>
        <w:rPr>
          <w:rFonts w:hint="eastAsia" w:ascii="宋体" w:hAnsi="宋体" w:eastAsia="宋体" w:cs="宋体"/>
          <w:color w:val="auto"/>
          <w:highlight w:val="none"/>
        </w:rPr>
      </w:pPr>
      <w:bookmarkStart w:id="83" w:name="_Toc961"/>
      <w:bookmarkStart w:id="84" w:name="_Toc32335"/>
      <w:r>
        <w:rPr>
          <w:rFonts w:hint="eastAsia" w:ascii="宋体" w:hAnsi="宋体" w:eastAsia="宋体" w:cs="宋体"/>
          <w:b/>
          <w:bCs/>
          <w:color w:val="auto"/>
          <w:spacing w:val="-11"/>
          <w:sz w:val="24"/>
          <w:szCs w:val="24"/>
          <w:highlight w:val="none"/>
        </w:rPr>
        <w:t>15</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11"/>
          <w:sz w:val="24"/>
          <w:szCs w:val="24"/>
          <w:highlight w:val="none"/>
        </w:rPr>
        <w:t>．评标</w:t>
      </w:r>
      <w:bookmarkEnd w:id="83"/>
      <w:bookmarkEnd w:id="84"/>
    </w:p>
    <w:p w14:paraId="3F75F778">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82"/>
        <w:textAlignment w:val="baseline"/>
        <w:rPr>
          <w:rFonts w:hint="eastAsia" w:ascii="宋体" w:hAnsi="宋体" w:eastAsia="宋体" w:cs="宋体"/>
          <w:color w:val="auto"/>
          <w:sz w:val="24"/>
          <w:szCs w:val="24"/>
          <w:highlight w:val="none"/>
        </w:rPr>
      </w:pPr>
      <w:bookmarkStart w:id="85" w:name="bookmark124"/>
      <w:bookmarkEnd w:id="85"/>
      <w:r>
        <w:rPr>
          <w:rFonts w:hint="eastAsia" w:ascii="宋体" w:hAnsi="宋体" w:eastAsia="宋体" w:cs="宋体"/>
          <w:color w:val="auto"/>
          <w:spacing w:val="-1"/>
          <w:sz w:val="24"/>
          <w:szCs w:val="24"/>
          <w:highlight w:val="none"/>
        </w:rPr>
        <w:t>评标分为初步评审和详细评审两个阶段，由评标委员会</w:t>
      </w:r>
      <w:r>
        <w:rPr>
          <w:rFonts w:hint="eastAsia" w:ascii="宋体" w:hAnsi="宋体" w:eastAsia="宋体" w:cs="宋体"/>
          <w:color w:val="auto"/>
          <w:spacing w:val="-2"/>
          <w:sz w:val="24"/>
          <w:szCs w:val="24"/>
          <w:highlight w:val="none"/>
        </w:rPr>
        <w:t>在有关部门的监督下，严</w:t>
      </w:r>
      <w:r>
        <w:rPr>
          <w:rFonts w:hint="eastAsia" w:ascii="宋体" w:hAnsi="宋体" w:eastAsia="宋体" w:cs="宋体"/>
          <w:color w:val="auto"/>
          <w:spacing w:val="-1"/>
          <w:sz w:val="24"/>
          <w:szCs w:val="24"/>
          <w:highlight w:val="none"/>
        </w:rPr>
        <w:t>格按照本招标文件指定的评标方法，对投标人的投标文件进行审</w:t>
      </w:r>
      <w:r>
        <w:rPr>
          <w:rFonts w:hint="eastAsia" w:ascii="宋体" w:hAnsi="宋体" w:eastAsia="宋体" w:cs="宋体"/>
          <w:color w:val="auto"/>
          <w:spacing w:val="-2"/>
          <w:sz w:val="24"/>
          <w:szCs w:val="24"/>
          <w:highlight w:val="none"/>
        </w:rPr>
        <w:t>查、评审。评标委员</w:t>
      </w:r>
      <w:r>
        <w:rPr>
          <w:rFonts w:hint="eastAsia" w:ascii="宋体" w:hAnsi="宋体" w:eastAsia="宋体" w:cs="宋体"/>
          <w:color w:val="auto"/>
          <w:spacing w:val="2"/>
          <w:sz w:val="24"/>
          <w:szCs w:val="24"/>
          <w:highlight w:val="none"/>
        </w:rPr>
        <w:t>会完成评标后，向招标人推荐</w:t>
      </w:r>
      <w:r>
        <w:rPr>
          <w:rFonts w:hint="eastAsia" w:ascii="宋体" w:hAnsi="宋体" w:eastAsia="宋体" w:cs="宋体"/>
          <w:color w:val="auto"/>
          <w:spacing w:val="2"/>
          <w:sz w:val="24"/>
          <w:szCs w:val="24"/>
          <w:highlight w:val="none"/>
          <w:u w:val="single"/>
        </w:rPr>
        <w:t xml:space="preserve"> 3 </w:t>
      </w:r>
      <w:r>
        <w:rPr>
          <w:rFonts w:hint="eastAsia" w:ascii="宋体" w:hAnsi="宋体" w:eastAsia="宋体" w:cs="宋体"/>
          <w:color w:val="auto"/>
          <w:spacing w:val="2"/>
          <w:sz w:val="24"/>
          <w:szCs w:val="24"/>
          <w:highlight w:val="none"/>
        </w:rPr>
        <w:t>个中标候选人，并向招标人提交由全</w:t>
      </w:r>
      <w:r>
        <w:rPr>
          <w:rFonts w:hint="eastAsia" w:ascii="宋体" w:hAnsi="宋体" w:eastAsia="宋体" w:cs="宋体"/>
          <w:color w:val="auto"/>
          <w:spacing w:val="1"/>
          <w:sz w:val="24"/>
          <w:szCs w:val="24"/>
          <w:highlight w:val="none"/>
        </w:rPr>
        <w:t>体评标委员会</w:t>
      </w:r>
      <w:r>
        <w:rPr>
          <w:rFonts w:hint="eastAsia" w:ascii="宋体" w:hAnsi="宋体" w:eastAsia="宋体" w:cs="宋体"/>
          <w:color w:val="auto"/>
          <w:spacing w:val="-1"/>
          <w:sz w:val="24"/>
          <w:szCs w:val="24"/>
          <w:highlight w:val="none"/>
        </w:rPr>
        <w:t>成员签字的评标报告。</w:t>
      </w:r>
    </w:p>
    <w:p w14:paraId="3D291E21">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  </w:t>
      </w:r>
      <w:r>
        <w:rPr>
          <w:rFonts w:hint="eastAsia" w:ascii="宋体" w:hAnsi="宋体" w:eastAsia="宋体" w:cs="宋体"/>
          <w:color w:val="auto"/>
          <w:spacing w:val="-2"/>
          <w:sz w:val="24"/>
          <w:szCs w:val="24"/>
          <w:highlight w:val="none"/>
        </w:rPr>
        <w:t>评标委员会</w:t>
      </w:r>
    </w:p>
    <w:p w14:paraId="4E5F1ADD">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15.1.1 </w:t>
      </w:r>
      <w:r>
        <w:rPr>
          <w:rFonts w:hint="eastAsia" w:ascii="宋体" w:hAnsi="宋体" w:eastAsia="宋体" w:cs="宋体"/>
          <w:color w:val="auto"/>
          <w:sz w:val="24"/>
          <w:szCs w:val="24"/>
          <w:highlight w:val="none"/>
        </w:rPr>
        <w:t>评标委员会由</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人组成，其中招标人代表</w:t>
      </w:r>
      <w:r>
        <w:rPr>
          <w:rFonts w:hint="eastAsia" w:ascii="宋体" w:hAnsi="宋体" w:eastAsia="宋体" w:cs="宋体"/>
          <w:color w:val="auto"/>
          <w:sz w:val="24"/>
          <w:szCs w:val="24"/>
          <w:highlight w:val="none"/>
          <w:u w:val="single"/>
        </w:rPr>
        <w:t xml:space="preserve"> 0 </w:t>
      </w:r>
      <w:r>
        <w:rPr>
          <w:rFonts w:hint="eastAsia" w:ascii="宋体" w:hAnsi="宋体" w:eastAsia="宋体" w:cs="宋体"/>
          <w:color w:val="auto"/>
          <w:sz w:val="24"/>
          <w:szCs w:val="24"/>
          <w:highlight w:val="none"/>
        </w:rPr>
        <w:t>人，专家</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人。专家从</w:t>
      </w:r>
      <w:r>
        <w:rPr>
          <w:rFonts w:hint="eastAsia" w:ascii="宋体" w:hAnsi="宋体" w:eastAsia="宋体" w:cs="宋体"/>
          <w:color w:val="auto"/>
          <w:sz w:val="24"/>
          <w:szCs w:val="24"/>
          <w:highlight w:val="none"/>
          <w:u w:val="single"/>
        </w:rPr>
        <w:t>广东省综合评标评审专家库</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韶关区域</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rPr>
        <w:t>中随机抽取，其中技术类专家</w:t>
      </w:r>
      <w:r>
        <w:rPr>
          <w:rFonts w:hint="eastAsia" w:ascii="宋体" w:hAnsi="宋体" w:eastAsia="宋体" w:cs="宋体"/>
          <w:color w:val="auto"/>
          <w:sz w:val="24"/>
          <w:szCs w:val="24"/>
          <w:highlight w:val="none"/>
          <w:u w:val="single"/>
        </w:rPr>
        <w:t xml:space="preserve"> 3 </w:t>
      </w:r>
      <w:r>
        <w:rPr>
          <w:rFonts w:hint="eastAsia" w:ascii="宋体" w:hAnsi="宋体" w:eastAsia="宋体" w:cs="宋体"/>
          <w:color w:val="auto"/>
          <w:sz w:val="24"/>
          <w:szCs w:val="24"/>
          <w:highlight w:val="none"/>
        </w:rPr>
        <w:t>人，经济类专家</w:t>
      </w:r>
      <w:r>
        <w:rPr>
          <w:rFonts w:hint="eastAsia" w:ascii="宋体" w:hAnsi="宋体" w:eastAsia="宋体" w:cs="宋体"/>
          <w:color w:val="auto"/>
          <w:sz w:val="24"/>
          <w:szCs w:val="24"/>
          <w:highlight w:val="none"/>
          <w:u w:val="single"/>
        </w:rPr>
        <w:t xml:space="preserve"> 2 </w:t>
      </w:r>
      <w:r>
        <w:rPr>
          <w:rFonts w:hint="eastAsia" w:ascii="宋体" w:hAnsi="宋体" w:eastAsia="宋体" w:cs="宋体"/>
          <w:color w:val="auto"/>
          <w:sz w:val="24"/>
          <w:szCs w:val="24"/>
          <w:highlight w:val="none"/>
        </w:rPr>
        <w:t>人。</w:t>
      </w:r>
      <w:r>
        <w:rPr>
          <w:rFonts w:hint="eastAsia" w:ascii="宋体" w:hAnsi="宋体" w:eastAsia="宋体" w:cs="宋体"/>
          <w:color w:val="auto"/>
          <w:spacing w:val="-1"/>
          <w:sz w:val="24"/>
          <w:szCs w:val="24"/>
          <w:highlight w:val="none"/>
        </w:rPr>
        <w:t>评标委员会设负责人，由评标委员会成员推举产生</w:t>
      </w:r>
      <w:r>
        <w:rPr>
          <w:rFonts w:hint="eastAsia" w:ascii="宋体" w:hAnsi="宋体" w:eastAsia="宋体" w:cs="宋体"/>
          <w:color w:val="auto"/>
          <w:spacing w:val="-2"/>
          <w:sz w:val="24"/>
          <w:szCs w:val="24"/>
          <w:highlight w:val="none"/>
        </w:rPr>
        <w:t>。评标委员会负责人与评</w:t>
      </w:r>
      <w:r>
        <w:rPr>
          <w:rFonts w:hint="eastAsia" w:ascii="宋体" w:hAnsi="宋体" w:eastAsia="宋体" w:cs="宋体"/>
          <w:color w:val="auto"/>
          <w:spacing w:val="-1"/>
          <w:sz w:val="24"/>
          <w:szCs w:val="24"/>
          <w:highlight w:val="none"/>
        </w:rPr>
        <w:t>标委员会的其他成员有同等的表决权。</w:t>
      </w:r>
    </w:p>
    <w:p w14:paraId="131C4B7B">
      <w:pPr>
        <w:keepNext w:val="0"/>
        <w:keepLines w:val="0"/>
        <w:pageBreakBefore w:val="0"/>
        <w:widowControl w:val="0"/>
        <w:kinsoku/>
        <w:wordWrap w:val="0"/>
        <w:overflowPunct/>
        <w:topLinePunct/>
        <w:autoSpaceDE/>
        <w:autoSpaceDN/>
        <w:bidi w:val="0"/>
        <w:adjustRightInd w:val="0"/>
        <w:snapToGrid w:val="0"/>
        <w:spacing w:line="360" w:lineRule="auto"/>
        <w:ind w:left="13" w:right="84" w:rightChars="40" w:firstLine="561"/>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15.1.2  </w:t>
      </w:r>
      <w:r>
        <w:rPr>
          <w:rFonts w:hint="eastAsia" w:ascii="宋体" w:hAnsi="宋体" w:eastAsia="宋体" w:cs="宋体"/>
          <w:color w:val="auto"/>
          <w:spacing w:val="-2"/>
          <w:sz w:val="24"/>
          <w:szCs w:val="24"/>
          <w:highlight w:val="none"/>
        </w:rPr>
        <w:t>评标委员会应认真、公正、诚实、廉洁地履行职责。有下列情形之一的，不得担任评标委员会成员：</w:t>
      </w:r>
    </w:p>
    <w:p w14:paraId="04BD2D99">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（1）投标人或投标人主要负责人的近亲属；</w:t>
      </w:r>
    </w:p>
    <w:p w14:paraId="0BB77285">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（2）项目主管部门或者行政监督部门的人员；</w:t>
      </w:r>
    </w:p>
    <w:p w14:paraId="61B54ADA">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（3）与投标人有经济利益关系，可能影响对投标公正评审的；</w:t>
      </w:r>
    </w:p>
    <w:p w14:paraId="64BBB9E6">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57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（4）曾因在招标、评标以及其他与招标投标有关活动中从事违法行为而受过行政处罚或刑事处罚的。</w:t>
      </w:r>
    </w:p>
    <w:p w14:paraId="67B2E484">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评标委员会成员有以上情形之一的，应主动提出回避。</w:t>
      </w:r>
    </w:p>
    <w:p w14:paraId="2D64422C">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15.1.3  </w:t>
      </w:r>
      <w:r>
        <w:rPr>
          <w:rFonts w:hint="eastAsia" w:ascii="宋体" w:hAnsi="宋体" w:eastAsia="宋体" w:cs="宋体"/>
          <w:color w:val="auto"/>
          <w:spacing w:val="-1"/>
          <w:sz w:val="24"/>
          <w:szCs w:val="24"/>
          <w:highlight w:val="none"/>
        </w:rPr>
        <w:t>评标全过程实行封闭式管理，在中标结果公</w:t>
      </w:r>
      <w:r>
        <w:rPr>
          <w:rFonts w:hint="eastAsia" w:ascii="宋体" w:hAnsi="宋体" w:eastAsia="宋体" w:cs="宋体"/>
          <w:color w:val="auto"/>
          <w:spacing w:val="-2"/>
          <w:sz w:val="24"/>
          <w:szCs w:val="24"/>
          <w:highlight w:val="none"/>
        </w:rPr>
        <w:t>布前，禁止评标委员会成员以</w:t>
      </w:r>
      <w:r>
        <w:rPr>
          <w:rFonts w:hint="eastAsia" w:ascii="宋体" w:hAnsi="宋体" w:eastAsia="宋体" w:cs="宋体"/>
          <w:color w:val="auto"/>
          <w:spacing w:val="-1"/>
          <w:sz w:val="24"/>
          <w:szCs w:val="24"/>
          <w:highlight w:val="none"/>
        </w:rPr>
        <w:t>任何方式私下接触投标人。</w:t>
      </w:r>
    </w:p>
    <w:p w14:paraId="7C1B6FE4">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15.1.4  </w:t>
      </w:r>
      <w:r>
        <w:rPr>
          <w:rFonts w:hint="eastAsia" w:ascii="宋体" w:hAnsi="宋体" w:eastAsia="宋体" w:cs="宋体"/>
          <w:color w:val="auto"/>
          <w:spacing w:val="-1"/>
          <w:sz w:val="24"/>
          <w:szCs w:val="24"/>
          <w:highlight w:val="none"/>
        </w:rPr>
        <w:t>在评标过程中，评标委员会可以书面形式要</w:t>
      </w:r>
      <w:r>
        <w:rPr>
          <w:rFonts w:hint="eastAsia" w:ascii="宋体" w:hAnsi="宋体" w:eastAsia="宋体" w:cs="宋体"/>
          <w:color w:val="auto"/>
          <w:spacing w:val="-2"/>
          <w:sz w:val="24"/>
          <w:szCs w:val="24"/>
          <w:highlight w:val="none"/>
        </w:rPr>
        <w:t>求投标人对所提交的投标文件</w:t>
      </w:r>
      <w:r>
        <w:rPr>
          <w:rFonts w:hint="eastAsia" w:ascii="宋体" w:hAnsi="宋体" w:eastAsia="宋体" w:cs="宋体"/>
          <w:color w:val="auto"/>
          <w:spacing w:val="-1"/>
          <w:sz w:val="24"/>
          <w:szCs w:val="24"/>
          <w:highlight w:val="none"/>
        </w:rPr>
        <w:t>中不明确的内容进行书面澄清或说明，但不接受投标人主</w:t>
      </w:r>
      <w:r>
        <w:rPr>
          <w:rFonts w:hint="eastAsia" w:ascii="宋体" w:hAnsi="宋体" w:eastAsia="宋体" w:cs="宋体"/>
          <w:color w:val="auto"/>
          <w:spacing w:val="-2"/>
          <w:sz w:val="24"/>
          <w:szCs w:val="24"/>
          <w:highlight w:val="none"/>
        </w:rPr>
        <w:t>动提出的澄清或说明。投标</w:t>
      </w:r>
      <w:r>
        <w:rPr>
          <w:rFonts w:hint="eastAsia" w:ascii="宋体" w:hAnsi="宋体" w:eastAsia="宋体" w:cs="宋体"/>
          <w:color w:val="auto"/>
          <w:spacing w:val="-1"/>
          <w:sz w:val="24"/>
          <w:szCs w:val="24"/>
          <w:highlight w:val="none"/>
        </w:rPr>
        <w:t>人的书面澄清或说明不得改变投标文件的实质性内容，并</w:t>
      </w:r>
      <w:r>
        <w:rPr>
          <w:rFonts w:hint="eastAsia" w:ascii="宋体" w:hAnsi="宋体" w:eastAsia="宋体" w:cs="宋体"/>
          <w:color w:val="auto"/>
          <w:spacing w:val="-2"/>
          <w:sz w:val="24"/>
          <w:szCs w:val="24"/>
          <w:highlight w:val="none"/>
        </w:rPr>
        <w:t>作为投标文件的组成部分。</w:t>
      </w:r>
    </w:p>
    <w:p w14:paraId="4B759835">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569"/>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15.1.5  </w:t>
      </w:r>
      <w:r>
        <w:rPr>
          <w:rFonts w:hint="eastAsia" w:ascii="宋体" w:hAnsi="宋体" w:eastAsia="宋体" w:cs="宋体"/>
          <w:color w:val="auto"/>
          <w:spacing w:val="-3"/>
          <w:sz w:val="24"/>
          <w:szCs w:val="24"/>
          <w:highlight w:val="none"/>
        </w:rPr>
        <w:t>在任何评标环节中，当评标委员会就某</w:t>
      </w:r>
      <w:r>
        <w:rPr>
          <w:rFonts w:hint="eastAsia" w:ascii="宋体" w:hAnsi="宋体" w:eastAsia="宋体" w:cs="宋体"/>
          <w:color w:val="auto"/>
          <w:spacing w:val="-4"/>
          <w:sz w:val="24"/>
          <w:szCs w:val="24"/>
          <w:highlight w:val="none"/>
        </w:rPr>
        <w:t>项定性的评审结论不统一、需要做</w:t>
      </w:r>
      <w:r>
        <w:rPr>
          <w:rFonts w:hint="eastAsia" w:ascii="宋体" w:hAnsi="宋体" w:eastAsia="宋体" w:cs="宋体"/>
          <w:color w:val="auto"/>
          <w:spacing w:val="-1"/>
          <w:sz w:val="24"/>
          <w:szCs w:val="24"/>
          <w:highlight w:val="none"/>
        </w:rPr>
        <w:t>出表决时，由评标委员会全体成员按照少数服从多数的原则，以</w:t>
      </w:r>
      <w:r>
        <w:rPr>
          <w:rFonts w:hint="eastAsia" w:ascii="宋体" w:hAnsi="宋体" w:eastAsia="宋体" w:cs="宋体"/>
          <w:color w:val="auto"/>
          <w:spacing w:val="-2"/>
          <w:sz w:val="24"/>
          <w:szCs w:val="24"/>
          <w:highlight w:val="none"/>
        </w:rPr>
        <w:t>记名投票方式表决。</w:t>
      </w:r>
      <w:r>
        <w:rPr>
          <w:rFonts w:hint="eastAsia" w:ascii="宋体" w:hAnsi="宋体" w:eastAsia="宋体" w:cs="宋体"/>
          <w:color w:val="auto"/>
          <w:spacing w:val="-1"/>
          <w:sz w:val="24"/>
          <w:szCs w:val="24"/>
          <w:highlight w:val="none"/>
        </w:rPr>
        <w:t>评标委员会全体成员应共同遵守和执行表决结果，严禁评标委员</w:t>
      </w:r>
      <w:r>
        <w:rPr>
          <w:rFonts w:hint="eastAsia" w:ascii="宋体" w:hAnsi="宋体" w:eastAsia="宋体" w:cs="宋体"/>
          <w:color w:val="auto"/>
          <w:spacing w:val="-2"/>
          <w:sz w:val="24"/>
          <w:szCs w:val="24"/>
          <w:highlight w:val="none"/>
        </w:rPr>
        <w:t>会任何成员将个人意</w:t>
      </w:r>
      <w:r>
        <w:rPr>
          <w:rFonts w:hint="eastAsia" w:ascii="宋体" w:hAnsi="宋体" w:eastAsia="宋体" w:cs="宋体"/>
          <w:color w:val="auto"/>
          <w:spacing w:val="-1"/>
          <w:sz w:val="24"/>
          <w:szCs w:val="24"/>
          <w:highlight w:val="none"/>
        </w:rPr>
        <w:t>见强加给他人、影响评标正常秩序和妨碍评审结论的公正性。</w:t>
      </w:r>
    </w:p>
    <w:p w14:paraId="19656F7F">
      <w:pPr>
        <w:keepNext w:val="0"/>
        <w:keepLines w:val="0"/>
        <w:pageBreakBefore w:val="0"/>
        <w:widowControl w:val="0"/>
        <w:kinsoku/>
        <w:wordWrap w:val="0"/>
        <w:overflowPunct/>
        <w:topLinePunct/>
        <w:autoSpaceDE/>
        <w:autoSpaceDN/>
        <w:bidi w:val="0"/>
        <w:adjustRightInd w:val="0"/>
        <w:snapToGrid w:val="0"/>
        <w:spacing w:line="360" w:lineRule="auto"/>
        <w:ind w:left="577" w:right="84" w:rightChars="40"/>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15.2  </w:t>
      </w:r>
      <w:r>
        <w:rPr>
          <w:rFonts w:hint="eastAsia" w:ascii="宋体" w:hAnsi="宋体" w:eastAsia="宋体" w:cs="宋体"/>
          <w:color w:val="auto"/>
          <w:spacing w:val="-2"/>
          <w:sz w:val="24"/>
          <w:szCs w:val="24"/>
          <w:highlight w:val="none"/>
        </w:rPr>
        <w:t>评标方法</w:t>
      </w:r>
    </w:p>
    <w:p w14:paraId="3B757360">
      <w:pPr>
        <w:keepNext w:val="0"/>
        <w:keepLines w:val="0"/>
        <w:pageBreakBefore w:val="0"/>
        <w:widowControl w:val="0"/>
        <w:kinsoku/>
        <w:wordWrap w:val="0"/>
        <w:overflowPunct/>
        <w:topLinePunct/>
        <w:autoSpaceDE/>
        <w:autoSpaceDN/>
        <w:bidi w:val="0"/>
        <w:adjustRightInd w:val="0"/>
        <w:snapToGrid w:val="0"/>
        <w:spacing w:line="360" w:lineRule="auto"/>
        <w:ind w:left="231" w:right="84" w:rightChars="40" w:firstLine="560"/>
        <w:rPr>
          <w:rFonts w:hint="eastAsia" w:ascii="宋体" w:hAnsi="宋体" w:eastAsia="宋体" w:cs="宋体"/>
          <w:color w:val="auto"/>
          <w:highlight w:val="none"/>
        </w:rPr>
      </w:pPr>
      <w:bookmarkStart w:id="86" w:name="bookmark125"/>
      <w:bookmarkEnd w:id="86"/>
      <w:r>
        <w:rPr>
          <w:rFonts w:hint="eastAsia" w:ascii="宋体" w:hAnsi="宋体" w:eastAsia="宋体" w:cs="宋体"/>
          <w:color w:val="auto"/>
          <w:spacing w:val="-4"/>
          <w:sz w:val="24"/>
          <w:szCs w:val="24"/>
          <w:highlight w:val="none"/>
        </w:rPr>
        <w:t>根据有关</w:t>
      </w:r>
      <w:r>
        <w:rPr>
          <w:rFonts w:hint="eastAsia" w:ascii="宋体" w:hAnsi="宋体" w:eastAsia="宋体" w:cs="宋体"/>
          <w:color w:val="auto"/>
          <w:spacing w:val="-4"/>
          <w:sz w:val="24"/>
          <w:szCs w:val="24"/>
          <w:highlight w:val="none"/>
          <w:lang w:eastAsia="zh-CN"/>
        </w:rPr>
        <w:t>法律法规</w:t>
      </w:r>
      <w:r>
        <w:rPr>
          <w:rFonts w:hint="eastAsia" w:ascii="宋体" w:hAnsi="宋体" w:eastAsia="宋体" w:cs="宋体"/>
          <w:color w:val="auto"/>
          <w:spacing w:val="-4"/>
          <w:sz w:val="24"/>
          <w:szCs w:val="24"/>
          <w:highlight w:val="none"/>
        </w:rPr>
        <w:t>的相关规定，结合本招标项目资金来源和规模特点，本次招</w:t>
      </w:r>
      <w:r>
        <w:rPr>
          <w:rFonts w:hint="eastAsia" w:ascii="宋体" w:hAnsi="宋体" w:eastAsia="宋体" w:cs="宋体"/>
          <w:color w:val="auto"/>
          <w:spacing w:val="-1"/>
          <w:sz w:val="24"/>
          <w:szCs w:val="24"/>
          <w:highlight w:val="none"/>
        </w:rPr>
        <w:t>标采用</w:t>
      </w:r>
      <w:r>
        <w:rPr>
          <w:rFonts w:hint="eastAsia" w:ascii="宋体" w:hAnsi="宋体" w:eastAsia="宋体" w:cs="宋体"/>
          <w:b/>
          <w:bCs/>
          <w:color w:val="auto"/>
          <w:spacing w:val="-4"/>
          <w:sz w:val="24"/>
          <w:szCs w:val="24"/>
          <w:highlight w:val="none"/>
          <w:u w:val="single"/>
        </w:rPr>
        <w:t xml:space="preserve"> 综合评估法</w:t>
      </w:r>
      <w:r>
        <w:rPr>
          <w:rFonts w:hint="eastAsia" w:ascii="宋体" w:hAnsi="宋体" w:eastAsia="宋体" w:cs="宋体"/>
          <w:color w:val="auto"/>
          <w:spacing w:val="-4"/>
          <w:sz w:val="24"/>
          <w:szCs w:val="24"/>
          <w:highlight w:val="none"/>
          <w:u w:val="single"/>
        </w:rPr>
        <w:t>（</w:t>
      </w:r>
      <w:r>
        <w:rPr>
          <w:rFonts w:hint="eastAsia" w:ascii="宋体" w:hAnsi="宋体" w:eastAsia="宋体" w:cs="宋体"/>
          <w:color w:val="auto"/>
          <w:spacing w:val="-1"/>
          <w:sz w:val="24"/>
          <w:szCs w:val="24"/>
          <w:highlight w:val="none"/>
        </w:rPr>
        <w:t>评标方法名称）进行评标。</w:t>
      </w:r>
    </w:p>
    <w:p w14:paraId="1A5BEF3B">
      <w:pPr>
        <w:keepNext w:val="0"/>
        <w:keepLines w:val="0"/>
        <w:pageBreakBefore w:val="0"/>
        <w:widowControl w:val="0"/>
        <w:kinsoku/>
        <w:wordWrap w:val="0"/>
        <w:overflowPunct/>
        <w:topLinePunct/>
        <w:autoSpaceDE/>
        <w:autoSpaceDN/>
        <w:bidi w:val="0"/>
        <w:adjustRightInd w:val="0"/>
        <w:snapToGrid w:val="0"/>
        <w:spacing w:line="360" w:lineRule="auto"/>
        <w:ind w:left="220" w:right="84" w:rightChars="40" w:firstLine="496"/>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15.3  </w:t>
      </w:r>
      <w:r>
        <w:rPr>
          <w:rFonts w:hint="eastAsia" w:ascii="宋体" w:hAnsi="宋体" w:eastAsia="宋体" w:cs="宋体"/>
          <w:color w:val="auto"/>
          <w:spacing w:val="-3"/>
          <w:sz w:val="24"/>
          <w:szCs w:val="24"/>
          <w:highlight w:val="none"/>
        </w:rPr>
        <w:t>评审范围：评标委员会应对所有投标人的投标文件进行评审。</w:t>
      </w:r>
    </w:p>
    <w:p w14:paraId="055DDC04">
      <w:pPr>
        <w:keepNext w:val="0"/>
        <w:keepLines w:val="0"/>
        <w:pageBreakBefore w:val="0"/>
        <w:widowControl w:val="0"/>
        <w:kinsoku/>
        <w:wordWrap w:val="0"/>
        <w:overflowPunct/>
        <w:topLinePunct/>
        <w:autoSpaceDE/>
        <w:autoSpaceDN/>
        <w:bidi w:val="0"/>
        <w:adjustRightInd w:val="0"/>
        <w:snapToGrid w:val="0"/>
        <w:spacing w:line="360" w:lineRule="auto"/>
        <w:ind w:left="71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15.4  </w:t>
      </w:r>
      <w:r>
        <w:rPr>
          <w:rFonts w:hint="eastAsia" w:ascii="宋体" w:hAnsi="宋体" w:eastAsia="宋体" w:cs="宋体"/>
          <w:color w:val="auto"/>
          <w:spacing w:val="-2"/>
          <w:sz w:val="24"/>
          <w:szCs w:val="24"/>
          <w:highlight w:val="none"/>
        </w:rPr>
        <w:t>初步评审阶段</w:t>
      </w:r>
    </w:p>
    <w:p w14:paraId="3B45D58B">
      <w:pPr>
        <w:keepNext w:val="0"/>
        <w:keepLines w:val="0"/>
        <w:pageBreakBefore w:val="0"/>
        <w:widowControl w:val="0"/>
        <w:kinsoku/>
        <w:wordWrap w:val="0"/>
        <w:overflowPunct/>
        <w:topLinePunct/>
        <w:autoSpaceDE/>
        <w:autoSpaceDN/>
        <w:bidi w:val="0"/>
        <w:adjustRightInd w:val="0"/>
        <w:snapToGrid w:val="0"/>
        <w:spacing w:line="360" w:lineRule="auto"/>
        <w:ind w:left="70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初步评审阶段分为资格评审、形式评审和响应性评审三个环节。</w:t>
      </w:r>
    </w:p>
    <w:p w14:paraId="0827C974">
      <w:pPr>
        <w:keepNext w:val="0"/>
        <w:keepLines w:val="0"/>
        <w:pageBreakBefore w:val="0"/>
        <w:widowControl w:val="0"/>
        <w:kinsoku/>
        <w:wordWrap w:val="0"/>
        <w:overflowPunct/>
        <w:topLinePunct/>
        <w:autoSpaceDE/>
        <w:autoSpaceDN/>
        <w:bidi w:val="0"/>
        <w:adjustRightInd w:val="0"/>
        <w:snapToGrid w:val="0"/>
        <w:spacing w:line="360" w:lineRule="auto"/>
        <w:ind w:left="719" w:right="84" w:rightChars="40" w:hanging="3"/>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15.4.1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2"/>
          <w:sz w:val="24"/>
          <w:szCs w:val="24"/>
          <w:highlight w:val="none"/>
        </w:rPr>
        <w:t xml:space="preserve"> 资格评审环</w:t>
      </w:r>
      <w:r>
        <w:rPr>
          <w:rFonts w:hint="eastAsia" w:ascii="宋体" w:hAnsi="宋体" w:eastAsia="宋体" w:cs="宋体"/>
          <w:color w:val="auto"/>
          <w:spacing w:val="-3"/>
          <w:sz w:val="24"/>
          <w:szCs w:val="24"/>
          <w:highlight w:val="none"/>
        </w:rPr>
        <w:t>节资格评审事项包括：</w:t>
      </w:r>
    </w:p>
    <w:p w14:paraId="61708ED7">
      <w:pPr>
        <w:keepNext w:val="0"/>
        <w:keepLines w:val="0"/>
        <w:pageBreakBefore w:val="0"/>
        <w:widowControl w:val="0"/>
        <w:kinsoku/>
        <w:wordWrap w:val="0"/>
        <w:overflowPunct/>
        <w:topLinePunct/>
        <w:autoSpaceDE/>
        <w:autoSpaceDN/>
        <w:bidi w:val="0"/>
        <w:adjustRightInd w:val="0"/>
        <w:snapToGrid w:val="0"/>
        <w:spacing w:line="360" w:lineRule="auto"/>
        <w:ind w:left="231" w:right="84" w:rightChars="40" w:firstLine="49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（1）投标人是否符合本章第三节第 2.4 条“禁止投标条款”规定。如果“禁止投标条款”包括失信惩戒的，投标人信用信息的获取采用现场实时查询的方式实施。由</w:t>
      </w:r>
      <w:r>
        <w:rPr>
          <w:rFonts w:hint="eastAsia" w:ascii="宋体" w:hAnsi="宋体" w:eastAsia="宋体" w:cs="宋体"/>
          <w:color w:val="auto"/>
          <w:spacing w:val="-4"/>
          <w:sz w:val="24"/>
          <w:szCs w:val="24"/>
          <w:highlight w:val="none"/>
          <w:lang w:val="en-US" w:eastAsia="zh-CN"/>
        </w:rPr>
        <w:t>评标委员会</w:t>
      </w:r>
      <w:r>
        <w:rPr>
          <w:rFonts w:hint="eastAsia" w:ascii="宋体" w:hAnsi="宋体" w:eastAsia="宋体" w:cs="宋体"/>
          <w:color w:val="auto"/>
          <w:spacing w:val="-4"/>
          <w:sz w:val="24"/>
          <w:szCs w:val="24"/>
          <w:highlight w:val="none"/>
        </w:rPr>
        <w:t>登录信用中国网站（https://www.creditchina.gov.cn），在企业查询界面下载和打印《法人和非法人组织公共信用信息报告》。</w:t>
      </w:r>
    </w:p>
    <w:p w14:paraId="61C4B6EF">
      <w:pPr>
        <w:keepNext w:val="0"/>
        <w:keepLines w:val="0"/>
        <w:pageBreakBefore w:val="0"/>
        <w:widowControl w:val="0"/>
        <w:kinsoku/>
        <w:wordWrap w:val="0"/>
        <w:overflowPunct/>
        <w:topLinePunct/>
        <w:autoSpaceDE/>
        <w:autoSpaceDN/>
        <w:bidi w:val="0"/>
        <w:adjustRightInd w:val="0"/>
        <w:snapToGrid w:val="0"/>
        <w:spacing w:line="360" w:lineRule="auto"/>
        <w:ind w:left="72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（2）投标人名称是否与营业执照、资质证书、安全生产许可证</w:t>
      </w:r>
      <w:r>
        <w:rPr>
          <w:rFonts w:hint="eastAsia" w:ascii="宋体" w:hAnsi="宋体" w:eastAsia="宋体" w:cs="宋体"/>
          <w:color w:val="auto"/>
          <w:spacing w:val="-1"/>
          <w:sz w:val="24"/>
          <w:szCs w:val="24"/>
          <w:highlight w:val="none"/>
          <w:lang w:eastAsia="zh-CN"/>
        </w:rPr>
        <w:t>、</w:t>
      </w:r>
      <w:r>
        <w:rPr>
          <w:rFonts w:hint="eastAsia" w:ascii="宋体" w:hAnsi="宋体" w:cs="宋体"/>
          <w:color w:val="auto"/>
          <w:sz w:val="24"/>
          <w:highlight w:val="none"/>
          <w:u w:val="none"/>
        </w:rPr>
        <w:t>《承装</w:t>
      </w:r>
      <w:r>
        <w:rPr>
          <w:rFonts w:hint="eastAsia" w:ascii="宋体" w:hAnsi="宋体" w:eastAsia="宋体" w:cs="宋体"/>
          <w:color w:val="auto"/>
          <w:sz w:val="24"/>
          <w:highlight w:val="none"/>
          <w:u w:val="none"/>
          <w:lang w:eastAsia="zh-CN"/>
        </w:rPr>
        <w:t>（</w:t>
      </w:r>
      <w:r>
        <w:rPr>
          <w:rFonts w:hint="eastAsia" w:ascii="宋体" w:hAnsi="宋体" w:cs="宋体"/>
          <w:color w:val="auto"/>
          <w:sz w:val="24"/>
          <w:highlight w:val="none"/>
          <w:u w:val="none"/>
        </w:rPr>
        <w:t>修、试</w:t>
      </w:r>
      <w:r>
        <w:rPr>
          <w:rFonts w:hint="eastAsia" w:ascii="宋体" w:hAnsi="宋体" w:eastAsia="宋体" w:cs="宋体"/>
          <w:color w:val="auto"/>
          <w:sz w:val="24"/>
          <w:highlight w:val="none"/>
          <w:u w:val="none"/>
          <w:lang w:eastAsia="zh-CN"/>
        </w:rPr>
        <w:t>）</w:t>
      </w:r>
      <w:r>
        <w:rPr>
          <w:rFonts w:hint="eastAsia" w:ascii="宋体" w:hAnsi="宋体" w:cs="宋体"/>
          <w:color w:val="auto"/>
          <w:sz w:val="24"/>
          <w:highlight w:val="none"/>
          <w:u w:val="none"/>
        </w:rPr>
        <w:t>电力设施许可证》</w:t>
      </w:r>
      <w:r>
        <w:rPr>
          <w:rFonts w:hint="eastAsia" w:ascii="宋体" w:hAnsi="宋体" w:eastAsia="宋体" w:cs="宋体"/>
          <w:color w:val="auto"/>
          <w:spacing w:val="-1"/>
          <w:sz w:val="24"/>
          <w:szCs w:val="24"/>
          <w:highlight w:val="none"/>
        </w:rPr>
        <w:t>一致。</w:t>
      </w:r>
    </w:p>
    <w:p w14:paraId="081AAC95">
      <w:pPr>
        <w:keepNext w:val="0"/>
        <w:keepLines w:val="0"/>
        <w:pageBreakBefore w:val="0"/>
        <w:widowControl w:val="0"/>
        <w:kinsoku/>
        <w:wordWrap w:val="0"/>
        <w:overflowPunct/>
        <w:topLinePunct/>
        <w:autoSpaceDE/>
        <w:autoSpaceDN/>
        <w:bidi w:val="0"/>
        <w:adjustRightInd w:val="0"/>
        <w:snapToGrid w:val="0"/>
        <w:spacing w:line="360" w:lineRule="auto"/>
        <w:ind w:left="232" w:right="84" w:rightChars="40" w:firstLine="48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（3）投标人的资质是否符合招标文件规定；其营业执照、资质证书、安全生产许可证（含实时网页查询页，可参考网址 https://zlaq.mohurd.gov.cn/fwmh/bjxcjgl/fwm</w:t>
      </w:r>
      <w:bookmarkStart w:id="87" w:name="bookmark126"/>
      <w:bookmarkEnd w:id="87"/>
      <w:r>
        <w:rPr>
          <w:rFonts w:hint="eastAsia" w:ascii="宋体" w:hAnsi="宋体" w:eastAsia="宋体" w:cs="宋体"/>
          <w:color w:val="auto"/>
          <w:spacing w:val="2"/>
          <w:sz w:val="24"/>
          <w:szCs w:val="24"/>
          <w:highlight w:val="none"/>
        </w:rPr>
        <w:t>h/pages/construction_safety/qyaqscxkz/qyaqscxkz）</w:t>
      </w:r>
      <w:r>
        <w:rPr>
          <w:rFonts w:hint="eastAsia" w:ascii="宋体" w:hAnsi="宋体" w:eastAsia="宋体" w:cs="宋体"/>
          <w:color w:val="auto"/>
          <w:spacing w:val="2"/>
          <w:sz w:val="24"/>
          <w:szCs w:val="24"/>
          <w:highlight w:val="none"/>
          <w:lang w:eastAsia="zh-CN"/>
        </w:rPr>
        <w:t>、</w:t>
      </w:r>
      <w:r>
        <w:rPr>
          <w:rFonts w:hint="eastAsia" w:ascii="宋体" w:hAnsi="宋体" w:cs="宋体"/>
          <w:color w:val="auto"/>
          <w:sz w:val="24"/>
          <w:highlight w:val="none"/>
          <w:u w:val="none"/>
        </w:rPr>
        <w:t>《承装</w:t>
      </w:r>
      <w:r>
        <w:rPr>
          <w:rFonts w:hint="eastAsia" w:ascii="宋体" w:hAnsi="宋体" w:eastAsia="宋体" w:cs="宋体"/>
          <w:color w:val="auto"/>
          <w:sz w:val="24"/>
          <w:highlight w:val="none"/>
          <w:u w:val="none"/>
          <w:lang w:eastAsia="zh-CN"/>
        </w:rPr>
        <w:t>（</w:t>
      </w:r>
      <w:r>
        <w:rPr>
          <w:rFonts w:hint="eastAsia" w:ascii="宋体" w:hAnsi="宋体" w:cs="宋体"/>
          <w:color w:val="auto"/>
          <w:sz w:val="24"/>
          <w:highlight w:val="none"/>
          <w:u w:val="none"/>
        </w:rPr>
        <w:t>修、试</w:t>
      </w:r>
      <w:r>
        <w:rPr>
          <w:rFonts w:hint="eastAsia" w:ascii="宋体" w:hAnsi="宋体" w:eastAsia="宋体" w:cs="宋体"/>
          <w:color w:val="auto"/>
          <w:sz w:val="24"/>
          <w:highlight w:val="none"/>
          <w:u w:val="none"/>
          <w:lang w:eastAsia="zh-CN"/>
        </w:rPr>
        <w:t>）</w:t>
      </w:r>
      <w:r>
        <w:rPr>
          <w:rFonts w:hint="eastAsia" w:ascii="宋体" w:hAnsi="宋体" w:cs="宋体"/>
          <w:color w:val="auto"/>
          <w:sz w:val="24"/>
          <w:highlight w:val="none"/>
          <w:u w:val="none"/>
        </w:rPr>
        <w:t>电力设施许可证》</w:t>
      </w:r>
      <w:r>
        <w:rPr>
          <w:rFonts w:hint="eastAsia" w:ascii="宋体" w:hAnsi="宋体" w:eastAsia="宋体" w:cs="宋体"/>
          <w:color w:val="auto"/>
          <w:spacing w:val="2"/>
          <w:sz w:val="24"/>
          <w:szCs w:val="24"/>
          <w:highlight w:val="none"/>
        </w:rPr>
        <w:t>是否合法、有效、准确</w:t>
      </w:r>
      <w:r>
        <w:rPr>
          <w:rFonts w:hint="eastAsia" w:ascii="宋体" w:hAnsi="宋体" w:eastAsia="宋体" w:cs="宋体"/>
          <w:color w:val="auto"/>
          <w:spacing w:val="-1"/>
          <w:position w:val="3"/>
          <w:sz w:val="24"/>
          <w:szCs w:val="24"/>
          <w:highlight w:val="none"/>
        </w:rPr>
        <w:t>。</w:t>
      </w:r>
    </w:p>
    <w:p w14:paraId="0B334558">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（4）《项目经理简历表》中拟派项目经理是否与《开标一览表》一致。</w:t>
      </w:r>
    </w:p>
    <w:p w14:paraId="0BCF7418">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9"/>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（5）拟派项目经理、项目技术负责人、专职安全员的条件</w:t>
      </w:r>
      <w:r>
        <w:rPr>
          <w:rFonts w:hint="eastAsia" w:ascii="宋体" w:hAnsi="宋体" w:eastAsia="宋体" w:cs="宋体"/>
          <w:color w:val="auto"/>
          <w:spacing w:val="1"/>
          <w:sz w:val="24"/>
          <w:szCs w:val="24"/>
          <w:highlight w:val="none"/>
        </w:rPr>
        <w:t>是否符合招标文件规</w:t>
      </w:r>
      <w:r>
        <w:rPr>
          <w:rFonts w:hint="eastAsia" w:ascii="宋体" w:hAnsi="宋体" w:eastAsia="宋体" w:cs="宋体"/>
          <w:color w:val="auto"/>
          <w:spacing w:val="-1"/>
          <w:sz w:val="24"/>
          <w:szCs w:val="24"/>
          <w:highlight w:val="none"/>
        </w:rPr>
        <w:t>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03F0887D">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（6）联合体投标的，是否提交《联合体协议书》；是否擅</w:t>
      </w:r>
      <w:r>
        <w:rPr>
          <w:rFonts w:hint="eastAsia" w:ascii="宋体" w:hAnsi="宋体" w:eastAsia="宋体" w:cs="宋体"/>
          <w:color w:val="auto"/>
          <w:spacing w:val="1"/>
          <w:sz w:val="24"/>
          <w:szCs w:val="24"/>
          <w:highlight w:val="none"/>
        </w:rPr>
        <w:t>自修改、遗漏《联合</w:t>
      </w:r>
      <w:r>
        <w:rPr>
          <w:rFonts w:hint="eastAsia" w:ascii="宋体" w:hAnsi="宋体" w:eastAsia="宋体" w:cs="宋体"/>
          <w:color w:val="auto"/>
          <w:spacing w:val="-1"/>
          <w:sz w:val="24"/>
          <w:szCs w:val="24"/>
          <w:highlight w:val="none"/>
        </w:rPr>
        <w:t>体协议书》的实质性内容；联合体成员的数量、资质是否符合</w:t>
      </w:r>
      <w:r>
        <w:rPr>
          <w:rFonts w:hint="eastAsia" w:ascii="宋体" w:hAnsi="宋体" w:eastAsia="宋体" w:cs="宋体"/>
          <w:color w:val="auto"/>
          <w:spacing w:val="-2"/>
          <w:sz w:val="24"/>
          <w:szCs w:val="24"/>
          <w:highlight w:val="none"/>
        </w:rPr>
        <w:t>招标文件规定；联合体</w:t>
      </w:r>
      <w:r>
        <w:rPr>
          <w:rFonts w:hint="eastAsia" w:ascii="宋体" w:hAnsi="宋体" w:eastAsia="宋体" w:cs="宋体"/>
          <w:color w:val="auto"/>
          <w:sz w:val="24"/>
          <w:szCs w:val="24"/>
          <w:highlight w:val="none"/>
        </w:rPr>
        <w:t>成员是否以自己名义单独或者参加其他联合</w:t>
      </w:r>
      <w:r>
        <w:rPr>
          <w:rFonts w:hint="eastAsia" w:ascii="宋体" w:hAnsi="宋体" w:eastAsia="宋体" w:cs="宋体"/>
          <w:color w:val="auto"/>
          <w:spacing w:val="-1"/>
          <w:sz w:val="24"/>
          <w:szCs w:val="24"/>
          <w:highlight w:val="none"/>
        </w:rPr>
        <w:t>体参与本招标项目投标。</w:t>
      </w:r>
    </w:p>
    <w:p w14:paraId="207244CC">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9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（7）投标人为外省建筑企业的，是否按规定在“进粤</w:t>
      </w:r>
      <w:r>
        <w:rPr>
          <w:rFonts w:hint="eastAsia" w:ascii="宋体" w:hAnsi="宋体" w:eastAsia="宋体" w:cs="宋体"/>
          <w:color w:val="auto"/>
          <w:spacing w:val="1"/>
          <w:sz w:val="24"/>
          <w:szCs w:val="24"/>
          <w:highlight w:val="none"/>
        </w:rPr>
        <w:t>企业和人员诚信信息登记</w:t>
      </w:r>
      <w:r>
        <w:rPr>
          <w:rFonts w:hint="eastAsia" w:ascii="宋体" w:hAnsi="宋体" w:eastAsia="宋体" w:cs="宋体"/>
          <w:color w:val="auto"/>
          <w:spacing w:val="-2"/>
          <w:sz w:val="24"/>
          <w:szCs w:val="24"/>
          <w:highlight w:val="none"/>
        </w:rPr>
        <w:t>平台</w:t>
      </w:r>
      <w:r>
        <w:rPr>
          <w:rFonts w:hint="eastAsia" w:ascii="宋体" w:hAnsi="宋体" w:eastAsia="宋体" w:cs="宋体"/>
          <w:color w:val="auto"/>
          <w:spacing w:val="-76"/>
          <w:sz w:val="24"/>
          <w:szCs w:val="24"/>
          <w:highlight w:val="none"/>
        </w:rPr>
        <w:t xml:space="preserve"> </w:t>
      </w:r>
      <w:r>
        <w:rPr>
          <w:rFonts w:hint="eastAsia" w:ascii="宋体" w:hAnsi="宋体" w:eastAsia="宋体" w:cs="宋体"/>
          <w:color w:val="auto"/>
          <w:spacing w:val="-2"/>
          <w:sz w:val="24"/>
          <w:szCs w:val="24"/>
          <w:highlight w:val="none"/>
        </w:rPr>
        <w:t>”录入企业及其拟派人员有关信息并通过数据规范检查。</w:t>
      </w:r>
    </w:p>
    <w:p w14:paraId="0951839D">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4" w:firstLineChars="200"/>
        <w:jc w:val="both"/>
        <w:outlineLvl w:val="9"/>
        <w:rPr>
          <w:rFonts w:hint="eastAsia" w:ascii="宋体" w:hAnsi="宋体" w:eastAsia="宋体" w:cs="宋体"/>
          <w:color w:val="auto"/>
          <w:spacing w:val="1"/>
          <w:sz w:val="24"/>
          <w:szCs w:val="24"/>
          <w:highlight w:val="none"/>
        </w:rPr>
      </w:pPr>
      <w:bookmarkStart w:id="88" w:name="_Toc22778"/>
      <w:r>
        <w:rPr>
          <w:rFonts w:hint="eastAsia" w:ascii="宋体" w:hAnsi="宋体" w:eastAsia="宋体" w:cs="宋体"/>
          <w:b/>
          <w:bCs/>
          <w:color w:val="auto"/>
          <w:spacing w:val="-2"/>
          <w:sz w:val="24"/>
          <w:szCs w:val="24"/>
          <w:highlight w:val="none"/>
        </w:rPr>
        <w:t xml:space="preserve">15.4.2 </w:t>
      </w:r>
      <w:r>
        <w:rPr>
          <w:rFonts w:hint="eastAsia" w:ascii="宋体" w:hAnsi="宋体" w:eastAsia="宋体" w:cs="宋体"/>
          <w:color w:val="auto"/>
          <w:spacing w:val="1"/>
          <w:sz w:val="24"/>
          <w:szCs w:val="24"/>
          <w:highlight w:val="none"/>
        </w:rPr>
        <w:t xml:space="preserve"> 形式评审环节</w:t>
      </w:r>
    </w:p>
    <w:p w14:paraId="4A4A759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4" w:firstLineChars="200"/>
        <w:jc w:val="both"/>
        <w:outlineLvl w:val="9"/>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rPr>
        <w:t>形式评审事</w:t>
      </w:r>
      <w:r>
        <w:rPr>
          <w:rFonts w:hint="eastAsia" w:ascii="宋体" w:hAnsi="宋体" w:eastAsia="宋体" w:cs="宋体"/>
          <w:color w:val="auto"/>
          <w:spacing w:val="1"/>
          <w:sz w:val="24"/>
          <w:szCs w:val="24"/>
          <w:highlight w:val="none"/>
          <w:lang w:eastAsia="zh-CN"/>
        </w:rPr>
        <w:t>项包括</w:t>
      </w:r>
      <w:bookmarkEnd w:id="88"/>
    </w:p>
    <w:p w14:paraId="713C03C6">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outlineLvl w:val="9"/>
        <w:rPr>
          <w:rFonts w:hint="eastAsia" w:ascii="宋体" w:hAnsi="宋体" w:eastAsia="宋体" w:cs="宋体"/>
          <w:color w:val="auto"/>
          <w:sz w:val="24"/>
          <w:szCs w:val="24"/>
          <w:highlight w:val="none"/>
        </w:rPr>
      </w:pPr>
      <w:bookmarkStart w:id="89" w:name="_Toc20481"/>
      <w:bookmarkStart w:id="90" w:name="_Toc13304"/>
      <w:bookmarkStart w:id="91" w:name="_Toc23632"/>
      <w:bookmarkStart w:id="92" w:name="_Toc4914"/>
      <w:r>
        <w:rPr>
          <w:rFonts w:hint="eastAsia" w:ascii="宋体" w:hAnsi="宋体" w:eastAsia="宋体" w:cs="宋体"/>
          <w:color w:val="auto"/>
          <w:spacing w:val="-1"/>
          <w:sz w:val="24"/>
          <w:szCs w:val="24"/>
          <w:highlight w:val="none"/>
        </w:rPr>
        <w:t>（1）各分册是否按招标文件规定加盖电子印章。</w:t>
      </w:r>
      <w:bookmarkEnd w:id="89"/>
      <w:bookmarkEnd w:id="90"/>
      <w:bookmarkEnd w:id="91"/>
      <w:bookmarkEnd w:id="92"/>
    </w:p>
    <w:p w14:paraId="0111D0F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64" w:firstLineChars="200"/>
        <w:outlineLvl w:val="9"/>
        <w:rPr>
          <w:rFonts w:hint="eastAsia" w:ascii="宋体" w:hAnsi="宋体" w:eastAsia="宋体" w:cs="宋体"/>
          <w:color w:val="auto"/>
          <w:spacing w:val="-1"/>
          <w:sz w:val="24"/>
          <w:szCs w:val="24"/>
          <w:highlight w:val="none"/>
          <w:lang w:eastAsia="zh-CN"/>
        </w:rPr>
      </w:pPr>
      <w:bookmarkStart w:id="93" w:name="_Toc27432"/>
      <w:bookmarkStart w:id="94" w:name="_Toc28409"/>
      <w:bookmarkStart w:id="95" w:name="_Toc10806"/>
      <w:bookmarkStart w:id="96" w:name="_Toc12756"/>
      <w:r>
        <w:rPr>
          <w:rFonts w:hint="eastAsia" w:ascii="宋体" w:hAnsi="宋体" w:eastAsia="宋体" w:cs="宋体"/>
          <w:color w:val="auto"/>
          <w:spacing w:val="-4"/>
          <w:sz w:val="24"/>
          <w:szCs w:val="24"/>
          <w:highlight w:val="none"/>
        </w:rPr>
        <w:t>（2）本节第</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10.2.2目、第</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4"/>
          <w:sz w:val="24"/>
          <w:szCs w:val="24"/>
          <w:highlight w:val="none"/>
        </w:rPr>
        <w:t>10.3.2目、第</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10.4.3目中规定</w:t>
      </w:r>
      <w:r>
        <w:rPr>
          <w:rFonts w:hint="eastAsia" w:ascii="宋体" w:hAnsi="宋体" w:eastAsia="宋体" w:cs="宋体"/>
          <w:color w:val="auto"/>
          <w:spacing w:val="-5"/>
          <w:sz w:val="24"/>
          <w:szCs w:val="24"/>
          <w:highlight w:val="none"/>
        </w:rPr>
        <w:t>的“所有投标人均应提</w:t>
      </w:r>
      <w:bookmarkEnd w:id="93"/>
      <w:bookmarkEnd w:id="94"/>
      <w:bookmarkEnd w:id="95"/>
      <w:r>
        <w:rPr>
          <w:rFonts w:hint="eastAsia" w:ascii="宋体" w:hAnsi="宋体" w:eastAsia="宋体" w:cs="宋体"/>
          <w:color w:val="auto"/>
          <w:spacing w:val="-1"/>
          <w:sz w:val="24"/>
          <w:szCs w:val="24"/>
          <w:highlight w:val="none"/>
        </w:rPr>
        <w:t>供</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”的组成内容（包括该组成内容的所附资料）是否完整、齐全</w:t>
      </w:r>
      <w:bookmarkEnd w:id="96"/>
      <w:r>
        <w:rPr>
          <w:rFonts w:hint="eastAsia" w:ascii="宋体" w:hAnsi="宋体" w:eastAsia="宋体" w:cs="宋体"/>
          <w:color w:val="auto"/>
          <w:spacing w:val="-1"/>
          <w:sz w:val="24"/>
          <w:szCs w:val="24"/>
          <w:highlight w:val="none"/>
          <w:lang w:eastAsia="zh-CN"/>
        </w:rPr>
        <w:t>。</w:t>
      </w:r>
    </w:p>
    <w:p w14:paraId="7747F3C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4" w:firstLineChars="200"/>
        <w:jc w:val="both"/>
        <w:outlineLvl w:val="9"/>
        <w:rPr>
          <w:rFonts w:hint="eastAsia" w:ascii="宋体" w:hAnsi="宋体" w:eastAsia="宋体" w:cs="宋体"/>
          <w:color w:val="auto"/>
          <w:spacing w:val="2"/>
          <w:sz w:val="24"/>
          <w:szCs w:val="24"/>
          <w:highlight w:val="none"/>
        </w:rPr>
      </w:pPr>
      <w:bookmarkStart w:id="97" w:name="_Toc22642"/>
      <w:bookmarkStart w:id="98" w:name="_Toc16645"/>
      <w:bookmarkStart w:id="99" w:name="_Toc14202"/>
      <w:bookmarkStart w:id="100" w:name="_Toc22562"/>
      <w:r>
        <w:rPr>
          <w:rFonts w:hint="eastAsia" w:ascii="宋体" w:hAnsi="宋体" w:eastAsia="宋体" w:cs="宋体"/>
          <w:b/>
          <w:bCs/>
          <w:color w:val="auto"/>
          <w:spacing w:val="-2"/>
          <w:sz w:val="24"/>
          <w:szCs w:val="24"/>
          <w:highlight w:val="none"/>
        </w:rPr>
        <w:t xml:space="preserve">15.4.3  </w:t>
      </w:r>
      <w:r>
        <w:rPr>
          <w:rFonts w:hint="eastAsia" w:ascii="宋体" w:hAnsi="宋体" w:eastAsia="宋体" w:cs="宋体"/>
          <w:color w:val="auto"/>
          <w:spacing w:val="2"/>
          <w:sz w:val="24"/>
          <w:szCs w:val="24"/>
          <w:highlight w:val="none"/>
        </w:rPr>
        <w:t xml:space="preserve">响应性评审环节 </w:t>
      </w:r>
    </w:p>
    <w:p w14:paraId="36ECE01C">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8" w:firstLineChars="200"/>
        <w:jc w:val="both"/>
        <w:outlineLvl w:val="9"/>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响应性评项包括：</w:t>
      </w:r>
      <w:bookmarkEnd w:id="97"/>
      <w:bookmarkEnd w:id="98"/>
      <w:bookmarkEnd w:id="99"/>
      <w:bookmarkEnd w:id="100"/>
    </w:p>
    <w:p w14:paraId="32AC8268">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（1）投标有效期、质量标准、工期等是否响应招标文件实</w:t>
      </w:r>
      <w:r>
        <w:rPr>
          <w:rFonts w:hint="eastAsia" w:ascii="宋体" w:hAnsi="宋体" w:eastAsia="宋体" w:cs="宋体"/>
          <w:color w:val="auto"/>
          <w:spacing w:val="1"/>
          <w:sz w:val="24"/>
          <w:szCs w:val="24"/>
          <w:highlight w:val="none"/>
        </w:rPr>
        <w:t>质性要求；是否擅自</w:t>
      </w:r>
      <w:r>
        <w:rPr>
          <w:rFonts w:hint="eastAsia" w:ascii="宋体" w:hAnsi="宋体" w:eastAsia="宋体" w:cs="宋体"/>
          <w:color w:val="auto"/>
          <w:spacing w:val="-1"/>
          <w:sz w:val="24"/>
          <w:szCs w:val="24"/>
          <w:highlight w:val="none"/>
        </w:rPr>
        <w:t>修改、遗漏《投标函</w:t>
      </w:r>
      <w:r>
        <w:rPr>
          <w:rFonts w:hint="eastAsia" w:ascii="宋体" w:hAnsi="宋体" w:eastAsia="宋体" w:cs="宋体"/>
          <w:color w:val="auto"/>
          <w:spacing w:val="-1"/>
          <w:sz w:val="24"/>
          <w:szCs w:val="24"/>
          <w:highlight w:val="none"/>
          <w:lang w:eastAsia="zh-CN"/>
        </w:rPr>
        <w:t>》和</w:t>
      </w:r>
      <w:r>
        <w:rPr>
          <w:rFonts w:hint="eastAsia" w:ascii="宋体" w:hAnsi="宋体" w:eastAsia="宋体" w:cs="宋体"/>
          <w:color w:val="auto"/>
          <w:spacing w:val="-1"/>
          <w:sz w:val="24"/>
          <w:szCs w:val="24"/>
          <w:highlight w:val="none"/>
        </w:rPr>
        <w:t>《各项承诺一览表》的实质性内容。</w:t>
      </w:r>
    </w:p>
    <w:p w14:paraId="3FD995B9">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（2）编制《投标总价》的造价工程师，其注册证书是否合法、有效。</w:t>
      </w:r>
    </w:p>
    <w:p w14:paraId="7F9C5E47">
      <w:pPr>
        <w:keepNext w:val="0"/>
        <w:keepLines w:val="0"/>
        <w:pageBreakBefore w:val="0"/>
        <w:widowControl w:val="0"/>
        <w:kinsoku/>
        <w:wordWrap w:val="0"/>
        <w:overflowPunct/>
        <w:topLinePunct/>
        <w:autoSpaceDE/>
        <w:autoSpaceDN/>
        <w:bidi w:val="0"/>
        <w:adjustRightInd w:val="0"/>
        <w:snapToGrid w:val="0"/>
        <w:spacing w:line="360" w:lineRule="auto"/>
        <w:ind w:left="23" w:right="84" w:rightChars="4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（3）投标人委托造价咨询单位编制《投标总价》的，是否在《投标总价》</w:t>
      </w:r>
      <w:r>
        <w:rPr>
          <w:rFonts w:hint="eastAsia" w:ascii="宋体" w:hAnsi="宋体" w:eastAsia="宋体" w:cs="宋体"/>
          <w:color w:val="auto"/>
          <w:spacing w:val="1"/>
          <w:sz w:val="24"/>
          <w:szCs w:val="24"/>
          <w:highlight w:val="none"/>
          <w:lang w:eastAsia="zh-CN"/>
        </w:rPr>
        <w:t>封面</w:t>
      </w:r>
      <w:r>
        <w:rPr>
          <w:rFonts w:hint="eastAsia" w:ascii="宋体" w:hAnsi="宋体" w:eastAsia="宋体" w:cs="宋体"/>
          <w:color w:val="auto"/>
          <w:spacing w:val="1"/>
          <w:sz w:val="24"/>
          <w:szCs w:val="24"/>
          <w:highlight w:val="none"/>
        </w:rPr>
        <w:t>“投标人</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”栏目加盖造价咨询人公章；是否提供</w:t>
      </w:r>
      <w:r>
        <w:rPr>
          <w:rFonts w:hint="eastAsia" w:ascii="宋体" w:hAnsi="宋体" w:eastAsia="宋体" w:cs="宋体"/>
          <w:color w:val="auto"/>
          <w:sz w:val="24"/>
          <w:szCs w:val="24"/>
          <w:highlight w:val="none"/>
        </w:rPr>
        <w:t>造价咨询人的营业执照</w:t>
      </w:r>
      <w:r>
        <w:rPr>
          <w:rFonts w:hint="eastAsia" w:ascii="宋体" w:hAnsi="宋体" w:eastAsia="宋体" w:cs="宋体"/>
          <w:color w:val="auto"/>
          <w:spacing w:val="-2"/>
          <w:sz w:val="24"/>
          <w:szCs w:val="24"/>
          <w:highlight w:val="none"/>
        </w:rPr>
        <w:t>副本彩色扫描件；</w:t>
      </w:r>
    </w:p>
    <w:p w14:paraId="034F6ADB">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jc w:val="both"/>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（4）投标总价是否唯一；投标总价是否超出</w:t>
      </w:r>
      <w:r>
        <w:rPr>
          <w:rFonts w:hint="eastAsia" w:ascii="宋体" w:hAnsi="宋体" w:eastAsia="宋体" w:cs="宋体"/>
          <w:b/>
          <w:bCs/>
          <w:color w:val="auto"/>
          <w:spacing w:val="1"/>
          <w:sz w:val="24"/>
          <w:szCs w:val="24"/>
          <w:highlight w:val="none"/>
          <w:lang w:val="en-US" w:eastAsia="zh-CN"/>
        </w:rPr>
        <w:t>最高投标限价</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eastAsia="zh-CN"/>
        </w:rPr>
        <w:t>安全生产措施费</w:t>
      </w:r>
      <w:r>
        <w:rPr>
          <w:rFonts w:hint="eastAsia" w:ascii="宋体" w:hAnsi="宋体" w:eastAsia="宋体" w:cs="宋体"/>
          <w:color w:val="auto"/>
          <w:spacing w:val="-1"/>
          <w:sz w:val="24"/>
          <w:szCs w:val="24"/>
          <w:highlight w:val="none"/>
        </w:rPr>
        <w:t>是否达到最低要求；暂列金额、暂估价是否按照招标工</w:t>
      </w:r>
      <w:r>
        <w:rPr>
          <w:rFonts w:hint="eastAsia" w:ascii="宋体" w:hAnsi="宋体" w:eastAsia="宋体" w:cs="宋体"/>
          <w:color w:val="auto"/>
          <w:spacing w:val="-2"/>
          <w:sz w:val="24"/>
          <w:szCs w:val="24"/>
          <w:highlight w:val="none"/>
        </w:rPr>
        <w:t>程量清单统一报价；投</w:t>
      </w:r>
      <w:r>
        <w:rPr>
          <w:rFonts w:hint="eastAsia" w:ascii="宋体" w:hAnsi="宋体" w:eastAsia="宋体" w:cs="宋体"/>
          <w:color w:val="auto"/>
          <w:spacing w:val="-1"/>
          <w:sz w:val="24"/>
          <w:szCs w:val="24"/>
          <w:highlight w:val="none"/>
        </w:rPr>
        <w:t>标人是否以低于成本的价格竞标。</w:t>
      </w:r>
    </w:p>
    <w:p w14:paraId="7F757018">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jc w:val="both"/>
        <w:rPr>
          <w:rFonts w:hint="eastAsia" w:ascii="宋体" w:hAnsi="宋体" w:eastAsia="宋体" w:cs="宋体"/>
          <w:color w:val="auto"/>
          <w:position w:val="-8"/>
          <w:sz w:val="24"/>
          <w:szCs w:val="24"/>
          <w:highlight w:val="none"/>
        </w:rPr>
      </w:pPr>
      <w:r>
        <w:rPr>
          <w:rFonts w:hint="eastAsia" w:ascii="宋体" w:hAnsi="宋体" w:eastAsia="宋体" w:cs="宋体"/>
          <w:b/>
          <w:bCs/>
          <w:color w:val="auto"/>
          <w:spacing w:val="-2"/>
          <w:sz w:val="24"/>
          <w:szCs w:val="24"/>
          <w:highlight w:val="none"/>
        </w:rPr>
        <w:t>注：如果某投标人的投标总价下浮率超过</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2"/>
          <w:sz w:val="24"/>
          <w:szCs w:val="24"/>
          <w:highlight w:val="none"/>
        </w:rPr>
        <w:t>15%</w:t>
      </w:r>
      <w:r>
        <w:rPr>
          <w:rFonts w:hint="eastAsia" w:ascii="宋体" w:hAnsi="宋体" w:eastAsia="宋体" w:cs="宋体"/>
          <w:b/>
          <w:bCs/>
          <w:color w:val="auto"/>
          <w:spacing w:val="-32"/>
          <w:sz w:val="24"/>
          <w:szCs w:val="24"/>
          <w:highlight w:val="none"/>
        </w:rPr>
        <w:t xml:space="preserve"> </w:t>
      </w:r>
      <w:r>
        <w:rPr>
          <w:rFonts w:hint="eastAsia" w:ascii="宋体" w:hAnsi="宋体" w:eastAsia="宋体" w:cs="宋体"/>
          <w:b/>
          <w:bCs/>
          <w:color w:val="auto"/>
          <w:spacing w:val="-2"/>
          <w:sz w:val="24"/>
          <w:szCs w:val="24"/>
          <w:highlight w:val="none"/>
        </w:rPr>
        <w:t>，又未提供</w:t>
      </w:r>
      <w:r>
        <w:rPr>
          <w:rFonts w:hint="eastAsia" w:ascii="宋体" w:hAnsi="宋体" w:eastAsia="宋体" w:cs="宋体"/>
          <w:b/>
          <w:bCs/>
          <w:color w:val="auto"/>
          <w:spacing w:val="-3"/>
          <w:sz w:val="24"/>
          <w:szCs w:val="24"/>
          <w:highlight w:val="none"/>
        </w:rPr>
        <w:t>相应书面说明和佐证</w:t>
      </w:r>
      <w:bookmarkStart w:id="101" w:name="bookmark127"/>
      <w:bookmarkEnd w:id="101"/>
      <w:r>
        <w:rPr>
          <w:rFonts w:hint="eastAsia" w:ascii="宋体" w:hAnsi="宋体" w:eastAsia="宋体" w:cs="宋体"/>
          <w:b/>
          <w:bCs/>
          <w:color w:val="auto"/>
          <w:spacing w:val="-4"/>
          <w:sz w:val="24"/>
          <w:szCs w:val="24"/>
          <w:highlight w:val="none"/>
        </w:rPr>
        <w:t>材料或提供的书面说明和佐证材料不能令人信服的，评标委员会应认定其以低于成本</w:t>
      </w:r>
      <w:r>
        <w:rPr>
          <w:rFonts w:hint="eastAsia" w:ascii="宋体" w:hAnsi="宋体" w:eastAsia="宋体" w:cs="宋体"/>
          <w:b/>
          <w:bCs/>
          <w:color w:val="auto"/>
          <w:spacing w:val="-9"/>
          <w:sz w:val="24"/>
          <w:szCs w:val="24"/>
          <w:highlight w:val="none"/>
        </w:rPr>
        <w:t>的价格竞标，并否决其投标。评</w:t>
      </w:r>
      <w:r>
        <w:rPr>
          <w:rFonts w:hint="eastAsia" w:ascii="宋体" w:hAnsi="宋体" w:eastAsia="宋体" w:cs="宋体"/>
          <w:b/>
          <w:bCs/>
          <w:color w:val="auto"/>
          <w:spacing w:val="-4"/>
          <w:sz w:val="24"/>
          <w:szCs w:val="24"/>
          <w:highlight w:val="none"/>
        </w:rPr>
        <w:t>标委员会接受该投标人的投标总价而未否决其投标的，应在评标报告中说明判断理由。投标总价下浮率＝（1－投标总价÷</w:t>
      </w:r>
      <w:r>
        <w:rPr>
          <w:rFonts w:hint="eastAsia" w:ascii="宋体" w:hAnsi="宋体" w:eastAsia="宋体" w:cs="宋体"/>
          <w:b/>
          <w:bCs/>
          <w:color w:val="auto"/>
          <w:spacing w:val="-4"/>
          <w:sz w:val="24"/>
          <w:szCs w:val="24"/>
          <w:highlight w:val="none"/>
          <w:lang w:val="en-US" w:eastAsia="zh-CN"/>
        </w:rPr>
        <w:t>最高投标限价</w:t>
      </w:r>
      <w:r>
        <w:rPr>
          <w:rFonts w:hint="eastAsia" w:ascii="宋体" w:hAnsi="宋体" w:eastAsia="宋体" w:cs="宋体"/>
          <w:b/>
          <w:bCs/>
          <w:color w:val="auto"/>
          <w:spacing w:val="-4"/>
          <w:sz w:val="24"/>
          <w:szCs w:val="24"/>
          <w:highlight w:val="none"/>
        </w:rPr>
        <w:t>）×100%。</w:t>
      </w:r>
    </w:p>
    <w:p w14:paraId="19420331">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05" w:firstLineChars="209"/>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（5）施工组织设计的质量、进度保障措施是否符合国</w:t>
      </w:r>
      <w:r>
        <w:rPr>
          <w:rFonts w:hint="eastAsia" w:ascii="宋体" w:hAnsi="宋体" w:eastAsia="宋体" w:cs="宋体"/>
          <w:color w:val="auto"/>
          <w:sz w:val="24"/>
          <w:szCs w:val="24"/>
          <w:highlight w:val="none"/>
        </w:rPr>
        <w:t>家和省市现行有关规</w:t>
      </w:r>
      <w:r>
        <w:rPr>
          <w:rFonts w:hint="eastAsia" w:ascii="宋体" w:hAnsi="宋体" w:eastAsia="宋体" w:cs="宋体"/>
          <w:color w:val="auto"/>
          <w:spacing w:val="-1"/>
          <w:sz w:val="24"/>
          <w:szCs w:val="24"/>
          <w:highlight w:val="none"/>
        </w:rPr>
        <w:t>范、规定、标准，是否能实现工程质量、进度管理目标。</w:t>
      </w:r>
    </w:p>
    <w:p w14:paraId="7884496B">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outlineLvl w:val="9"/>
        <w:rPr>
          <w:rFonts w:hint="eastAsia" w:ascii="宋体" w:hAnsi="宋体" w:eastAsia="宋体" w:cs="宋体"/>
          <w:color w:val="auto"/>
          <w:sz w:val="25"/>
          <w:szCs w:val="25"/>
          <w:highlight w:val="none"/>
        </w:rPr>
      </w:pPr>
      <w:bookmarkStart w:id="102" w:name="_Toc19814"/>
      <w:bookmarkStart w:id="103" w:name="_Toc32114"/>
      <w:bookmarkStart w:id="104" w:name="_Toc15367"/>
      <w:bookmarkStart w:id="105" w:name="_Toc18204"/>
      <w:r>
        <w:rPr>
          <w:rFonts w:hint="eastAsia" w:ascii="宋体" w:hAnsi="宋体" w:eastAsia="宋体" w:cs="宋体"/>
          <w:b/>
          <w:bCs/>
          <w:color w:val="auto"/>
          <w:spacing w:val="-3"/>
          <w:sz w:val="24"/>
          <w:szCs w:val="24"/>
          <w:highlight w:val="none"/>
        </w:rPr>
        <w:t xml:space="preserve">15.4.4  </w:t>
      </w:r>
      <w:r>
        <w:rPr>
          <w:rFonts w:hint="eastAsia" w:ascii="宋体" w:hAnsi="宋体" w:eastAsia="宋体" w:cs="宋体"/>
          <w:color w:val="auto"/>
          <w:spacing w:val="-3"/>
          <w:sz w:val="24"/>
          <w:szCs w:val="24"/>
          <w:highlight w:val="none"/>
        </w:rPr>
        <w:t>否决投标说明</w:t>
      </w:r>
      <w:bookmarkEnd w:id="102"/>
      <w:bookmarkEnd w:id="103"/>
      <w:bookmarkEnd w:id="104"/>
      <w:bookmarkEnd w:id="105"/>
    </w:p>
    <w:p w14:paraId="18872B11">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61"/>
        <w:rPr>
          <w:rFonts w:hint="eastAsia" w:ascii="宋体" w:hAnsi="宋体" w:eastAsia="宋体" w:cs="宋体"/>
          <w:color w:val="auto"/>
          <w:highlight w:val="none"/>
        </w:rPr>
      </w:pPr>
      <w:r>
        <w:rPr>
          <w:rFonts w:hint="eastAsia" w:ascii="宋体" w:hAnsi="宋体" w:eastAsia="宋体" w:cs="宋体"/>
          <w:color w:val="auto"/>
          <w:spacing w:val="-5"/>
          <w:sz w:val="24"/>
          <w:szCs w:val="24"/>
          <w:highlight w:val="none"/>
        </w:rPr>
        <w:t>初步评审阶段各个环节否决投标的全部条件，在本章第四节“否决投标条件</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b/>
          <w:bCs/>
          <w:color w:val="auto"/>
          <w:sz w:val="24"/>
          <w:szCs w:val="24"/>
          <w:highlight w:val="none"/>
        </w:rPr>
        <w:t>1</w:t>
      </w:r>
      <w:r>
        <w:rPr>
          <w:rFonts w:hint="eastAsia" w:ascii="宋体" w:hAnsi="宋体" w:eastAsia="宋体" w:cs="宋体"/>
          <w:color w:val="auto"/>
          <w:sz w:val="24"/>
          <w:szCs w:val="24"/>
          <w:highlight w:val="none"/>
        </w:rPr>
        <w:t>条至第</w:t>
      </w:r>
      <w:r>
        <w:rPr>
          <w:rFonts w:hint="eastAsia" w:ascii="宋体" w:hAnsi="宋体" w:eastAsia="宋体" w:cs="宋体"/>
          <w:color w:val="auto"/>
          <w:spacing w:val="-46"/>
          <w:sz w:val="24"/>
          <w:szCs w:val="24"/>
          <w:highlight w:val="none"/>
        </w:rPr>
        <w:t xml:space="preserve"> </w:t>
      </w:r>
      <w:r>
        <w:rPr>
          <w:rFonts w:hint="eastAsia" w:ascii="宋体" w:hAnsi="宋体" w:eastAsia="宋体" w:cs="宋体"/>
          <w:b/>
          <w:bCs/>
          <w:color w:val="auto"/>
          <w:sz w:val="24"/>
          <w:szCs w:val="24"/>
          <w:highlight w:val="none"/>
        </w:rPr>
        <w:t xml:space="preserve">4 </w:t>
      </w:r>
      <w:r>
        <w:rPr>
          <w:rFonts w:hint="eastAsia" w:ascii="宋体" w:hAnsi="宋体" w:eastAsia="宋体" w:cs="宋体"/>
          <w:color w:val="auto"/>
          <w:sz w:val="24"/>
          <w:szCs w:val="24"/>
          <w:highlight w:val="none"/>
        </w:rPr>
        <w:t>条中集中列示。投标人有其中所列任何一种情形的，由评标委员会否决其</w:t>
      </w:r>
      <w:r>
        <w:rPr>
          <w:rFonts w:hint="eastAsia" w:ascii="宋体" w:hAnsi="宋体" w:eastAsia="宋体" w:cs="宋体"/>
          <w:color w:val="auto"/>
          <w:spacing w:val="-1"/>
          <w:sz w:val="24"/>
          <w:szCs w:val="24"/>
          <w:highlight w:val="none"/>
        </w:rPr>
        <w:t>投标。在初步评审阶段任何环节被否决的投标人，不进入下一环</w:t>
      </w:r>
      <w:r>
        <w:rPr>
          <w:rFonts w:hint="eastAsia" w:ascii="宋体" w:hAnsi="宋体" w:eastAsia="宋体" w:cs="宋体"/>
          <w:color w:val="auto"/>
          <w:spacing w:val="-2"/>
          <w:sz w:val="24"/>
          <w:szCs w:val="24"/>
          <w:highlight w:val="none"/>
        </w:rPr>
        <w:t>节（或阶段）评审。</w:t>
      </w:r>
      <w:r>
        <w:rPr>
          <w:rFonts w:hint="eastAsia" w:ascii="宋体" w:hAnsi="宋体" w:eastAsia="宋体" w:cs="宋体"/>
          <w:color w:val="auto"/>
          <w:spacing w:val="-1"/>
          <w:sz w:val="24"/>
          <w:szCs w:val="24"/>
          <w:highlight w:val="none"/>
        </w:rPr>
        <w:t>在初步评审阶段任何环节。</w:t>
      </w:r>
      <w:r>
        <w:rPr>
          <w:rFonts w:hint="eastAsia" w:ascii="宋体" w:hAnsi="宋体" w:eastAsia="宋体" w:cs="宋体"/>
          <w:color w:val="auto"/>
          <w:sz w:val="24"/>
          <w:szCs w:val="24"/>
          <w:highlight w:val="none"/>
        </w:rPr>
        <w:t>评标委员会经评审，认为所有投标都不符合招标文件要求的，可否决所有投标，项目的所有投标被否决的，招标人应依法重新组织招标。</w:t>
      </w:r>
    </w:p>
    <w:p w14:paraId="3FFB0B36">
      <w:pPr>
        <w:keepNext w:val="0"/>
        <w:keepLines w:val="0"/>
        <w:pageBreakBefore w:val="0"/>
        <w:widowControl w:val="0"/>
        <w:kinsoku/>
        <w:wordWrap w:val="0"/>
        <w:overflowPunct/>
        <w:topLinePunct/>
        <w:autoSpaceDE/>
        <w:autoSpaceDN/>
        <w:bidi w:val="0"/>
        <w:adjustRightInd w:val="0"/>
        <w:snapToGrid w:val="0"/>
        <w:spacing w:line="360" w:lineRule="auto"/>
        <w:ind w:left="577" w:right="84" w:rightChars="40"/>
        <w:rPr>
          <w:rFonts w:hint="eastAsia" w:ascii="宋体" w:hAnsi="宋体" w:eastAsia="宋体" w:cs="宋体"/>
          <w:color w:val="auto"/>
          <w:sz w:val="24"/>
          <w:szCs w:val="24"/>
          <w:highlight w:val="none"/>
        </w:rPr>
      </w:pPr>
      <w:r>
        <w:rPr>
          <w:rFonts w:hint="eastAsia" w:ascii="宋体" w:hAnsi="宋体" w:eastAsia="宋体" w:cs="宋体"/>
          <w:color w:val="auto"/>
          <w:highlight w:val="none"/>
        </w:rPr>
        <w:drawing>
          <wp:anchor distT="0" distB="0" distL="114300" distR="114300" simplePos="0" relativeHeight="251661312" behindDoc="1" locked="0" layoutInCell="1" allowOverlap="1">
            <wp:simplePos x="0" y="0"/>
            <wp:positionH relativeFrom="column">
              <wp:posOffset>4789170</wp:posOffset>
            </wp:positionH>
            <wp:positionV relativeFrom="paragraph">
              <wp:posOffset>236220</wp:posOffset>
            </wp:positionV>
            <wp:extent cx="6350" cy="279400"/>
            <wp:effectExtent l="0" t="0" r="0" b="0"/>
            <wp:wrapNone/>
            <wp:docPr id="31" name="IM 46"/>
            <wp:cNvGraphicFramePr/>
            <a:graphic xmlns:a="http://schemas.openxmlformats.org/drawingml/2006/main">
              <a:graphicData uri="http://schemas.openxmlformats.org/drawingml/2006/picture">
                <pic:pic xmlns:pic="http://schemas.openxmlformats.org/drawingml/2006/picture">
                  <pic:nvPicPr>
                    <pic:cNvPr id="31" name="IM 46"/>
                    <pic:cNvPicPr/>
                  </pic:nvPicPr>
                  <pic:blipFill>
                    <a:blip r:embed="rId25"/>
                    <a:stretch>
                      <a:fillRect/>
                    </a:stretch>
                  </pic:blipFill>
                  <pic:spPr>
                    <a:xfrm>
                      <a:off x="0" y="0"/>
                      <a:ext cx="6350" cy="279400"/>
                    </a:xfrm>
                    <a:prstGeom prst="rect">
                      <a:avLst/>
                    </a:prstGeom>
                    <a:noFill/>
                    <a:ln>
                      <a:noFill/>
                    </a:ln>
                  </pic:spPr>
                </pic:pic>
              </a:graphicData>
            </a:graphic>
          </wp:anchor>
        </w:drawing>
      </w:r>
      <w:bookmarkStart w:id="106" w:name="bookmark128"/>
      <w:bookmarkEnd w:id="106"/>
      <w:r>
        <w:rPr>
          <w:rFonts w:hint="eastAsia" w:ascii="宋体" w:hAnsi="宋体" w:eastAsia="宋体" w:cs="宋体"/>
          <w:b/>
          <w:bCs/>
          <w:color w:val="auto"/>
          <w:spacing w:val="-2"/>
          <w:sz w:val="24"/>
          <w:szCs w:val="24"/>
          <w:highlight w:val="none"/>
        </w:rPr>
        <w:t xml:space="preserve">15.5  </w:t>
      </w:r>
      <w:r>
        <w:rPr>
          <w:rFonts w:hint="eastAsia" w:ascii="宋体" w:hAnsi="宋体" w:eastAsia="宋体" w:cs="宋体"/>
          <w:color w:val="auto"/>
          <w:spacing w:val="-2"/>
          <w:sz w:val="24"/>
          <w:szCs w:val="24"/>
          <w:highlight w:val="none"/>
        </w:rPr>
        <w:t>详细评审阶段</w:t>
      </w:r>
    </w:p>
    <w:p w14:paraId="7AE297D9">
      <w:pPr>
        <w:keepNext w:val="0"/>
        <w:keepLines w:val="0"/>
        <w:pageBreakBefore w:val="0"/>
        <w:widowControl w:val="0"/>
        <w:kinsoku/>
        <w:wordWrap w:val="0"/>
        <w:overflowPunct/>
        <w:topLinePunct/>
        <w:autoSpaceDE/>
        <w:autoSpaceDN/>
        <w:bidi w:val="0"/>
        <w:adjustRightInd w:val="0"/>
        <w:snapToGrid w:val="0"/>
        <w:spacing w:line="360" w:lineRule="auto"/>
        <w:ind w:left="498" w:right="84" w:rightChars="40"/>
        <w:outlineLvl w:val="9"/>
        <w:rPr>
          <w:rFonts w:hint="eastAsia" w:ascii="宋体" w:hAnsi="宋体" w:eastAsia="宋体" w:cs="宋体"/>
          <w:color w:val="auto"/>
          <w:sz w:val="25"/>
          <w:szCs w:val="25"/>
          <w:highlight w:val="none"/>
        </w:rPr>
      </w:pPr>
      <w:bookmarkStart w:id="107" w:name="_Toc10503"/>
      <w:bookmarkStart w:id="108" w:name="_Toc28572"/>
      <w:bookmarkStart w:id="109" w:name="_Toc4119"/>
      <w:bookmarkStart w:id="110" w:name="_Toc14991"/>
      <w:r>
        <w:rPr>
          <w:rFonts w:hint="eastAsia" w:ascii="宋体" w:hAnsi="宋体" w:eastAsia="宋体" w:cs="宋体"/>
          <w:b/>
          <w:bCs/>
          <w:color w:val="auto"/>
          <w:spacing w:val="-3"/>
          <w:sz w:val="24"/>
          <w:szCs w:val="24"/>
          <w:highlight w:val="none"/>
        </w:rPr>
        <w:t xml:space="preserve">15.5.1  </w:t>
      </w:r>
      <w:r>
        <w:rPr>
          <w:rFonts w:hint="eastAsia" w:ascii="宋体" w:hAnsi="宋体" w:eastAsia="宋体" w:cs="宋体"/>
          <w:color w:val="auto"/>
          <w:spacing w:val="-3"/>
          <w:sz w:val="24"/>
          <w:szCs w:val="24"/>
          <w:highlight w:val="none"/>
        </w:rPr>
        <w:t>“综合评估法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”评审程序</w:t>
      </w:r>
      <w:bookmarkEnd w:id="107"/>
      <w:bookmarkEnd w:id="108"/>
      <w:bookmarkEnd w:id="109"/>
      <w:bookmarkEnd w:id="110"/>
    </w:p>
    <w:p w14:paraId="0AF2ED19">
      <w:pPr>
        <w:keepNext w:val="0"/>
        <w:keepLines w:val="0"/>
        <w:pageBreakBefore w:val="0"/>
        <w:widowControl w:val="0"/>
        <w:kinsoku/>
        <w:wordWrap w:val="0"/>
        <w:overflowPunct/>
        <w:topLinePunct/>
        <w:autoSpaceDE/>
        <w:autoSpaceDN/>
        <w:bidi w:val="0"/>
        <w:adjustRightInd w:val="0"/>
        <w:snapToGrid w:val="0"/>
        <w:spacing w:line="360" w:lineRule="auto"/>
        <w:ind w:left="14" w:right="84" w:rightChars="40" w:firstLine="47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评审内容分为商务技术和投标报价两大部分。其中，商</w:t>
      </w:r>
      <w:r>
        <w:rPr>
          <w:rFonts w:hint="eastAsia" w:ascii="宋体" w:hAnsi="宋体" w:eastAsia="宋体" w:cs="宋体"/>
          <w:color w:val="auto"/>
          <w:spacing w:val="-2"/>
          <w:sz w:val="24"/>
          <w:szCs w:val="24"/>
          <w:highlight w:val="none"/>
        </w:rPr>
        <w:t>务技术合计满分</w:t>
      </w:r>
      <w:r>
        <w:rPr>
          <w:rFonts w:hint="eastAsia" w:ascii="宋体" w:hAnsi="宋体" w:eastAsia="宋体" w:cs="宋体"/>
          <w:color w:val="auto"/>
          <w:spacing w:val="-2"/>
          <w:sz w:val="24"/>
          <w:szCs w:val="24"/>
          <w:highlight w:val="none"/>
          <w:lang w:eastAsia="zh-CN"/>
        </w:rPr>
        <w:t>100</w:t>
      </w:r>
      <w:r>
        <w:rPr>
          <w:rFonts w:hint="eastAsia" w:ascii="宋体" w:hAnsi="宋体" w:eastAsia="宋体" w:cs="宋体"/>
          <w:color w:val="auto"/>
          <w:spacing w:val="-2"/>
          <w:sz w:val="24"/>
          <w:szCs w:val="24"/>
          <w:highlight w:val="none"/>
        </w:rPr>
        <w:t>分，权重</w:t>
      </w:r>
      <w:r>
        <w:rPr>
          <w:rFonts w:hint="eastAsia" w:ascii="宋体" w:hAnsi="宋体" w:eastAsia="宋体" w:cs="宋体"/>
          <w:color w:val="auto"/>
          <w:spacing w:val="-3"/>
          <w:sz w:val="24"/>
          <w:szCs w:val="24"/>
          <w:highlight w:val="none"/>
        </w:rPr>
        <w:t>为</w:t>
      </w:r>
      <w:r>
        <w:rPr>
          <w:rFonts w:hint="eastAsia" w:ascii="宋体" w:hAnsi="宋体" w:eastAsia="宋体" w:cs="宋体"/>
          <w:color w:val="auto"/>
          <w:spacing w:val="-3"/>
          <w:sz w:val="24"/>
          <w:szCs w:val="24"/>
          <w:highlight w:val="none"/>
          <w:lang w:eastAsia="zh-CN"/>
        </w:rPr>
        <w:t>40</w:t>
      </w:r>
      <w:r>
        <w:rPr>
          <w:rFonts w:hint="eastAsia" w:ascii="宋体" w:hAnsi="宋体" w:eastAsia="宋体" w:cs="宋体"/>
          <w:color w:val="auto"/>
          <w:spacing w:val="-3"/>
          <w:sz w:val="24"/>
          <w:szCs w:val="24"/>
          <w:highlight w:val="none"/>
        </w:rPr>
        <w:t>%；投标报价满分</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3"/>
          <w:sz w:val="24"/>
          <w:szCs w:val="24"/>
          <w:highlight w:val="none"/>
        </w:rPr>
        <w:t>100 分，权重为</w:t>
      </w:r>
      <w:r>
        <w:rPr>
          <w:rFonts w:hint="eastAsia" w:ascii="宋体" w:hAnsi="宋体" w:eastAsia="宋体" w:cs="宋体"/>
          <w:color w:val="auto"/>
          <w:spacing w:val="-3"/>
          <w:sz w:val="24"/>
          <w:szCs w:val="24"/>
          <w:highlight w:val="none"/>
          <w:lang w:eastAsia="zh-CN"/>
        </w:rPr>
        <w:t>60</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。两大部分权重之和应为</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100%。</w:t>
      </w:r>
    </w:p>
    <w:p w14:paraId="27B13201">
      <w:pPr>
        <w:keepNext w:val="0"/>
        <w:keepLines w:val="0"/>
        <w:pageBreakBefore w:val="0"/>
        <w:widowControl w:val="0"/>
        <w:kinsoku/>
        <w:wordWrap w:val="0"/>
        <w:overflowPunct/>
        <w:topLinePunct/>
        <w:autoSpaceDE/>
        <w:autoSpaceDN/>
        <w:bidi w:val="0"/>
        <w:adjustRightInd w:val="0"/>
        <w:snapToGrid w:val="0"/>
        <w:spacing w:line="360" w:lineRule="auto"/>
        <w:ind w:left="14"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除特别注明外，综合得分以及商务技术得分、投标报价得分的中间过程计算值和</w:t>
      </w:r>
      <w:r>
        <w:rPr>
          <w:rFonts w:hint="eastAsia" w:ascii="宋体" w:hAnsi="宋体" w:eastAsia="宋体" w:cs="宋体"/>
          <w:color w:val="auto"/>
          <w:spacing w:val="-4"/>
          <w:sz w:val="24"/>
          <w:szCs w:val="24"/>
          <w:highlight w:val="none"/>
        </w:rPr>
        <w:t>最终值，均按“</w:t>
      </w:r>
      <w:r>
        <w:rPr>
          <w:rFonts w:hint="eastAsia" w:ascii="宋体" w:hAnsi="宋体" w:eastAsia="宋体" w:cs="宋体"/>
          <w:color w:val="auto"/>
          <w:spacing w:val="-78"/>
          <w:sz w:val="24"/>
          <w:szCs w:val="24"/>
          <w:highlight w:val="none"/>
        </w:rPr>
        <w:t xml:space="preserve"> </w:t>
      </w:r>
      <w:r>
        <w:rPr>
          <w:rFonts w:hint="eastAsia" w:ascii="宋体" w:hAnsi="宋体" w:eastAsia="宋体" w:cs="宋体"/>
          <w:color w:val="auto"/>
          <w:spacing w:val="-4"/>
          <w:sz w:val="24"/>
          <w:szCs w:val="24"/>
          <w:highlight w:val="none"/>
        </w:rPr>
        <w:t>四舍五入</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”原则精确到两位小数。</w:t>
      </w:r>
    </w:p>
    <w:p w14:paraId="45454717">
      <w:pPr>
        <w:keepNext w:val="0"/>
        <w:keepLines w:val="0"/>
        <w:pageBreakBefore w:val="0"/>
        <w:widowControl w:val="0"/>
        <w:kinsoku/>
        <w:wordWrap w:val="0"/>
        <w:overflowPunct/>
        <w:topLinePunct/>
        <w:autoSpaceDE/>
        <w:autoSpaceDN/>
        <w:bidi w:val="0"/>
        <w:adjustRightInd w:val="0"/>
        <w:snapToGrid w:val="0"/>
        <w:spacing w:line="360" w:lineRule="auto"/>
        <w:ind w:left="503" w:right="84" w:rightChars="40"/>
        <w:outlineLvl w:val="9"/>
        <w:rPr>
          <w:rFonts w:hint="eastAsia" w:ascii="宋体" w:hAnsi="宋体" w:eastAsia="宋体" w:cs="宋体"/>
          <w:color w:val="auto"/>
          <w:sz w:val="24"/>
          <w:szCs w:val="24"/>
          <w:highlight w:val="none"/>
        </w:rPr>
      </w:pPr>
      <w:bookmarkStart w:id="111" w:name="_Toc18029"/>
      <w:bookmarkStart w:id="112" w:name="_Toc17510"/>
      <w:bookmarkStart w:id="113" w:name="_Toc22949"/>
      <w:bookmarkStart w:id="114" w:name="_Toc10398"/>
      <w:r>
        <w:rPr>
          <w:rFonts w:hint="eastAsia" w:ascii="宋体" w:hAnsi="宋体" w:eastAsia="宋体" w:cs="宋体"/>
          <w:color w:val="auto"/>
          <w:spacing w:val="-3"/>
          <w:sz w:val="24"/>
          <w:szCs w:val="24"/>
          <w:highlight w:val="none"/>
        </w:rPr>
        <w:t>（1）商务技术得分</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M</w:t>
      </w:r>
      <w:bookmarkEnd w:id="111"/>
      <w:bookmarkEnd w:id="112"/>
      <w:bookmarkEnd w:id="113"/>
      <w:bookmarkEnd w:id="114"/>
    </w:p>
    <w:p w14:paraId="13645262">
      <w:pPr>
        <w:keepNext w:val="0"/>
        <w:keepLines w:val="0"/>
        <w:pageBreakBefore w:val="0"/>
        <w:widowControl w:val="0"/>
        <w:kinsoku/>
        <w:wordWrap w:val="0"/>
        <w:overflowPunct/>
        <w:topLinePunct/>
        <w:autoSpaceDE/>
        <w:autoSpaceDN/>
        <w:bidi w:val="0"/>
        <w:adjustRightInd w:val="0"/>
        <w:snapToGrid w:val="0"/>
        <w:spacing w:line="360" w:lineRule="auto"/>
        <w:ind w:left="15" w:right="84" w:rightChars="40"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color w:val="auto"/>
          <w:spacing w:val="1"/>
          <w:sz w:val="24"/>
          <w:szCs w:val="24"/>
          <w:highlight w:val="none"/>
        </w:rPr>
        <w:t>．评标委员会按照《综合评分表》商务部分指定的评分标准对各评分因素进行</w:t>
      </w:r>
      <w:r>
        <w:rPr>
          <w:rFonts w:hint="eastAsia" w:ascii="宋体" w:hAnsi="宋体" w:eastAsia="宋体" w:cs="宋体"/>
          <w:color w:val="auto"/>
          <w:spacing w:val="-1"/>
          <w:sz w:val="24"/>
          <w:szCs w:val="24"/>
          <w:highlight w:val="none"/>
        </w:rPr>
        <w:t>打分。各评分因素得分之和即为某投标人的商务得分</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1"/>
          <w:sz w:val="24"/>
          <w:szCs w:val="24"/>
          <w:highlight w:val="none"/>
        </w:rPr>
        <w:t>。</w:t>
      </w:r>
    </w:p>
    <w:p w14:paraId="2111CE7E">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b</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color w:val="auto"/>
          <w:spacing w:val="1"/>
          <w:sz w:val="24"/>
          <w:szCs w:val="24"/>
          <w:highlight w:val="none"/>
        </w:rPr>
        <w:t>．评标委员会各成员独立按照《综合评分表》技术部分（施工组织设</w:t>
      </w:r>
      <w:r>
        <w:rPr>
          <w:rFonts w:hint="eastAsia" w:ascii="宋体" w:hAnsi="宋体" w:eastAsia="宋体" w:cs="宋体"/>
          <w:color w:val="auto"/>
          <w:sz w:val="24"/>
          <w:szCs w:val="24"/>
          <w:highlight w:val="none"/>
        </w:rPr>
        <w:t>计）指定</w:t>
      </w:r>
      <w:r>
        <w:rPr>
          <w:rFonts w:hint="eastAsia" w:ascii="宋体" w:hAnsi="宋体" w:eastAsia="宋体" w:cs="宋体"/>
          <w:color w:val="auto"/>
          <w:spacing w:val="-1"/>
          <w:sz w:val="24"/>
          <w:szCs w:val="24"/>
          <w:highlight w:val="none"/>
        </w:rPr>
        <w:t>的评分标准对各评分因素进行打分，累加后得出技术评分。</w:t>
      </w:r>
      <w:r>
        <w:rPr>
          <w:rFonts w:hint="eastAsia" w:ascii="宋体" w:hAnsi="宋体" w:eastAsia="宋体" w:cs="宋体"/>
          <w:color w:val="auto"/>
          <w:spacing w:val="-2"/>
          <w:sz w:val="24"/>
          <w:szCs w:val="24"/>
          <w:highlight w:val="none"/>
        </w:rPr>
        <w:t>将评标委员会所有成员的</w:t>
      </w:r>
      <w:r>
        <w:rPr>
          <w:rFonts w:hint="eastAsia" w:ascii="宋体" w:hAnsi="宋体" w:eastAsia="宋体" w:cs="宋体"/>
          <w:color w:val="auto"/>
          <w:sz w:val="24"/>
          <w:szCs w:val="24"/>
          <w:highlight w:val="none"/>
        </w:rPr>
        <w:t>技术评分去掉最高分和最低分后，取算术平均值，即</w:t>
      </w:r>
      <w:r>
        <w:rPr>
          <w:rFonts w:hint="eastAsia" w:ascii="宋体" w:hAnsi="宋体" w:eastAsia="宋体" w:cs="宋体"/>
          <w:color w:val="auto"/>
          <w:spacing w:val="-1"/>
          <w:sz w:val="24"/>
          <w:szCs w:val="24"/>
          <w:highlight w:val="none"/>
        </w:rPr>
        <w:t>为某投标人的技术得分</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15"/>
          <w:szCs w:val="15"/>
          <w:highlight w:val="none"/>
        </w:rPr>
        <w:t>2</w:t>
      </w:r>
      <w:r>
        <w:rPr>
          <w:rFonts w:hint="eastAsia" w:ascii="宋体" w:hAnsi="宋体" w:eastAsia="宋体" w:cs="宋体"/>
          <w:color w:val="auto"/>
          <w:spacing w:val="-1"/>
          <w:sz w:val="24"/>
          <w:szCs w:val="24"/>
          <w:highlight w:val="none"/>
        </w:rPr>
        <w:t>。</w:t>
      </w:r>
    </w:p>
    <w:p w14:paraId="74DD916B">
      <w:pPr>
        <w:keepNext w:val="0"/>
        <w:keepLines w:val="0"/>
        <w:pageBreakBefore w:val="0"/>
        <w:widowControl w:val="0"/>
        <w:kinsoku/>
        <w:wordWrap w:val="0"/>
        <w:overflowPunct/>
        <w:topLinePunct/>
        <w:autoSpaceDE/>
        <w:autoSpaceDN/>
        <w:bidi w:val="0"/>
        <w:adjustRightInd w:val="0"/>
        <w:snapToGrid w:val="0"/>
        <w:spacing w:line="360" w:lineRule="auto"/>
        <w:ind w:left="491" w:right="84" w:rightChars="40"/>
        <w:rPr>
          <w:rFonts w:hint="eastAsia" w:ascii="宋体" w:hAnsi="宋体" w:eastAsia="宋体" w:cs="宋体"/>
          <w:color w:val="auto"/>
          <w:sz w:val="15"/>
          <w:szCs w:val="15"/>
          <w:highlight w:val="none"/>
        </w:rPr>
      </w:pPr>
      <w:r>
        <w:rPr>
          <w:rFonts w:hint="eastAsia" w:ascii="宋体" w:hAnsi="宋体" w:eastAsia="宋体" w:cs="宋体"/>
          <w:b/>
          <w:bCs/>
          <w:color w:val="auto"/>
          <w:spacing w:val="-12"/>
          <w:sz w:val="24"/>
          <w:szCs w:val="24"/>
          <w:highlight w:val="none"/>
        </w:rPr>
        <w:t>c</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27"/>
          <w:sz w:val="24"/>
          <w:szCs w:val="24"/>
          <w:highlight w:val="none"/>
          <w:lang w:eastAsia="zh-CN"/>
        </w:rPr>
        <w:t>=</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12"/>
          <w:position w:val="-1"/>
          <w:sz w:val="15"/>
          <w:szCs w:val="15"/>
          <w:highlight w:val="none"/>
        </w:rPr>
        <w:t>1</w:t>
      </w:r>
      <w:r>
        <w:rPr>
          <w:rFonts w:hint="eastAsia" w:ascii="宋体" w:hAnsi="宋体" w:eastAsia="宋体" w:cs="宋体"/>
          <w:color w:val="auto"/>
          <w:spacing w:val="-12"/>
          <w:position w:val="-1"/>
          <w:sz w:val="15"/>
          <w:szCs w:val="15"/>
          <w:highlight w:val="none"/>
          <w:lang w:eastAsia="zh-CN"/>
        </w:rPr>
        <w:t>+</w:t>
      </w:r>
      <w:r>
        <w:rPr>
          <w:rFonts w:hint="eastAsia" w:ascii="宋体" w:hAnsi="宋体" w:eastAsia="宋体" w:cs="宋体"/>
          <w:color w:val="auto"/>
          <w:sz w:val="24"/>
          <w:szCs w:val="24"/>
          <w:highlight w:val="none"/>
        </w:rPr>
        <w:t>M</w:t>
      </w:r>
      <w:r>
        <w:rPr>
          <w:rFonts w:hint="eastAsia" w:ascii="宋体" w:hAnsi="宋体" w:eastAsia="宋体" w:cs="宋体"/>
          <w:color w:val="auto"/>
          <w:position w:val="-1"/>
          <w:sz w:val="15"/>
          <w:szCs w:val="15"/>
          <w:highlight w:val="none"/>
        </w:rPr>
        <w:t>2</w:t>
      </w:r>
    </w:p>
    <w:p w14:paraId="1358F96D">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1"/>
          <w:sz w:val="24"/>
          <w:szCs w:val="24"/>
          <w:highlight w:val="none"/>
        </w:rPr>
        <w:t>为某投标人的商务得分，M</w:t>
      </w:r>
      <w:r>
        <w:rPr>
          <w:rFonts w:hint="eastAsia" w:ascii="宋体" w:hAnsi="宋体" w:eastAsia="宋体" w:cs="宋体"/>
          <w:color w:val="auto"/>
          <w:spacing w:val="-1"/>
          <w:position w:val="-1"/>
          <w:sz w:val="15"/>
          <w:szCs w:val="15"/>
          <w:highlight w:val="none"/>
        </w:rPr>
        <w:t>2</w:t>
      </w:r>
      <w:r>
        <w:rPr>
          <w:rFonts w:hint="eastAsia" w:ascii="宋体" w:hAnsi="宋体" w:eastAsia="宋体" w:cs="宋体"/>
          <w:color w:val="auto"/>
          <w:spacing w:val="-1"/>
          <w:sz w:val="24"/>
          <w:szCs w:val="24"/>
          <w:highlight w:val="none"/>
        </w:rPr>
        <w:t>为某投标人的</w:t>
      </w:r>
      <w:r>
        <w:rPr>
          <w:rFonts w:hint="eastAsia" w:ascii="宋体" w:hAnsi="宋体" w:eastAsia="宋体" w:cs="宋体"/>
          <w:color w:val="auto"/>
          <w:spacing w:val="-2"/>
          <w:sz w:val="24"/>
          <w:szCs w:val="24"/>
          <w:highlight w:val="none"/>
        </w:rPr>
        <w:t>技术得分。</w:t>
      </w:r>
    </w:p>
    <w:p w14:paraId="2D94F0E8">
      <w:pPr>
        <w:keepNext w:val="0"/>
        <w:keepLines w:val="0"/>
        <w:pageBreakBefore w:val="0"/>
        <w:widowControl w:val="0"/>
        <w:kinsoku/>
        <w:wordWrap w:val="0"/>
        <w:overflowPunct/>
        <w:topLinePunct/>
        <w:autoSpaceDE/>
        <w:autoSpaceDN/>
        <w:bidi w:val="0"/>
        <w:adjustRightInd w:val="0"/>
        <w:snapToGrid w:val="0"/>
        <w:spacing w:line="360" w:lineRule="auto"/>
        <w:ind w:left="503" w:right="84" w:rightChars="40"/>
        <w:outlineLvl w:val="9"/>
        <w:rPr>
          <w:rFonts w:hint="eastAsia" w:ascii="宋体" w:hAnsi="宋体" w:eastAsia="宋体" w:cs="宋体"/>
          <w:color w:val="auto"/>
          <w:sz w:val="24"/>
          <w:szCs w:val="24"/>
          <w:highlight w:val="none"/>
        </w:rPr>
      </w:pPr>
      <w:bookmarkStart w:id="115" w:name="_Toc16136"/>
      <w:bookmarkStart w:id="116" w:name="_Toc14059"/>
      <w:bookmarkStart w:id="117" w:name="_Toc27609"/>
      <w:bookmarkStart w:id="118" w:name="_Toc3958"/>
      <w:r>
        <w:rPr>
          <w:rFonts w:hint="eastAsia" w:ascii="宋体" w:hAnsi="宋体" w:eastAsia="宋体" w:cs="宋体"/>
          <w:color w:val="auto"/>
          <w:spacing w:val="-2"/>
          <w:sz w:val="24"/>
          <w:szCs w:val="24"/>
          <w:highlight w:val="none"/>
        </w:rPr>
        <w:t>（2）投标报价得分</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2"/>
          <w:sz w:val="24"/>
          <w:szCs w:val="24"/>
          <w:highlight w:val="none"/>
        </w:rPr>
        <w:t>N</w:t>
      </w:r>
      <w:bookmarkEnd w:id="115"/>
      <w:bookmarkEnd w:id="116"/>
      <w:bookmarkEnd w:id="117"/>
      <w:bookmarkEnd w:id="118"/>
    </w:p>
    <w:p w14:paraId="14C7480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0"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a</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color w:val="auto"/>
          <w:spacing w:val="-3"/>
          <w:sz w:val="24"/>
          <w:szCs w:val="24"/>
          <w:highlight w:val="none"/>
        </w:rPr>
        <w:t>．评标委员会按照《综合评分表》投标报价部分指定的方法计</w:t>
      </w:r>
      <w:r>
        <w:rPr>
          <w:rFonts w:hint="eastAsia" w:ascii="宋体" w:hAnsi="宋体" w:eastAsia="宋体" w:cs="宋体"/>
          <w:color w:val="auto"/>
          <w:spacing w:val="-4"/>
          <w:sz w:val="24"/>
          <w:szCs w:val="24"/>
          <w:highlight w:val="none"/>
        </w:rPr>
        <w:t>算评标基准价</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pacing w:val="-4"/>
          <w:sz w:val="24"/>
          <w:szCs w:val="24"/>
          <w:highlight w:val="none"/>
        </w:rPr>
        <w:t>D。</w:t>
      </w:r>
    </w:p>
    <w:p w14:paraId="26484B3E">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b</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color w:val="auto"/>
          <w:sz w:val="24"/>
          <w:szCs w:val="24"/>
          <w:highlight w:val="none"/>
        </w:rPr>
        <w:t>．采用内插法计算某投标人的投标报价得分</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z w:val="24"/>
          <w:szCs w:val="24"/>
          <w:highlight w:val="none"/>
        </w:rPr>
        <w:t>N</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z w:val="24"/>
          <w:szCs w:val="24"/>
          <w:highlight w:val="none"/>
        </w:rPr>
        <w:t>，即当投标人的投标总价等于评</w:t>
      </w:r>
      <w:r>
        <w:rPr>
          <w:rFonts w:hint="eastAsia" w:ascii="宋体" w:hAnsi="宋体" w:eastAsia="宋体" w:cs="宋体"/>
          <w:color w:val="auto"/>
          <w:spacing w:val="-1"/>
          <w:sz w:val="24"/>
          <w:szCs w:val="24"/>
          <w:highlight w:val="none"/>
        </w:rPr>
        <w:t>标基准价时得</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1"/>
          <w:sz w:val="24"/>
          <w:szCs w:val="24"/>
          <w:highlight w:val="none"/>
        </w:rPr>
        <w:t>100</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1"/>
          <w:sz w:val="24"/>
          <w:szCs w:val="24"/>
          <w:highlight w:val="none"/>
        </w:rPr>
        <w:t>分，每高于评标基准价一个百分点扣</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1"/>
          <w:sz w:val="24"/>
          <w:szCs w:val="24"/>
          <w:highlight w:val="none"/>
        </w:rPr>
        <w:t>1 分</w:t>
      </w:r>
      <w:r>
        <w:rPr>
          <w:rFonts w:hint="eastAsia" w:ascii="宋体" w:hAnsi="宋体" w:eastAsia="宋体" w:cs="宋体"/>
          <w:b/>
          <w:bCs/>
          <w:color w:val="auto"/>
          <w:spacing w:val="-1"/>
          <w:sz w:val="24"/>
          <w:szCs w:val="24"/>
          <w:highlight w:val="none"/>
          <w:lang w:eastAsia="zh-CN"/>
        </w:rPr>
        <w:t>，</w:t>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2"/>
          <w:sz w:val="24"/>
          <w:szCs w:val="24"/>
          <w:highlight w:val="none"/>
        </w:rPr>
        <w:t>每低于评标基准价一个百分点扣</w:t>
      </w:r>
      <w:r>
        <w:rPr>
          <w:rFonts w:hint="eastAsia" w:ascii="宋体" w:hAnsi="宋体" w:eastAsia="宋体" w:cs="宋体"/>
          <w:color w:val="auto"/>
          <w:spacing w:val="-34"/>
          <w:sz w:val="24"/>
          <w:szCs w:val="24"/>
          <w:highlight w:val="none"/>
        </w:rPr>
        <w:t xml:space="preserve"> </w:t>
      </w:r>
      <w:r>
        <w:rPr>
          <w:rFonts w:hint="eastAsia" w:ascii="宋体" w:hAnsi="宋体" w:eastAsia="宋体" w:cs="宋体"/>
          <w:b/>
          <w:bCs/>
          <w:color w:val="auto"/>
          <w:spacing w:val="-2"/>
          <w:sz w:val="24"/>
          <w:szCs w:val="24"/>
          <w:highlight w:val="none"/>
        </w:rPr>
        <w:t>0.5 分</w:t>
      </w:r>
      <w:r>
        <w:rPr>
          <w:rFonts w:hint="eastAsia" w:ascii="宋体" w:hAnsi="宋体" w:eastAsia="宋体" w:cs="宋体"/>
          <w:color w:val="auto"/>
          <w:spacing w:val="-2"/>
          <w:sz w:val="24"/>
          <w:szCs w:val="24"/>
          <w:highlight w:val="none"/>
        </w:rPr>
        <w:t>，扣完为止。公式如下：</w:t>
      </w:r>
    </w:p>
    <w:p w14:paraId="398F86E5">
      <w:pPr>
        <w:keepNext w:val="0"/>
        <w:keepLines w:val="0"/>
        <w:pageBreakBefore w:val="0"/>
        <w:widowControl w:val="0"/>
        <w:kinsoku/>
        <w:wordWrap w:val="0"/>
        <w:overflowPunct/>
        <w:topLinePunct/>
        <w:autoSpaceDE/>
        <w:autoSpaceDN/>
        <w:bidi w:val="0"/>
        <w:adjustRightInd w:val="0"/>
        <w:snapToGrid w:val="0"/>
        <w:spacing w:line="360" w:lineRule="auto"/>
        <w:ind w:left="241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position w:val="3"/>
          <w:sz w:val="24"/>
          <w:szCs w:val="24"/>
          <w:highlight w:val="none"/>
        </w:rPr>
        <w:t>N</w:t>
      </w:r>
      <w:r>
        <w:rPr>
          <w:rFonts w:hint="eastAsia" w:ascii="宋体" w:hAnsi="宋体" w:eastAsia="宋体" w:cs="宋体"/>
          <w:color w:val="auto"/>
          <w:spacing w:val="-27"/>
          <w:position w:val="3"/>
          <w:sz w:val="24"/>
          <w:szCs w:val="24"/>
          <w:highlight w:val="none"/>
        </w:rPr>
        <w:t xml:space="preserve"> </w:t>
      </w:r>
      <w:r>
        <w:rPr>
          <w:rFonts w:hint="eastAsia" w:ascii="宋体" w:hAnsi="宋体" w:eastAsia="宋体" w:cs="宋体"/>
          <w:color w:val="auto"/>
          <w:spacing w:val="-27"/>
          <w:position w:val="3"/>
          <w:sz w:val="24"/>
          <w:szCs w:val="24"/>
          <w:highlight w:val="none"/>
          <w:lang w:eastAsia="zh-CN"/>
        </w:rPr>
        <w:t>=</w:t>
      </w:r>
      <w:r>
        <w:rPr>
          <w:rFonts w:hint="eastAsia" w:ascii="宋体" w:hAnsi="宋体" w:eastAsia="宋体" w:cs="宋体"/>
          <w:color w:val="auto"/>
          <w:spacing w:val="-6"/>
          <w:position w:val="3"/>
          <w:sz w:val="24"/>
          <w:szCs w:val="24"/>
          <w:highlight w:val="none"/>
        </w:rPr>
        <w:t>100</w:t>
      </w:r>
      <w:r>
        <w:rPr>
          <w:rFonts w:hint="eastAsia" w:ascii="宋体" w:hAnsi="宋体" w:eastAsia="宋体" w:cs="宋体"/>
          <w:color w:val="auto"/>
          <w:spacing w:val="-6"/>
          <w:position w:val="3"/>
          <w:sz w:val="24"/>
          <w:szCs w:val="24"/>
          <w:highlight w:val="none"/>
          <w:lang w:eastAsia="zh-CN"/>
        </w:rPr>
        <w:t>-(</w:t>
      </w:r>
      <w:r>
        <w:rPr>
          <w:rFonts w:hint="eastAsia" w:ascii="宋体" w:hAnsi="宋体" w:eastAsia="宋体" w:cs="宋体"/>
          <w:color w:val="auto"/>
          <w:spacing w:val="-6"/>
          <w:position w:val="3"/>
          <w:sz w:val="24"/>
          <w:szCs w:val="24"/>
          <w:highlight w:val="none"/>
        </w:rPr>
        <w:t>|Di</w:t>
      </w:r>
      <w:r>
        <w:rPr>
          <w:rFonts w:hint="eastAsia" w:ascii="宋体" w:hAnsi="宋体" w:eastAsia="宋体" w:cs="宋体"/>
          <w:color w:val="auto"/>
          <w:spacing w:val="-6"/>
          <w:position w:val="3"/>
          <w:sz w:val="24"/>
          <w:szCs w:val="24"/>
          <w:highlight w:val="none"/>
          <w:lang w:eastAsia="zh-CN"/>
        </w:rPr>
        <w:t>-</w:t>
      </w:r>
      <w:r>
        <w:rPr>
          <w:rFonts w:hint="eastAsia" w:ascii="宋体" w:hAnsi="宋体" w:eastAsia="宋体" w:cs="宋体"/>
          <w:color w:val="auto"/>
          <w:spacing w:val="-6"/>
          <w:position w:val="3"/>
          <w:sz w:val="24"/>
          <w:szCs w:val="24"/>
          <w:highlight w:val="none"/>
        </w:rPr>
        <w:t>D|÷D</w:t>
      </w:r>
      <w:r>
        <w:rPr>
          <w:rFonts w:hint="eastAsia" w:ascii="宋体" w:hAnsi="宋体" w:eastAsia="宋体" w:cs="宋体"/>
          <w:color w:val="auto"/>
          <w:spacing w:val="-6"/>
          <w:position w:val="3"/>
          <w:sz w:val="24"/>
          <w:szCs w:val="24"/>
          <w:highlight w:val="none"/>
          <w:lang w:eastAsia="zh-CN"/>
        </w:rPr>
        <w:t>)</w:t>
      </w:r>
      <w:r>
        <w:rPr>
          <w:rFonts w:hint="eastAsia" w:ascii="宋体" w:hAnsi="宋体" w:eastAsia="宋体" w:cs="宋体"/>
          <w:color w:val="auto"/>
          <w:spacing w:val="-75"/>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92"/>
          <w:position w:val="3"/>
          <w:sz w:val="24"/>
          <w:szCs w:val="24"/>
          <w:highlight w:val="none"/>
        </w:rPr>
        <w:t xml:space="preserve"> </w:t>
      </w:r>
      <w:r>
        <w:rPr>
          <w:rFonts w:hint="eastAsia" w:ascii="宋体" w:hAnsi="宋体" w:eastAsia="宋体" w:cs="宋体"/>
          <w:color w:val="auto"/>
          <w:spacing w:val="-6"/>
          <w:position w:val="3"/>
          <w:sz w:val="24"/>
          <w:szCs w:val="24"/>
          <w:highlight w:val="none"/>
        </w:rPr>
        <w:t>100×E</w:t>
      </w:r>
    </w:p>
    <w:p w14:paraId="645C2BF0">
      <w:pPr>
        <w:keepNext w:val="0"/>
        <w:keepLines w:val="0"/>
        <w:pageBreakBefore w:val="0"/>
        <w:widowControl w:val="0"/>
        <w:kinsoku/>
        <w:wordWrap w:val="0"/>
        <w:overflowPunct/>
        <w:topLinePunct/>
        <w:autoSpaceDE/>
        <w:autoSpaceDN/>
        <w:bidi w:val="0"/>
        <w:adjustRightInd w:val="0"/>
        <w:snapToGrid w:val="0"/>
        <w:spacing w:line="360" w:lineRule="auto"/>
        <w:ind w:left="7"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式中：D为评标基准价；Di为某投标人的投标总价；E为扣分因子，当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9"/>
          <w:sz w:val="24"/>
          <w:szCs w:val="24"/>
          <w:highlight w:val="none"/>
        </w:rPr>
        <w:t>Di＞D</w:t>
      </w:r>
      <w:r>
        <w:rPr>
          <w:rFonts w:hint="eastAsia" w:ascii="宋体" w:hAnsi="宋体" w:eastAsia="宋体" w:cs="宋体"/>
          <w:color w:val="auto"/>
          <w:spacing w:val="-10"/>
          <w:sz w:val="24"/>
          <w:szCs w:val="24"/>
          <w:highlight w:val="none"/>
        </w:rPr>
        <w:t>时，</w:t>
      </w:r>
      <w:r>
        <w:rPr>
          <w:rFonts w:hint="eastAsia" w:ascii="宋体" w:hAnsi="宋体" w:eastAsia="宋体" w:cs="宋体"/>
          <w:color w:val="auto"/>
          <w:spacing w:val="-8"/>
          <w:sz w:val="24"/>
          <w:szCs w:val="24"/>
          <w:highlight w:val="none"/>
        </w:rPr>
        <w:t>E＝</w:t>
      </w:r>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30"/>
          <w:sz w:val="24"/>
          <w:szCs w:val="24"/>
          <w:highlight w:val="none"/>
        </w:rPr>
        <w:t xml:space="preserve"> </w:t>
      </w:r>
      <w:r>
        <w:rPr>
          <w:rFonts w:hint="eastAsia" w:ascii="宋体" w:hAnsi="宋体" w:eastAsia="宋体" w:cs="宋体"/>
          <w:b/>
          <w:bCs/>
          <w:color w:val="auto"/>
          <w:spacing w:val="-8"/>
          <w:sz w:val="24"/>
          <w:szCs w:val="24"/>
          <w:highlight w:val="none"/>
        </w:rPr>
        <w:t>；</w:t>
      </w:r>
      <w:r>
        <w:rPr>
          <w:rFonts w:hint="eastAsia" w:ascii="宋体" w:hAnsi="宋体" w:eastAsia="宋体" w:cs="宋体"/>
          <w:color w:val="auto"/>
          <w:spacing w:val="-8"/>
          <w:sz w:val="24"/>
          <w:szCs w:val="24"/>
          <w:highlight w:val="none"/>
        </w:rPr>
        <w:t>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8"/>
          <w:sz w:val="24"/>
          <w:szCs w:val="24"/>
          <w:highlight w:val="none"/>
        </w:rPr>
        <w:t>Di＜D时，E</w:t>
      </w:r>
      <w:r>
        <w:rPr>
          <w:rFonts w:hint="eastAsia" w:ascii="宋体" w:hAnsi="宋体" w:eastAsia="宋体" w:cs="宋体"/>
          <w:b/>
          <w:bCs/>
          <w:color w:val="auto"/>
          <w:spacing w:val="-8"/>
          <w:sz w:val="24"/>
          <w:szCs w:val="24"/>
          <w:highlight w:val="none"/>
        </w:rPr>
        <w:t>＝0.5。</w:t>
      </w:r>
    </w:p>
    <w:p w14:paraId="0F8F3C08">
      <w:pPr>
        <w:keepNext w:val="0"/>
        <w:keepLines w:val="0"/>
        <w:pageBreakBefore w:val="0"/>
        <w:widowControl w:val="0"/>
        <w:kinsoku/>
        <w:wordWrap w:val="0"/>
        <w:overflowPunct/>
        <w:topLinePunct/>
        <w:autoSpaceDE/>
        <w:autoSpaceDN/>
        <w:bidi w:val="0"/>
        <w:adjustRightInd w:val="0"/>
        <w:snapToGrid w:val="0"/>
        <w:spacing w:line="360" w:lineRule="auto"/>
        <w:ind w:left="503" w:right="84" w:rightChars="40"/>
        <w:outlineLvl w:val="9"/>
        <w:rPr>
          <w:rFonts w:hint="eastAsia" w:ascii="宋体" w:hAnsi="宋体" w:eastAsia="宋体" w:cs="宋体"/>
          <w:color w:val="auto"/>
          <w:sz w:val="24"/>
          <w:szCs w:val="24"/>
          <w:highlight w:val="none"/>
        </w:rPr>
      </w:pPr>
      <w:bookmarkStart w:id="119" w:name="_Toc7915"/>
      <w:bookmarkStart w:id="120" w:name="_Toc576"/>
      <w:bookmarkStart w:id="121" w:name="_Toc4990"/>
      <w:bookmarkStart w:id="122" w:name="_Toc3861"/>
      <w:r>
        <w:rPr>
          <w:rFonts w:hint="eastAsia" w:ascii="宋体" w:hAnsi="宋体" w:eastAsia="宋体" w:cs="宋体"/>
          <w:color w:val="auto"/>
          <w:spacing w:val="-3"/>
          <w:sz w:val="24"/>
          <w:szCs w:val="24"/>
          <w:highlight w:val="none"/>
        </w:rPr>
        <w:t>（3）综合得分</w:t>
      </w:r>
      <w:bookmarkEnd w:id="119"/>
      <w:bookmarkEnd w:id="120"/>
      <w:bookmarkEnd w:id="121"/>
      <w:bookmarkEnd w:id="122"/>
    </w:p>
    <w:p w14:paraId="4602D148">
      <w:pPr>
        <w:keepNext w:val="0"/>
        <w:keepLines w:val="0"/>
        <w:pageBreakBefore w:val="0"/>
        <w:widowControl w:val="0"/>
        <w:kinsoku/>
        <w:wordWrap w:val="0"/>
        <w:overflowPunct/>
        <w:topLinePunct/>
        <w:autoSpaceDE/>
        <w:autoSpaceDN/>
        <w:bidi w:val="0"/>
        <w:adjustRightInd w:val="0"/>
        <w:snapToGrid w:val="0"/>
        <w:spacing w:line="360" w:lineRule="auto"/>
        <w:ind w:left="49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综合得分换算为百分制，满分</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2"/>
          <w:sz w:val="24"/>
          <w:szCs w:val="24"/>
          <w:highlight w:val="none"/>
        </w:rPr>
        <w:t>100 分，公式如下：</w:t>
      </w:r>
    </w:p>
    <w:p w14:paraId="65FE0995">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hanging="33"/>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t>综合得分＝M÷商务技术合计满分×100</w:t>
      </w:r>
      <w:r>
        <w:rPr>
          <w:rFonts w:hint="eastAsia" w:ascii="宋体" w:hAnsi="宋体" w:eastAsia="宋体" w:cs="宋体"/>
          <w:color w:val="auto"/>
          <w:spacing w:val="-1"/>
          <w:sz w:val="24"/>
          <w:szCs w:val="24"/>
          <w:highlight w:val="none"/>
        </w:rPr>
        <w:t>×商务技术权重＋N×投标报价权重</w:t>
      </w:r>
    </w:p>
    <w:p w14:paraId="012F3C68">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hanging="3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式中：M为商务技术得分，N为投标报价得分。</w:t>
      </w:r>
    </w:p>
    <w:p w14:paraId="17E1E708">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textAlignment w:val="baseline"/>
        <w:outlineLvl w:val="9"/>
        <w:rPr>
          <w:rFonts w:hint="eastAsia" w:ascii="宋体" w:hAnsi="宋体" w:eastAsia="宋体" w:cs="宋体"/>
          <w:color w:val="auto"/>
          <w:sz w:val="24"/>
          <w:szCs w:val="24"/>
          <w:highlight w:val="none"/>
        </w:rPr>
      </w:pPr>
      <w:bookmarkStart w:id="123" w:name="_Toc25214"/>
      <w:bookmarkStart w:id="124" w:name="_Toc2885"/>
      <w:bookmarkStart w:id="125" w:name="_Toc30671"/>
      <w:bookmarkStart w:id="126" w:name="_Toc32384"/>
      <w:r>
        <w:rPr>
          <w:rFonts w:hint="eastAsia" w:ascii="宋体" w:hAnsi="宋体" w:eastAsia="宋体" w:cs="宋体"/>
          <w:color w:val="auto"/>
          <w:spacing w:val="2"/>
          <w:sz w:val="24"/>
          <w:szCs w:val="24"/>
          <w:highlight w:val="none"/>
        </w:rPr>
        <w:t>（4）评标委员会汇总、比较所有投标人的综合得分后，取</w:t>
      </w:r>
      <w:r>
        <w:rPr>
          <w:rFonts w:hint="eastAsia" w:ascii="宋体" w:hAnsi="宋体" w:eastAsia="宋体" w:cs="宋体"/>
          <w:color w:val="auto"/>
          <w:spacing w:val="1"/>
          <w:sz w:val="24"/>
          <w:szCs w:val="24"/>
          <w:highlight w:val="none"/>
        </w:rPr>
        <w:t>综合得分最高的投标</w:t>
      </w:r>
      <w:bookmarkEnd w:id="123"/>
      <w:bookmarkEnd w:id="124"/>
      <w:bookmarkEnd w:id="125"/>
      <w:bookmarkEnd w:id="126"/>
      <w:r>
        <w:rPr>
          <w:rFonts w:hint="eastAsia" w:ascii="宋体" w:hAnsi="宋体" w:eastAsia="宋体" w:cs="宋体"/>
          <w:color w:val="auto"/>
          <w:spacing w:val="-1"/>
          <w:sz w:val="24"/>
          <w:szCs w:val="24"/>
          <w:highlight w:val="none"/>
        </w:rPr>
        <w:t>人为第一中标候选人，取综合得分第二、第三高的投标人</w:t>
      </w:r>
      <w:r>
        <w:rPr>
          <w:rFonts w:hint="eastAsia" w:ascii="宋体" w:hAnsi="宋体" w:eastAsia="宋体" w:cs="宋体"/>
          <w:color w:val="auto"/>
          <w:spacing w:val="-2"/>
          <w:sz w:val="24"/>
          <w:szCs w:val="24"/>
          <w:highlight w:val="none"/>
        </w:rPr>
        <w:t>为第二、第三中标候选人。</w:t>
      </w:r>
      <w:r>
        <w:rPr>
          <w:rFonts w:hint="eastAsia" w:ascii="宋体" w:hAnsi="宋体" w:eastAsia="宋体" w:cs="宋体"/>
          <w:color w:val="auto"/>
          <w:spacing w:val="-1"/>
          <w:sz w:val="24"/>
          <w:szCs w:val="24"/>
          <w:highlight w:val="none"/>
        </w:rPr>
        <w:t>如果最高综合得分相同，取投标总价低者为第一中标</w:t>
      </w:r>
      <w:r>
        <w:rPr>
          <w:rFonts w:hint="eastAsia" w:ascii="宋体" w:hAnsi="宋体" w:eastAsia="宋体" w:cs="宋体"/>
          <w:color w:val="auto"/>
          <w:spacing w:val="-2"/>
          <w:sz w:val="24"/>
          <w:szCs w:val="24"/>
          <w:highlight w:val="none"/>
        </w:rPr>
        <w:t>候选人，并依此确定第二、第三</w:t>
      </w:r>
      <w:r>
        <w:rPr>
          <w:rFonts w:hint="eastAsia" w:ascii="宋体" w:hAnsi="宋体" w:eastAsia="宋体" w:cs="宋体"/>
          <w:color w:val="auto"/>
          <w:sz w:val="24"/>
          <w:szCs w:val="24"/>
          <w:highlight w:val="none"/>
        </w:rPr>
        <w:t xml:space="preserve"> 中标候选人。如果最高综合得分相同，投标总价</w:t>
      </w:r>
      <w:r>
        <w:rPr>
          <w:rFonts w:hint="eastAsia" w:ascii="宋体" w:hAnsi="宋体" w:eastAsia="宋体" w:cs="宋体"/>
          <w:color w:val="auto"/>
          <w:spacing w:val="-1"/>
          <w:sz w:val="24"/>
          <w:szCs w:val="24"/>
          <w:highlight w:val="none"/>
        </w:rPr>
        <w:t>也相同，由评标委员会投票确定。</w:t>
      </w:r>
    </w:p>
    <w:p w14:paraId="69B29059">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6"/>
          <w:sz w:val="30"/>
          <w:szCs w:val="30"/>
          <w:highlight w:val="none"/>
        </w:rPr>
      </w:pPr>
      <w:bookmarkStart w:id="127" w:name="_Toc16801"/>
      <w:bookmarkStart w:id="128" w:name="_Toc17375"/>
      <w:bookmarkStart w:id="129" w:name="_Toc3020"/>
      <w:r>
        <w:rPr>
          <w:rFonts w:hint="eastAsia" w:ascii="宋体" w:hAnsi="宋体" w:eastAsia="宋体" w:cs="宋体"/>
          <w:b/>
          <w:bCs/>
          <w:color w:val="auto"/>
          <w:spacing w:val="-6"/>
          <w:sz w:val="30"/>
          <w:szCs w:val="30"/>
          <w:highlight w:val="none"/>
        </w:rPr>
        <w:br w:type="page"/>
      </w:r>
    </w:p>
    <w:p w14:paraId="7CC92FD4">
      <w:pPr>
        <w:keepNext w:val="0"/>
        <w:keepLines w:val="0"/>
        <w:pageBreakBefore w:val="0"/>
        <w:widowControl w:val="0"/>
        <w:kinsoku/>
        <w:wordWrap w:val="0"/>
        <w:overflowPunct/>
        <w:topLinePunct/>
        <w:autoSpaceDE/>
        <w:autoSpaceDN/>
        <w:bidi w:val="0"/>
        <w:adjustRightInd w:val="0"/>
        <w:snapToGrid w:val="0"/>
        <w:spacing w:before="98" w:line="221" w:lineRule="auto"/>
        <w:ind w:left="4248" w:right="84" w:rightChars="40"/>
        <w:outlineLvl w:val="9"/>
        <w:rPr>
          <w:rFonts w:hint="eastAsia" w:ascii="宋体" w:hAnsi="宋体" w:eastAsia="宋体" w:cs="宋体"/>
          <w:color w:val="auto"/>
          <w:sz w:val="30"/>
          <w:szCs w:val="30"/>
          <w:highlight w:val="none"/>
          <w:lang w:eastAsia="zh-CN"/>
        </w:rPr>
      </w:pPr>
      <w:r>
        <w:rPr>
          <w:rFonts w:hint="eastAsia" w:ascii="宋体" w:hAnsi="宋体" w:eastAsia="宋体" w:cs="宋体"/>
          <w:b/>
          <w:bCs/>
          <w:color w:val="auto"/>
          <w:spacing w:val="-6"/>
          <w:sz w:val="30"/>
          <w:szCs w:val="30"/>
          <w:highlight w:val="none"/>
        </w:rPr>
        <w:t>综合评分表</w:t>
      </w:r>
      <w:bookmarkEnd w:id="127"/>
      <w:bookmarkEnd w:id="128"/>
      <w:bookmarkEnd w:id="129"/>
    </w:p>
    <w:p w14:paraId="539C6922">
      <w:pPr>
        <w:keepNext w:val="0"/>
        <w:keepLines w:val="0"/>
        <w:pageBreakBefore w:val="0"/>
        <w:widowControl w:val="0"/>
        <w:kinsoku/>
        <w:wordWrap w:val="0"/>
        <w:overflowPunct/>
        <w:topLinePunct/>
        <w:autoSpaceDE/>
        <w:autoSpaceDN/>
        <w:bidi w:val="0"/>
        <w:adjustRightInd w:val="0"/>
        <w:snapToGrid w:val="0"/>
        <w:spacing w:before="5"/>
        <w:ind w:right="84" w:rightChars="40"/>
        <w:rPr>
          <w:rFonts w:hint="eastAsia" w:ascii="宋体" w:hAnsi="宋体" w:eastAsia="宋体" w:cs="宋体"/>
          <w:color w:val="auto"/>
          <w:highlight w:val="none"/>
        </w:rPr>
      </w:pPr>
    </w:p>
    <w:tbl>
      <w:tblPr>
        <w:tblStyle w:val="15"/>
        <w:tblW w:w="10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0"/>
        <w:gridCol w:w="237"/>
        <w:gridCol w:w="3857"/>
        <w:gridCol w:w="4731"/>
      </w:tblGrid>
      <w:tr w14:paraId="767A0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85" w:type="dxa"/>
            <w:gridSpan w:val="4"/>
            <w:shd w:val="clear" w:color="auto" w:fill="D7D7D7"/>
            <w:noWrap w:val="0"/>
            <w:vAlign w:val="center"/>
          </w:tcPr>
          <w:p w14:paraId="694CC6F1">
            <w:pPr>
              <w:pStyle w:val="6"/>
              <w:keepNext w:val="0"/>
              <w:keepLines/>
              <w:pageBreakBefore w:val="0"/>
              <w:widowControl/>
              <w:tabs>
                <w:tab w:val="left" w:pos="1354"/>
                <w:tab w:val="left" w:pos="1459"/>
                <w:tab w:val="center" w:pos="3902"/>
                <w:tab w:val="right" w:pos="7805"/>
              </w:tabs>
              <w:kinsoku/>
              <w:wordWrap w:val="0"/>
              <w:overflowPunct/>
              <w:topLinePunct/>
              <w:autoSpaceDE/>
              <w:autoSpaceDN/>
              <w:bidi w:val="0"/>
              <w:adjustRightInd w:val="0"/>
              <w:snapToGrid w:val="0"/>
              <w:spacing w:line="400" w:lineRule="exact"/>
              <w:textAlignment w:val="baseline"/>
              <w:rPr>
                <w:rFonts w:hint="eastAsia" w:ascii="宋体" w:hAnsi="宋体" w:eastAsia="宋体" w:cs="宋体"/>
                <w:b/>
                <w:bCs/>
                <w:snapToGrid w:val="0"/>
                <w:color w:val="auto"/>
                <w:kern w:val="0"/>
                <w:sz w:val="24"/>
                <w:szCs w:val="24"/>
                <w:highlight w:val="none"/>
              </w:rPr>
            </w:pPr>
            <w:bookmarkStart w:id="130" w:name="_Toc5769"/>
            <w:bookmarkStart w:id="131" w:name="_Toc17436"/>
            <w:bookmarkStart w:id="132" w:name="_Toc31744"/>
            <w:bookmarkStart w:id="133" w:name="_Toc9725"/>
            <w:r>
              <w:rPr>
                <w:rFonts w:hint="eastAsia" w:ascii="宋体" w:hAnsi="宋体" w:eastAsia="宋体" w:cs="宋体"/>
                <w:b/>
                <w:bCs/>
                <w:snapToGrid w:val="0"/>
                <w:color w:val="auto"/>
                <w:kern w:val="0"/>
                <w:sz w:val="24"/>
                <w:szCs w:val="24"/>
                <w:highlight w:val="none"/>
              </w:rPr>
              <w:t>商务部分，满分：</w:t>
            </w:r>
            <w:r>
              <w:rPr>
                <w:rFonts w:hint="eastAsia" w:ascii="宋体" w:hAnsi="宋体" w:eastAsia="宋体" w:cs="宋体"/>
                <w:b/>
                <w:bCs/>
                <w:snapToGrid w:val="0"/>
                <w:color w:val="auto"/>
                <w:kern w:val="0"/>
                <w:sz w:val="24"/>
                <w:szCs w:val="24"/>
                <w:highlight w:val="none"/>
                <w:u w:val="single"/>
              </w:rPr>
              <w:t xml:space="preserve"> 80 </w:t>
            </w:r>
            <w:r>
              <w:rPr>
                <w:rFonts w:hint="eastAsia" w:ascii="宋体" w:hAnsi="宋体" w:eastAsia="宋体" w:cs="宋体"/>
                <w:b/>
                <w:bCs/>
                <w:snapToGrid w:val="0"/>
                <w:color w:val="auto"/>
                <w:kern w:val="0"/>
                <w:sz w:val="24"/>
                <w:szCs w:val="24"/>
                <w:highlight w:val="none"/>
              </w:rPr>
              <w:t>分。</w:t>
            </w:r>
          </w:p>
        </w:tc>
      </w:tr>
      <w:tr w14:paraId="398BA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27702457">
            <w:pPr>
              <w:pStyle w:val="6"/>
              <w:keepNext w:val="0"/>
              <w:keepLines/>
              <w:pageBreakBefore w:val="0"/>
              <w:widowControl/>
              <w:tabs>
                <w:tab w:val="left" w:pos="1354"/>
                <w:tab w:val="left" w:pos="1459"/>
                <w:tab w:val="center" w:pos="3902"/>
                <w:tab w:val="right" w:pos="7805"/>
              </w:tabs>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评分因素</w:t>
            </w:r>
          </w:p>
        </w:tc>
        <w:tc>
          <w:tcPr>
            <w:tcW w:w="3857" w:type="dxa"/>
            <w:noWrap w:val="0"/>
            <w:vAlign w:val="center"/>
          </w:tcPr>
          <w:p w14:paraId="55CD4015">
            <w:pPr>
              <w:pStyle w:val="6"/>
              <w:keepNext w:val="0"/>
              <w:keepLines/>
              <w:pageBreakBefore w:val="0"/>
              <w:widowControl/>
              <w:tabs>
                <w:tab w:val="left" w:pos="1354"/>
                <w:tab w:val="left" w:pos="1459"/>
                <w:tab w:val="center" w:pos="3902"/>
                <w:tab w:val="right" w:pos="7805"/>
              </w:tabs>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评分标准</w:t>
            </w:r>
          </w:p>
        </w:tc>
        <w:tc>
          <w:tcPr>
            <w:tcW w:w="4731" w:type="dxa"/>
            <w:noWrap w:val="0"/>
            <w:vAlign w:val="center"/>
          </w:tcPr>
          <w:p w14:paraId="0CECCC93">
            <w:pPr>
              <w:pStyle w:val="6"/>
              <w:keepNext w:val="0"/>
              <w:keepLines/>
              <w:pageBreakBefore w:val="0"/>
              <w:widowControl/>
              <w:tabs>
                <w:tab w:val="left" w:pos="1354"/>
                <w:tab w:val="left" w:pos="1459"/>
                <w:tab w:val="center" w:pos="3902"/>
                <w:tab w:val="right" w:pos="7805"/>
              </w:tabs>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备注</w:t>
            </w:r>
          </w:p>
        </w:tc>
      </w:tr>
      <w:tr w14:paraId="633E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5B11D672">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企业奖项</w:t>
            </w:r>
          </w:p>
          <w:p w14:paraId="3C950766">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（10分）</w:t>
            </w:r>
          </w:p>
        </w:tc>
        <w:tc>
          <w:tcPr>
            <w:tcW w:w="3857" w:type="dxa"/>
            <w:noWrap w:val="0"/>
            <w:vAlign w:val="center"/>
          </w:tcPr>
          <w:p w14:paraId="54A39547">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企业2021年1月1日至今获得工程类奖项情况：</w:t>
            </w:r>
          </w:p>
          <w:p w14:paraId="7A56C685">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1.</w:t>
            </w:r>
            <w:r>
              <w:rPr>
                <w:rFonts w:hint="eastAsia" w:ascii="宋体" w:hAnsi="宋体" w:eastAsia="宋体" w:cs="宋体"/>
                <w:snapToGrid w:val="0"/>
                <w:color w:val="auto"/>
                <w:kern w:val="0"/>
                <w:sz w:val="24"/>
                <w:szCs w:val="24"/>
                <w:highlight w:val="none"/>
              </w:rPr>
              <w:t>获得省级</w:t>
            </w:r>
            <w:r>
              <w:rPr>
                <w:rFonts w:hint="eastAsia" w:ascii="宋体" w:hAnsi="宋体" w:eastAsia="宋体" w:cs="宋体"/>
                <w:snapToGrid w:val="0"/>
                <w:color w:val="auto"/>
                <w:kern w:val="0"/>
                <w:sz w:val="24"/>
                <w:szCs w:val="24"/>
                <w:highlight w:val="none"/>
                <w:lang w:val="en-US" w:eastAsia="zh-CN"/>
              </w:rPr>
              <w:t>或以上</w:t>
            </w:r>
            <w:r>
              <w:rPr>
                <w:rFonts w:hint="eastAsia" w:ascii="宋体" w:hAnsi="宋体" w:eastAsia="宋体" w:cs="宋体"/>
                <w:snapToGrid w:val="0"/>
                <w:color w:val="auto"/>
                <w:kern w:val="0"/>
                <w:sz w:val="24"/>
                <w:szCs w:val="24"/>
                <w:highlight w:val="none"/>
              </w:rPr>
              <w:t>奖项的，每个得</w:t>
            </w:r>
            <w:r>
              <w:rPr>
                <w:rFonts w:hint="eastAsia" w:ascii="宋体" w:hAnsi="宋体" w:eastAsia="宋体" w:cs="宋体"/>
                <w:snapToGrid w:val="0"/>
                <w:color w:val="auto"/>
                <w:kern w:val="0"/>
                <w:sz w:val="24"/>
                <w:szCs w:val="24"/>
                <w:highlight w:val="none"/>
                <w:u w:val="single"/>
                <w:lang w:val="en-US" w:eastAsia="zh-CN"/>
              </w:rPr>
              <w:t>4</w:t>
            </w:r>
            <w:r>
              <w:rPr>
                <w:rFonts w:hint="eastAsia" w:ascii="宋体" w:hAnsi="宋体" w:eastAsia="宋体" w:cs="宋体"/>
                <w:snapToGrid w:val="0"/>
                <w:color w:val="auto"/>
                <w:kern w:val="0"/>
                <w:sz w:val="24"/>
                <w:szCs w:val="24"/>
                <w:highlight w:val="none"/>
              </w:rPr>
              <w:t>分</w:t>
            </w:r>
            <w:r>
              <w:rPr>
                <w:rFonts w:hint="eastAsia" w:ascii="宋体" w:hAnsi="宋体" w:eastAsia="宋体" w:cs="宋体"/>
                <w:snapToGrid w:val="0"/>
                <w:color w:val="auto"/>
                <w:kern w:val="0"/>
                <w:sz w:val="24"/>
                <w:szCs w:val="24"/>
                <w:highlight w:val="none"/>
                <w:lang w:eastAsia="zh-CN"/>
              </w:rPr>
              <w:t>；</w:t>
            </w:r>
          </w:p>
          <w:p w14:paraId="6C06DB09">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获得地市级奖项的，每个得</w:t>
            </w:r>
            <w:r>
              <w:rPr>
                <w:rFonts w:hint="eastAsia" w:ascii="宋体" w:hAnsi="宋体" w:eastAsia="宋体" w:cs="宋体"/>
                <w:snapToGrid w:val="0"/>
                <w:color w:val="auto"/>
                <w:kern w:val="0"/>
                <w:sz w:val="24"/>
                <w:szCs w:val="24"/>
                <w:highlight w:val="none"/>
                <w:u w:val="single"/>
              </w:rPr>
              <w:t>2</w:t>
            </w:r>
            <w:r>
              <w:rPr>
                <w:rFonts w:hint="eastAsia" w:ascii="宋体" w:hAnsi="宋体" w:eastAsia="宋体" w:cs="宋体"/>
                <w:snapToGrid w:val="0"/>
                <w:color w:val="auto"/>
                <w:kern w:val="0"/>
                <w:sz w:val="24"/>
                <w:szCs w:val="24"/>
                <w:highlight w:val="none"/>
              </w:rPr>
              <w:t>分</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以上奖项均未获得的，不予计分。</w:t>
            </w:r>
          </w:p>
          <w:p w14:paraId="034F9BD9">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本项最高得10分。</w:t>
            </w:r>
          </w:p>
          <w:p w14:paraId="039E2D4F">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color w:val="auto"/>
                <w:sz w:val="24"/>
                <w:szCs w:val="24"/>
                <w:highlight w:val="none"/>
              </w:rPr>
            </w:pPr>
          </w:p>
        </w:tc>
        <w:tc>
          <w:tcPr>
            <w:tcW w:w="4731" w:type="dxa"/>
            <w:noWrap w:val="0"/>
            <w:vAlign w:val="center"/>
          </w:tcPr>
          <w:p w14:paraId="2BABE8C7">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1.允许投标人提交多个业绩（不含参建），但同一业绩只按最高级别奖项计分一次。</w:t>
            </w:r>
          </w:p>
          <w:p w14:paraId="634770C7">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2.需附有关奖项证明彩色扫描件。</w:t>
            </w:r>
          </w:p>
          <w:p w14:paraId="50C50332">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3.颁发机构限定以下范围：</w:t>
            </w:r>
          </w:p>
          <w:p w14:paraId="44DEA9CA">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①国家级奖项：国务院、住建部、国家能源局（或国家电力监管委员会）、中国建筑业协会、中国建筑安全协会、中国电力建设企业协会、中国水利电力质量管理协会等；（相关协会需经民政部门备案）</w:t>
            </w:r>
          </w:p>
          <w:p w14:paraId="46095B9E">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②省级奖项：省级人民政府、省级建设行政主管部门、省级供电部门、省级建筑业协会、省建筑安全协会、省级电力行业相关协会；（相关协会需经民政部门备案）</w:t>
            </w:r>
          </w:p>
          <w:p w14:paraId="5788604B">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③地市级奖项：地市级人民政府、地市级建设行政主管部门、地市级供电部门、地市级建筑业协会、地市级建筑安全协会、地市级电力行业相关协会。（相关协会需经民政部门备案）</w:t>
            </w:r>
          </w:p>
          <w:p w14:paraId="63C95E33">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4.获奖时间以奖项证明的落款日期为准。</w:t>
            </w:r>
          </w:p>
          <w:p w14:paraId="4B336431">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5.任一奖项有以下情形之一的，该奖项视为无效，不予计分：</w:t>
            </w:r>
          </w:p>
          <w:p w14:paraId="6A468DE4">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①奖项不属于指定类别的；</w:t>
            </w:r>
          </w:p>
          <w:p w14:paraId="37341CE2">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②颁发机构不符合要求的；</w:t>
            </w:r>
          </w:p>
          <w:p w14:paraId="530D0C85">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③获奖时间不符合要求的。</w:t>
            </w:r>
          </w:p>
          <w:p w14:paraId="2AF265CC">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rPr>
              <w:t>说明：以上所称“要求”均指本表评分标准及备注的要求，下同。</w:t>
            </w:r>
          </w:p>
        </w:tc>
      </w:tr>
      <w:tr w14:paraId="57A2C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9" w:hRule="atLeast"/>
          <w:jc w:val="center"/>
        </w:trPr>
        <w:tc>
          <w:tcPr>
            <w:tcW w:w="1597" w:type="dxa"/>
            <w:gridSpan w:val="2"/>
            <w:noWrap w:val="0"/>
            <w:vAlign w:val="center"/>
          </w:tcPr>
          <w:p w14:paraId="3C99430D">
            <w:pPr>
              <w:pStyle w:val="6"/>
              <w:keepNext w:val="0"/>
              <w:keepLines/>
              <w:pageBreakBefore w:val="0"/>
              <w:widowControl/>
              <w:kinsoku/>
              <w:wordWrap w:val="0"/>
              <w:overflowPunct/>
              <w:topLinePunct/>
              <w:autoSpaceDE/>
              <w:autoSpaceDN/>
              <w:bidi w:val="0"/>
              <w:adjustRightInd w:val="0"/>
              <w:snapToGrid w:val="0"/>
              <w:spacing w:after="0"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项目经理</w:t>
            </w:r>
          </w:p>
          <w:p w14:paraId="08A6B436">
            <w:pPr>
              <w:pStyle w:val="6"/>
              <w:keepNext w:val="0"/>
              <w:keepLines/>
              <w:pageBreakBefore w:val="0"/>
              <w:widowControl/>
              <w:kinsoku/>
              <w:wordWrap w:val="0"/>
              <w:overflowPunct/>
              <w:topLinePunct/>
              <w:autoSpaceDE/>
              <w:autoSpaceDN/>
              <w:bidi w:val="0"/>
              <w:adjustRightInd w:val="0"/>
              <w:snapToGrid w:val="0"/>
              <w:spacing w:after="0"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综合素质</w:t>
            </w:r>
          </w:p>
          <w:p w14:paraId="20F94230">
            <w:pPr>
              <w:pStyle w:val="6"/>
              <w:keepNext w:val="0"/>
              <w:keepLines/>
              <w:pageBreakBefore w:val="0"/>
              <w:widowControl/>
              <w:kinsoku/>
              <w:wordWrap w:val="0"/>
              <w:overflowPunct/>
              <w:topLinePunct/>
              <w:autoSpaceDE/>
              <w:autoSpaceDN/>
              <w:bidi w:val="0"/>
              <w:adjustRightInd w:val="0"/>
              <w:snapToGrid w:val="0"/>
              <w:spacing w:after="0" w:line="40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（10分）</w:t>
            </w:r>
          </w:p>
        </w:tc>
        <w:tc>
          <w:tcPr>
            <w:tcW w:w="3857" w:type="dxa"/>
            <w:noWrap w:val="0"/>
            <w:vAlign w:val="center"/>
          </w:tcPr>
          <w:p w14:paraId="57A3E41C">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项目经理工程类技术职称情况：</w:t>
            </w:r>
          </w:p>
          <w:p w14:paraId="44A6DB5D">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1.</w:t>
            </w:r>
            <w:r>
              <w:rPr>
                <w:rFonts w:hint="eastAsia" w:ascii="宋体" w:hAnsi="宋体" w:eastAsia="宋体" w:cs="宋体"/>
                <w:snapToGrid w:val="0"/>
                <w:color w:val="auto"/>
                <w:kern w:val="0"/>
                <w:sz w:val="24"/>
                <w:szCs w:val="24"/>
                <w:highlight w:val="none"/>
              </w:rPr>
              <w:t>具备高级工程师职称的，得</w:t>
            </w:r>
            <w:r>
              <w:rPr>
                <w:rFonts w:hint="eastAsia" w:ascii="宋体" w:hAnsi="宋体" w:eastAsia="宋体" w:cs="宋体"/>
                <w:snapToGrid w:val="0"/>
                <w:color w:val="auto"/>
                <w:kern w:val="0"/>
                <w:sz w:val="24"/>
                <w:szCs w:val="24"/>
                <w:highlight w:val="none"/>
                <w:u w:val="single"/>
              </w:rPr>
              <w:t>10</w:t>
            </w:r>
            <w:r>
              <w:rPr>
                <w:rFonts w:hint="eastAsia" w:ascii="宋体" w:hAnsi="宋体" w:eastAsia="宋体" w:cs="宋体"/>
                <w:snapToGrid w:val="0"/>
                <w:color w:val="auto"/>
                <w:kern w:val="0"/>
                <w:sz w:val="24"/>
                <w:szCs w:val="24"/>
                <w:highlight w:val="none"/>
              </w:rPr>
              <w:t>分</w:t>
            </w:r>
            <w:r>
              <w:rPr>
                <w:rFonts w:hint="eastAsia" w:ascii="宋体" w:hAnsi="宋体" w:eastAsia="宋体" w:cs="宋体"/>
                <w:snapToGrid w:val="0"/>
                <w:color w:val="auto"/>
                <w:kern w:val="0"/>
                <w:sz w:val="24"/>
                <w:szCs w:val="24"/>
                <w:highlight w:val="none"/>
                <w:lang w:eastAsia="zh-CN"/>
              </w:rPr>
              <w:t>；</w:t>
            </w:r>
          </w:p>
          <w:p w14:paraId="7A83CBF2">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2.</w:t>
            </w:r>
            <w:r>
              <w:rPr>
                <w:rFonts w:hint="eastAsia" w:ascii="宋体" w:hAnsi="宋体" w:eastAsia="宋体" w:cs="宋体"/>
                <w:snapToGrid w:val="0"/>
                <w:color w:val="auto"/>
                <w:kern w:val="0"/>
                <w:sz w:val="24"/>
                <w:szCs w:val="24"/>
                <w:highlight w:val="none"/>
              </w:rPr>
              <w:t>具备工程师职称的，得</w:t>
            </w:r>
            <w:r>
              <w:rPr>
                <w:rFonts w:hint="eastAsia" w:ascii="宋体" w:hAnsi="宋体" w:eastAsia="宋体" w:cs="宋体"/>
                <w:snapToGrid w:val="0"/>
                <w:color w:val="auto"/>
                <w:kern w:val="0"/>
                <w:sz w:val="24"/>
                <w:szCs w:val="24"/>
                <w:highlight w:val="none"/>
                <w:u w:val="single"/>
              </w:rPr>
              <w:t xml:space="preserve"> 8 </w:t>
            </w:r>
            <w:r>
              <w:rPr>
                <w:rFonts w:hint="eastAsia" w:ascii="宋体" w:hAnsi="宋体" w:eastAsia="宋体" w:cs="宋体"/>
                <w:snapToGrid w:val="0"/>
                <w:color w:val="auto"/>
                <w:kern w:val="0"/>
                <w:sz w:val="24"/>
                <w:szCs w:val="24"/>
                <w:highlight w:val="none"/>
              </w:rPr>
              <w:t>分</w:t>
            </w:r>
            <w:r>
              <w:rPr>
                <w:rFonts w:hint="eastAsia" w:ascii="宋体" w:hAnsi="宋体" w:eastAsia="宋体" w:cs="宋体"/>
                <w:snapToGrid w:val="0"/>
                <w:color w:val="auto"/>
                <w:kern w:val="0"/>
                <w:sz w:val="24"/>
                <w:szCs w:val="24"/>
                <w:highlight w:val="none"/>
                <w:lang w:eastAsia="zh-CN"/>
              </w:rPr>
              <w:t>；</w:t>
            </w:r>
          </w:p>
          <w:p w14:paraId="0385F13F">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3.</w:t>
            </w:r>
            <w:r>
              <w:rPr>
                <w:rFonts w:hint="eastAsia" w:ascii="宋体" w:hAnsi="宋体" w:eastAsia="宋体" w:cs="宋体"/>
                <w:snapToGrid w:val="0"/>
                <w:color w:val="auto"/>
                <w:kern w:val="0"/>
                <w:sz w:val="24"/>
                <w:szCs w:val="24"/>
                <w:highlight w:val="none"/>
              </w:rPr>
              <w:t>具备助理工程师职称的，得</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分</w:t>
            </w:r>
            <w:r>
              <w:rPr>
                <w:rFonts w:hint="eastAsia" w:ascii="宋体" w:hAnsi="宋体" w:eastAsia="宋体" w:cs="宋体"/>
                <w:snapToGrid w:val="0"/>
                <w:color w:val="auto"/>
                <w:kern w:val="0"/>
                <w:sz w:val="24"/>
                <w:szCs w:val="24"/>
                <w:highlight w:val="none"/>
                <w:lang w:eastAsia="zh-CN"/>
              </w:rPr>
              <w:t>；</w:t>
            </w:r>
          </w:p>
          <w:p w14:paraId="50153296">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4.</w:t>
            </w:r>
            <w:r>
              <w:rPr>
                <w:rFonts w:hint="eastAsia" w:ascii="宋体" w:hAnsi="宋体" w:eastAsia="宋体" w:cs="宋体"/>
                <w:snapToGrid w:val="0"/>
                <w:color w:val="auto"/>
                <w:kern w:val="0"/>
                <w:sz w:val="24"/>
                <w:szCs w:val="24"/>
                <w:highlight w:val="none"/>
              </w:rPr>
              <w:t>不具备以上职称的，不予计分。</w:t>
            </w:r>
          </w:p>
          <w:p w14:paraId="0D4F0D5B">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eastAsia="zh-CN"/>
              </w:rPr>
              <w:t>本项最高得</w:t>
            </w:r>
            <w:r>
              <w:rPr>
                <w:rFonts w:hint="eastAsia" w:asciiTheme="minorEastAsia" w:hAnsiTheme="minorEastAsia" w:eastAsiaTheme="minorEastAsia" w:cstheme="minorEastAsia"/>
                <w:snapToGrid w:val="0"/>
                <w:color w:val="auto"/>
                <w:kern w:val="0"/>
                <w:sz w:val="24"/>
                <w:szCs w:val="24"/>
                <w:highlight w:val="none"/>
                <w:lang w:val="en-US" w:eastAsia="zh-CN"/>
              </w:rPr>
              <w:t>10</w:t>
            </w:r>
            <w:r>
              <w:rPr>
                <w:rFonts w:hint="eastAsia" w:asciiTheme="minorEastAsia" w:hAnsiTheme="minorEastAsia" w:eastAsiaTheme="minorEastAsia" w:cstheme="minorEastAsia"/>
                <w:snapToGrid w:val="0"/>
                <w:color w:val="auto"/>
                <w:kern w:val="0"/>
                <w:sz w:val="24"/>
                <w:szCs w:val="24"/>
                <w:highlight w:val="none"/>
                <w:lang w:eastAsia="zh-CN"/>
              </w:rPr>
              <w:t>分。</w:t>
            </w:r>
          </w:p>
        </w:tc>
        <w:tc>
          <w:tcPr>
            <w:tcW w:w="4731" w:type="dxa"/>
            <w:noWrap w:val="0"/>
            <w:vAlign w:val="center"/>
          </w:tcPr>
          <w:p w14:paraId="0EB53306">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需附职称证彩色扫描件</w:t>
            </w:r>
            <w:r>
              <w:rPr>
                <w:rFonts w:hint="eastAsia" w:ascii="宋体" w:hAnsi="宋体" w:eastAsia="宋体" w:cs="宋体"/>
                <w:snapToGrid w:val="0"/>
                <w:color w:val="auto"/>
                <w:kern w:val="0"/>
                <w:sz w:val="24"/>
                <w:szCs w:val="24"/>
                <w:highlight w:val="none"/>
                <w:lang w:eastAsia="zh-CN"/>
              </w:rPr>
              <w:t>或打印件，否则不予计分。</w:t>
            </w:r>
          </w:p>
          <w:p w14:paraId="67D13C6D">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color w:val="auto"/>
                <w:sz w:val="24"/>
                <w:szCs w:val="24"/>
                <w:highlight w:val="none"/>
              </w:rPr>
            </w:pPr>
          </w:p>
        </w:tc>
      </w:tr>
      <w:tr w14:paraId="17C6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20C16A8F">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企业业绩</w:t>
            </w:r>
          </w:p>
          <w:p w14:paraId="712D9EEB">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（15分）</w:t>
            </w:r>
          </w:p>
        </w:tc>
        <w:tc>
          <w:tcPr>
            <w:tcW w:w="3857" w:type="dxa"/>
            <w:noWrap w:val="0"/>
            <w:vAlign w:val="center"/>
          </w:tcPr>
          <w:p w14:paraId="7FB465AB">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企业近</w:t>
            </w:r>
            <w:r>
              <w:rPr>
                <w:rFonts w:hint="eastAsia" w:ascii="宋体" w:hAnsi="宋体" w:eastAsia="宋体" w:cs="宋体"/>
                <w:snapToGrid w:val="0"/>
                <w:color w:val="auto"/>
                <w:kern w:val="0"/>
                <w:sz w:val="24"/>
                <w:szCs w:val="24"/>
                <w:highlight w:val="none"/>
                <w:u w:val="single"/>
                <w:lang w:val="en-US" w:eastAsia="zh-CN"/>
              </w:rPr>
              <w:t xml:space="preserve"> 5 </w:t>
            </w:r>
            <w:r>
              <w:rPr>
                <w:rFonts w:hint="eastAsia" w:ascii="宋体" w:hAnsi="宋体" w:eastAsia="宋体" w:cs="宋体"/>
                <w:snapToGrid w:val="0"/>
                <w:color w:val="auto"/>
                <w:kern w:val="0"/>
                <w:sz w:val="24"/>
                <w:szCs w:val="24"/>
                <w:highlight w:val="none"/>
                <w:lang w:val="en-US" w:eastAsia="zh-CN"/>
              </w:rPr>
              <w:t>年来（2021年1月1日至今）业绩情况：</w:t>
            </w:r>
          </w:p>
          <w:p w14:paraId="284E69AC">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1.</w:t>
            </w:r>
            <w:r>
              <w:rPr>
                <w:rFonts w:hint="eastAsia" w:ascii="宋体" w:hAnsi="宋体" w:eastAsia="宋体" w:cs="宋体"/>
                <w:snapToGrid w:val="0"/>
                <w:color w:val="auto"/>
                <w:kern w:val="0"/>
                <w:sz w:val="24"/>
                <w:szCs w:val="24"/>
                <w:highlight w:val="none"/>
                <w:u w:val="single"/>
              </w:rPr>
              <w:t xml:space="preserve">承接 </w:t>
            </w:r>
            <w:r>
              <w:rPr>
                <w:rFonts w:hint="eastAsia" w:ascii="宋体" w:hAnsi="宋体" w:eastAsia="宋体" w:cs="宋体"/>
                <w:snapToGrid w:val="0"/>
                <w:color w:val="auto"/>
                <w:kern w:val="0"/>
                <w:sz w:val="24"/>
                <w:szCs w:val="24"/>
                <w:highlight w:val="none"/>
              </w:rPr>
              <w:t>过类似工程的，每个得</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分</w:t>
            </w:r>
            <w:r>
              <w:rPr>
                <w:rFonts w:hint="eastAsia" w:ascii="宋体" w:hAnsi="宋体" w:eastAsia="宋体" w:cs="宋体"/>
                <w:snapToGrid w:val="0"/>
                <w:color w:val="auto"/>
                <w:kern w:val="0"/>
                <w:sz w:val="24"/>
                <w:szCs w:val="24"/>
                <w:highlight w:val="none"/>
                <w:lang w:eastAsia="zh-CN"/>
              </w:rPr>
              <w:t>；</w:t>
            </w:r>
          </w:p>
          <w:p w14:paraId="5190231B">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2.</w:t>
            </w:r>
            <w:r>
              <w:rPr>
                <w:rFonts w:hint="eastAsia" w:ascii="宋体" w:hAnsi="宋体" w:eastAsia="宋体" w:cs="宋体"/>
                <w:snapToGrid w:val="0"/>
                <w:color w:val="auto"/>
                <w:kern w:val="0"/>
                <w:sz w:val="24"/>
                <w:szCs w:val="24"/>
                <w:highlight w:val="none"/>
              </w:rPr>
              <w:t>未</w:t>
            </w:r>
            <w:r>
              <w:rPr>
                <w:rFonts w:hint="eastAsia" w:ascii="宋体" w:hAnsi="宋体" w:eastAsia="宋体" w:cs="宋体"/>
                <w:snapToGrid w:val="0"/>
                <w:color w:val="auto"/>
                <w:kern w:val="0"/>
                <w:sz w:val="24"/>
                <w:szCs w:val="24"/>
                <w:highlight w:val="none"/>
                <w:u w:val="single"/>
              </w:rPr>
              <w:t xml:space="preserve"> 承接 </w:t>
            </w:r>
            <w:r>
              <w:rPr>
                <w:rFonts w:hint="eastAsia" w:ascii="宋体" w:hAnsi="宋体" w:eastAsia="宋体" w:cs="宋体"/>
                <w:snapToGrid w:val="0"/>
                <w:color w:val="auto"/>
                <w:kern w:val="0"/>
                <w:sz w:val="24"/>
                <w:szCs w:val="24"/>
                <w:highlight w:val="none"/>
              </w:rPr>
              <w:t>过类似工程的，不予计分。</w:t>
            </w:r>
          </w:p>
          <w:p w14:paraId="5FF44B3D">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本项最高得1</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分。</w:t>
            </w:r>
          </w:p>
        </w:tc>
        <w:tc>
          <w:tcPr>
            <w:tcW w:w="4731" w:type="dxa"/>
            <w:noWrap w:val="0"/>
            <w:vAlign w:val="center"/>
          </w:tcPr>
          <w:p w14:paraId="76C91A84">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u w:val="none"/>
                <w:lang w:val="en-US" w:eastAsia="zh-CN"/>
              </w:rPr>
            </w:pPr>
            <w:r>
              <w:rPr>
                <w:rFonts w:hint="eastAsia" w:ascii="宋体" w:hAnsi="宋体" w:eastAsia="宋体" w:cs="宋体"/>
                <w:snapToGrid w:val="0"/>
                <w:color w:val="auto"/>
                <w:kern w:val="0"/>
                <w:sz w:val="24"/>
                <w:szCs w:val="24"/>
                <w:highlight w:val="none"/>
                <w:lang w:val="en-US" w:eastAsia="zh-CN"/>
              </w:rPr>
              <w:t>1.类似工程指：装机容量≥3.5MW的光伏类工程</w:t>
            </w:r>
            <w:r>
              <w:rPr>
                <w:rFonts w:hint="eastAsia" w:ascii="宋体" w:hAnsi="宋体" w:eastAsia="宋体" w:cs="宋体"/>
                <w:snapToGrid w:val="0"/>
                <w:color w:val="auto"/>
                <w:kern w:val="0"/>
                <w:sz w:val="24"/>
                <w:szCs w:val="24"/>
                <w:highlight w:val="none"/>
                <w:u w:val="none"/>
                <w:lang w:val="en-US" w:eastAsia="zh-CN"/>
              </w:rPr>
              <w:t>。</w:t>
            </w:r>
          </w:p>
          <w:p w14:paraId="4BA6A64F">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i/>
                <w:iCs/>
                <w:snapToGrid w:val="0"/>
                <w:color w:val="auto"/>
                <w:kern w:val="0"/>
                <w:sz w:val="24"/>
                <w:szCs w:val="24"/>
                <w:highlight w:val="none"/>
              </w:rPr>
            </w:pPr>
            <w:r>
              <w:rPr>
                <w:rFonts w:hint="eastAsia" w:ascii="宋体" w:hAnsi="宋体" w:eastAsia="宋体" w:cs="宋体"/>
                <w:i/>
                <w:iCs/>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需附有关业绩合同协议书、竣工验收证明彩色扫描件。</w:t>
            </w:r>
          </w:p>
          <w:p w14:paraId="18EA0FBB">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3.</w:t>
            </w:r>
            <w:r>
              <w:rPr>
                <w:rFonts w:hint="eastAsia" w:ascii="宋体" w:hAnsi="宋体" w:eastAsia="宋体" w:cs="宋体"/>
                <w:snapToGrid w:val="0"/>
                <w:color w:val="auto"/>
                <w:kern w:val="0"/>
                <w:sz w:val="24"/>
                <w:szCs w:val="24"/>
                <w:highlight w:val="none"/>
              </w:rPr>
              <w:t>业绩时间以合同协议书日期为准。</w:t>
            </w:r>
          </w:p>
          <w:p w14:paraId="7B14AC6C">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4.任一业绩有以下情形之一的，该业绩视为无效，不予计分：</w:t>
            </w:r>
          </w:p>
          <w:p w14:paraId="4EB23C92">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①业绩不属于类似工程的；</w:t>
            </w:r>
          </w:p>
          <w:p w14:paraId="5D6CB42F">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②不是以指定身份参建的；</w:t>
            </w:r>
          </w:p>
          <w:p w14:paraId="2960E9FF">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③业绩时间不符合要求的。</w:t>
            </w:r>
          </w:p>
        </w:tc>
      </w:tr>
      <w:tr w14:paraId="4C313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28C0B020">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企业银行</w:t>
            </w:r>
          </w:p>
          <w:p w14:paraId="172B8F24">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资信评级</w:t>
            </w:r>
          </w:p>
          <w:p w14:paraId="593FDDE3">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（10分）</w:t>
            </w:r>
          </w:p>
        </w:tc>
        <w:tc>
          <w:tcPr>
            <w:tcW w:w="3857" w:type="dxa"/>
            <w:noWrap w:val="0"/>
            <w:vAlign w:val="center"/>
          </w:tcPr>
          <w:p w14:paraId="00271B03">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1.银行资信评级AAA的，得</w:t>
            </w:r>
            <w:r>
              <w:rPr>
                <w:rFonts w:hint="eastAsia" w:ascii="宋体" w:hAnsi="宋体" w:eastAsia="宋体" w:cs="宋体"/>
                <w:snapToGrid w:val="0"/>
                <w:color w:val="auto"/>
                <w:kern w:val="0"/>
                <w:sz w:val="24"/>
                <w:szCs w:val="24"/>
                <w:highlight w:val="none"/>
                <w:u w:val="single"/>
                <w:lang w:val="en-US" w:eastAsia="zh-CN"/>
              </w:rPr>
              <w:t xml:space="preserve"> 10 </w:t>
            </w:r>
            <w:r>
              <w:rPr>
                <w:rFonts w:hint="eastAsia" w:ascii="宋体" w:hAnsi="宋体" w:eastAsia="宋体" w:cs="宋体"/>
                <w:snapToGrid w:val="0"/>
                <w:color w:val="auto"/>
                <w:kern w:val="0"/>
                <w:sz w:val="24"/>
                <w:szCs w:val="24"/>
                <w:highlight w:val="none"/>
                <w:lang w:val="en-US" w:eastAsia="zh-CN"/>
              </w:rPr>
              <w:t>分；</w:t>
            </w:r>
          </w:p>
          <w:p w14:paraId="6E4A9E43">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2.银行资信评级AA（含AA＋、AA－）的，得</w:t>
            </w:r>
            <w:r>
              <w:rPr>
                <w:rFonts w:hint="eastAsia" w:ascii="宋体" w:hAnsi="宋体" w:eastAsia="宋体" w:cs="宋体"/>
                <w:snapToGrid w:val="0"/>
                <w:color w:val="auto"/>
                <w:kern w:val="0"/>
                <w:sz w:val="24"/>
                <w:szCs w:val="24"/>
                <w:highlight w:val="none"/>
                <w:u w:val="single"/>
                <w:lang w:val="en-US" w:eastAsia="zh-CN"/>
              </w:rPr>
              <w:t xml:space="preserve"> 5 </w:t>
            </w:r>
            <w:r>
              <w:rPr>
                <w:rFonts w:hint="eastAsia" w:ascii="宋体" w:hAnsi="宋体" w:eastAsia="宋体" w:cs="宋体"/>
                <w:snapToGrid w:val="0"/>
                <w:color w:val="auto"/>
                <w:kern w:val="0"/>
                <w:sz w:val="24"/>
                <w:szCs w:val="24"/>
                <w:highlight w:val="none"/>
                <w:lang w:val="en-US" w:eastAsia="zh-CN"/>
              </w:rPr>
              <w:t>分；</w:t>
            </w:r>
          </w:p>
          <w:p w14:paraId="329955EF">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3.银行资信评级A（含A＋、A－）的，得</w:t>
            </w:r>
            <w:r>
              <w:rPr>
                <w:rFonts w:hint="eastAsia" w:ascii="宋体" w:hAnsi="宋体" w:eastAsia="宋体" w:cs="宋体"/>
                <w:snapToGrid w:val="0"/>
                <w:color w:val="auto"/>
                <w:kern w:val="0"/>
                <w:sz w:val="24"/>
                <w:szCs w:val="24"/>
                <w:highlight w:val="none"/>
                <w:u w:val="single"/>
                <w:lang w:val="en-US" w:eastAsia="zh-CN"/>
              </w:rPr>
              <w:t xml:space="preserve"> 1 </w:t>
            </w:r>
            <w:r>
              <w:rPr>
                <w:rFonts w:hint="eastAsia" w:ascii="宋体" w:hAnsi="宋体" w:eastAsia="宋体" w:cs="宋体"/>
                <w:snapToGrid w:val="0"/>
                <w:color w:val="auto"/>
                <w:kern w:val="0"/>
                <w:sz w:val="24"/>
                <w:szCs w:val="24"/>
                <w:highlight w:val="none"/>
                <w:lang w:val="en-US" w:eastAsia="zh-CN"/>
              </w:rPr>
              <w:t>分；</w:t>
            </w:r>
          </w:p>
          <w:p w14:paraId="00017960">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4.未获得过以上评级的，或评级证书无效的，不予计分。</w:t>
            </w:r>
          </w:p>
          <w:p w14:paraId="3AD52A25">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eastAsia="zh-CN"/>
              </w:rPr>
              <w:t>本项最高得</w:t>
            </w:r>
            <w:r>
              <w:rPr>
                <w:rFonts w:hint="eastAsia" w:asciiTheme="minorEastAsia" w:hAnsiTheme="minorEastAsia" w:eastAsiaTheme="minorEastAsia" w:cstheme="minorEastAsia"/>
                <w:snapToGrid w:val="0"/>
                <w:color w:val="auto"/>
                <w:kern w:val="0"/>
                <w:sz w:val="24"/>
                <w:szCs w:val="24"/>
                <w:highlight w:val="none"/>
                <w:lang w:val="en-US" w:eastAsia="zh-CN"/>
              </w:rPr>
              <w:t>10</w:t>
            </w:r>
            <w:r>
              <w:rPr>
                <w:rFonts w:hint="eastAsia" w:asciiTheme="minorEastAsia" w:hAnsiTheme="minorEastAsia" w:eastAsiaTheme="minorEastAsia" w:cstheme="minorEastAsia"/>
                <w:snapToGrid w:val="0"/>
                <w:color w:val="auto"/>
                <w:kern w:val="0"/>
                <w:sz w:val="24"/>
                <w:szCs w:val="24"/>
                <w:highlight w:val="none"/>
                <w:lang w:eastAsia="zh-CN"/>
              </w:rPr>
              <w:t>分。</w:t>
            </w:r>
          </w:p>
        </w:tc>
        <w:tc>
          <w:tcPr>
            <w:tcW w:w="4731" w:type="dxa"/>
            <w:noWrap w:val="0"/>
            <w:vAlign w:val="center"/>
          </w:tcPr>
          <w:p w14:paraId="627D2F65">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1.</w:t>
            </w:r>
            <w:r>
              <w:rPr>
                <w:rFonts w:hint="eastAsia" w:ascii="宋体" w:hAnsi="宋体" w:eastAsia="宋体" w:cs="宋体"/>
                <w:snapToGrid w:val="0"/>
                <w:color w:val="auto"/>
                <w:kern w:val="0"/>
                <w:sz w:val="24"/>
                <w:szCs w:val="24"/>
                <w:highlight w:val="none"/>
              </w:rPr>
              <w:t>需附在有效期内的资信评（等）级证书（证明）</w:t>
            </w:r>
            <w:r>
              <w:rPr>
                <w:rFonts w:hint="eastAsia" w:ascii="宋体" w:hAnsi="宋体" w:eastAsia="宋体" w:cs="宋体"/>
                <w:snapToGrid w:val="0"/>
                <w:color w:val="auto"/>
                <w:kern w:val="0"/>
                <w:sz w:val="24"/>
                <w:szCs w:val="24"/>
                <w:highlight w:val="none"/>
                <w:lang w:eastAsia="zh-CN"/>
              </w:rPr>
              <w:t>彩色</w:t>
            </w:r>
            <w:r>
              <w:rPr>
                <w:rFonts w:hint="eastAsia" w:ascii="宋体" w:hAnsi="宋体" w:eastAsia="宋体" w:cs="宋体"/>
                <w:snapToGrid w:val="0"/>
                <w:color w:val="auto"/>
                <w:kern w:val="0"/>
                <w:sz w:val="24"/>
                <w:szCs w:val="24"/>
                <w:highlight w:val="none"/>
              </w:rPr>
              <w:t>扫描件。</w:t>
            </w:r>
          </w:p>
          <w:p w14:paraId="41DDE138">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2.</w:t>
            </w:r>
            <w:r>
              <w:rPr>
                <w:rFonts w:hint="eastAsia" w:ascii="宋体" w:hAnsi="宋体" w:eastAsia="宋体" w:cs="宋体"/>
                <w:snapToGrid w:val="0"/>
                <w:color w:val="auto"/>
                <w:kern w:val="0"/>
                <w:sz w:val="24"/>
                <w:szCs w:val="24"/>
                <w:highlight w:val="none"/>
              </w:rPr>
              <w:t>评（等）级证书（证明）须由</w:t>
            </w:r>
            <w:r>
              <w:rPr>
                <w:rFonts w:hint="eastAsia" w:ascii="宋体" w:hAnsi="宋体" w:eastAsia="宋体" w:cs="宋体"/>
                <w:snapToGrid w:val="0"/>
                <w:color w:val="auto"/>
                <w:kern w:val="0"/>
                <w:sz w:val="24"/>
                <w:szCs w:val="24"/>
                <w:highlight w:val="none"/>
                <w:u w:val="single"/>
              </w:rPr>
              <w:t xml:space="preserve"> 企业基本账户开户银行/市级或以上金融机构 </w:t>
            </w:r>
            <w:r>
              <w:rPr>
                <w:rFonts w:hint="eastAsia" w:ascii="宋体" w:hAnsi="宋体" w:eastAsia="宋体" w:cs="宋体"/>
                <w:snapToGrid w:val="0"/>
                <w:color w:val="auto"/>
                <w:kern w:val="0"/>
                <w:sz w:val="24"/>
                <w:szCs w:val="24"/>
                <w:highlight w:val="none"/>
              </w:rPr>
              <w:t>出</w:t>
            </w:r>
            <w:r>
              <w:rPr>
                <w:rFonts w:hint="eastAsia" w:ascii="宋体" w:hAnsi="宋体" w:eastAsia="宋体" w:cs="宋体"/>
                <w:snapToGrid w:val="0"/>
                <w:color w:val="auto"/>
                <w:kern w:val="0"/>
                <w:sz w:val="24"/>
                <w:szCs w:val="24"/>
                <w:highlight w:val="none"/>
                <w:lang w:eastAsia="zh-CN"/>
              </w:rPr>
              <w:t>具</w:t>
            </w:r>
            <w:r>
              <w:rPr>
                <w:rFonts w:hint="eastAsia" w:ascii="宋体" w:hAnsi="宋体" w:eastAsia="宋体" w:cs="宋体"/>
                <w:snapToGrid w:val="0"/>
                <w:color w:val="auto"/>
                <w:kern w:val="0"/>
                <w:sz w:val="24"/>
                <w:szCs w:val="24"/>
                <w:highlight w:val="none"/>
              </w:rPr>
              <w:t>。</w:t>
            </w:r>
          </w:p>
          <w:p w14:paraId="54F5D6BA">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3.</w:t>
            </w:r>
            <w:r>
              <w:rPr>
                <w:rFonts w:hint="eastAsia" w:ascii="宋体" w:hAnsi="宋体" w:eastAsia="宋体" w:cs="宋体"/>
                <w:snapToGrid w:val="0"/>
                <w:color w:val="auto"/>
                <w:kern w:val="0"/>
                <w:sz w:val="24"/>
                <w:szCs w:val="24"/>
                <w:highlight w:val="none"/>
              </w:rPr>
              <w:t>评（等）级证书（证明）有以下情形之一的，视为无效：</w:t>
            </w:r>
          </w:p>
          <w:p w14:paraId="4A2C2EEC">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①评（等）级证书（证明）不在有效期内的；</w:t>
            </w:r>
          </w:p>
          <w:p w14:paraId="7D920CAB">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②出具机构不符合要求的。</w:t>
            </w:r>
          </w:p>
        </w:tc>
      </w:tr>
      <w:tr w14:paraId="569C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65EAE2A4">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企业管理</w:t>
            </w:r>
          </w:p>
          <w:p w14:paraId="096BAD94">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体系认证</w:t>
            </w:r>
          </w:p>
          <w:p w14:paraId="0087E7F6">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bidi="ar"/>
              </w:rPr>
              <w:t>（6分）</w:t>
            </w:r>
          </w:p>
        </w:tc>
        <w:tc>
          <w:tcPr>
            <w:tcW w:w="3857" w:type="dxa"/>
            <w:noWrap w:val="0"/>
            <w:vAlign w:val="center"/>
          </w:tcPr>
          <w:p w14:paraId="0FBD72A4">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质量管理体系认证证书、职业健康安全管理体系认证证书、环境管理体系认证证书：</w:t>
            </w:r>
          </w:p>
          <w:p w14:paraId="4EFE5C0C">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1.企业获得3项证书的得6分；</w:t>
            </w:r>
          </w:p>
          <w:p w14:paraId="2FDFA3F9">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2.企业获得其中2项证书的得3分；</w:t>
            </w:r>
          </w:p>
          <w:p w14:paraId="0155E913">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3.企业获得其中1项证书的得1分；</w:t>
            </w:r>
          </w:p>
          <w:p w14:paraId="62CAECE9">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4.以上认证证书均未获得的，不予计分。</w:t>
            </w:r>
          </w:p>
          <w:p w14:paraId="35FB41E3">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eastAsia="zh-CN"/>
              </w:rPr>
              <w:t>本项最高得</w:t>
            </w:r>
            <w:r>
              <w:rPr>
                <w:rFonts w:hint="eastAsia" w:asciiTheme="minorEastAsia" w:hAnsiTheme="minorEastAsia" w:eastAsiaTheme="minorEastAsia" w:cstheme="minorEastAsia"/>
                <w:snapToGrid w:val="0"/>
                <w:color w:val="auto"/>
                <w:kern w:val="0"/>
                <w:sz w:val="24"/>
                <w:szCs w:val="24"/>
                <w:highlight w:val="none"/>
                <w:lang w:val="en-US" w:eastAsia="zh-CN"/>
              </w:rPr>
              <w:t>6</w:t>
            </w:r>
            <w:r>
              <w:rPr>
                <w:rFonts w:hint="eastAsia" w:asciiTheme="minorEastAsia" w:hAnsiTheme="minorEastAsia" w:eastAsiaTheme="minorEastAsia" w:cstheme="minorEastAsia"/>
                <w:snapToGrid w:val="0"/>
                <w:color w:val="auto"/>
                <w:kern w:val="0"/>
                <w:sz w:val="24"/>
                <w:szCs w:val="24"/>
                <w:highlight w:val="none"/>
                <w:lang w:eastAsia="zh-CN"/>
              </w:rPr>
              <w:t>分。</w:t>
            </w:r>
          </w:p>
        </w:tc>
        <w:tc>
          <w:tcPr>
            <w:tcW w:w="4731" w:type="dxa"/>
            <w:noWrap w:val="0"/>
            <w:vAlign w:val="center"/>
          </w:tcPr>
          <w:p w14:paraId="24C56A8B">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1.需附在有效期内的认证证书彩色扫描件。</w:t>
            </w:r>
          </w:p>
          <w:p w14:paraId="1C18C100">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2.认证证书不在有效期内的视为无效，不予计分。</w:t>
            </w:r>
          </w:p>
        </w:tc>
      </w:tr>
      <w:tr w14:paraId="486F8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499DBC30">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企业</w:t>
            </w:r>
          </w:p>
          <w:p w14:paraId="4922FC99">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trike/>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bidi="ar"/>
              </w:rPr>
              <w:t>财务状况</w:t>
            </w:r>
          </w:p>
          <w:p w14:paraId="712DFFA8">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（9分）</w:t>
            </w:r>
          </w:p>
        </w:tc>
        <w:tc>
          <w:tcPr>
            <w:tcW w:w="3857" w:type="dxa"/>
            <w:noWrap w:val="0"/>
            <w:vAlign w:val="center"/>
          </w:tcPr>
          <w:p w14:paraId="404ACBF7">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提供不少于</w:t>
            </w:r>
            <w:r>
              <w:rPr>
                <w:rFonts w:hint="eastAsia" w:ascii="宋体" w:hAnsi="宋体" w:eastAsia="宋体" w:cs="宋体"/>
                <w:snapToGrid w:val="0"/>
                <w:color w:val="auto"/>
                <w:kern w:val="0"/>
                <w:sz w:val="24"/>
                <w:szCs w:val="24"/>
                <w:highlight w:val="none"/>
                <w:u w:val="single"/>
                <w:lang w:val="en-US" w:eastAsia="zh-CN"/>
              </w:rPr>
              <w:t xml:space="preserve"> 100</w:t>
            </w:r>
            <w:r>
              <w:rPr>
                <w:rFonts w:hint="eastAsia" w:ascii="宋体" w:hAnsi="宋体" w:eastAsia="宋体" w:cs="宋体"/>
                <w:snapToGrid w:val="0"/>
                <w:color w:val="auto"/>
                <w:kern w:val="0"/>
                <w:sz w:val="24"/>
                <w:szCs w:val="24"/>
                <w:highlight w:val="none"/>
              </w:rPr>
              <w:t>万元银行授信</w:t>
            </w:r>
            <w:r>
              <w:rPr>
                <w:rFonts w:hint="eastAsia" w:ascii="宋体" w:hAnsi="宋体" w:eastAsia="宋体" w:cs="宋体"/>
                <w:snapToGrid w:val="0"/>
                <w:color w:val="auto"/>
                <w:kern w:val="0"/>
                <w:sz w:val="24"/>
                <w:szCs w:val="24"/>
                <w:highlight w:val="none"/>
                <w:lang w:val="en-US" w:eastAsia="zh-CN"/>
              </w:rPr>
              <w:t>证明</w:t>
            </w:r>
            <w:r>
              <w:rPr>
                <w:rFonts w:hint="eastAsia" w:ascii="宋体" w:hAnsi="宋体" w:eastAsia="宋体" w:cs="宋体"/>
                <w:snapToGrid w:val="0"/>
                <w:color w:val="auto"/>
                <w:kern w:val="0"/>
                <w:sz w:val="24"/>
                <w:szCs w:val="24"/>
                <w:highlight w:val="none"/>
              </w:rPr>
              <w:t>的，得4分</w:t>
            </w:r>
            <w:r>
              <w:rPr>
                <w:rFonts w:hint="eastAsia" w:ascii="宋体" w:hAnsi="宋体" w:eastAsia="宋体" w:cs="宋体"/>
                <w:snapToGrid w:val="0"/>
                <w:color w:val="auto"/>
                <w:kern w:val="0"/>
                <w:sz w:val="24"/>
                <w:szCs w:val="24"/>
                <w:highlight w:val="none"/>
                <w:lang w:eastAsia="zh-CN"/>
              </w:rPr>
              <w:t>；</w:t>
            </w:r>
          </w:p>
          <w:p w14:paraId="6A18A7C9">
            <w:pPr>
              <w:pStyle w:val="38"/>
              <w:keepNext w:val="0"/>
              <w:keepLines/>
              <w:pageBreakBefore w:val="0"/>
              <w:widowControl/>
              <w:numPr>
                <w:ilvl w:val="0"/>
                <w:numId w:val="0"/>
              </w:numPr>
              <w:kinsoku/>
              <w:wordWrap w:val="0"/>
              <w:overflowPunct/>
              <w:topLinePunct/>
              <w:autoSpaceDE/>
              <w:autoSpaceDN/>
              <w:bidi w:val="0"/>
              <w:adjustRightInd w:val="0"/>
              <w:snapToGrid w:val="0"/>
              <w:spacing w:before="0" w:beforeLines="0" w:after="0" w:afterLines="0" w:line="400" w:lineRule="exact"/>
              <w:ind w:leftChars="0" w:right="0" w:rightChars="0"/>
              <w:jc w:val="left"/>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提供投标人基本账户在本项目招标公告发布之日起至投标截止时间期间出现过至少连续3日不少于</w:t>
            </w:r>
            <w:r>
              <w:rPr>
                <w:rFonts w:hint="eastAsia" w:ascii="宋体" w:hAnsi="宋体" w:eastAsia="宋体" w:cs="宋体"/>
                <w:snapToGrid w:val="0"/>
                <w:color w:val="auto"/>
                <w:kern w:val="0"/>
                <w:sz w:val="24"/>
                <w:szCs w:val="24"/>
                <w:highlight w:val="none"/>
                <w:u w:val="single"/>
                <w:lang w:val="en-US" w:eastAsia="zh-CN"/>
              </w:rPr>
              <w:t>100</w:t>
            </w:r>
            <w:r>
              <w:rPr>
                <w:rFonts w:hint="eastAsia" w:ascii="宋体" w:hAnsi="宋体" w:eastAsia="宋体" w:cs="宋体"/>
                <w:snapToGrid w:val="0"/>
                <w:color w:val="auto"/>
                <w:kern w:val="0"/>
                <w:sz w:val="24"/>
                <w:szCs w:val="24"/>
                <w:highlight w:val="none"/>
              </w:rPr>
              <w:t>万元存款余额资金流水证明的，得5分。</w:t>
            </w:r>
          </w:p>
          <w:p w14:paraId="7409EBC0">
            <w:pPr>
              <w:pStyle w:val="38"/>
              <w:keepNext w:val="0"/>
              <w:keepLines/>
              <w:pageBreakBefore w:val="0"/>
              <w:widowControl/>
              <w:numPr>
                <w:ilvl w:val="0"/>
                <w:numId w:val="0"/>
              </w:numPr>
              <w:kinsoku/>
              <w:wordWrap w:val="0"/>
              <w:overflowPunct/>
              <w:topLinePunct/>
              <w:autoSpaceDE/>
              <w:autoSpaceDN/>
              <w:bidi w:val="0"/>
              <w:adjustRightInd w:val="0"/>
              <w:snapToGrid w:val="0"/>
              <w:spacing w:before="0" w:beforeLines="0" w:after="0" w:afterLines="0" w:line="400" w:lineRule="exact"/>
              <w:ind w:leftChars="0" w:right="0" w:rightChars="0"/>
              <w:jc w:val="left"/>
              <w:textAlignment w:val="auto"/>
              <w:outlineLvl w:val="9"/>
              <w:rPr>
                <w:rFonts w:hint="eastAsia" w:ascii="宋体" w:hAnsi="宋体" w:eastAsia="宋体" w:cs="宋体"/>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eastAsia="zh-CN"/>
              </w:rPr>
              <w:t>本项最高得</w:t>
            </w:r>
            <w:r>
              <w:rPr>
                <w:rFonts w:hint="eastAsia" w:asciiTheme="minorEastAsia" w:hAnsiTheme="minorEastAsia" w:eastAsiaTheme="minorEastAsia" w:cstheme="minorEastAsia"/>
                <w:snapToGrid w:val="0"/>
                <w:color w:val="auto"/>
                <w:kern w:val="0"/>
                <w:sz w:val="24"/>
                <w:szCs w:val="24"/>
                <w:highlight w:val="none"/>
                <w:lang w:val="en-US" w:eastAsia="zh-CN"/>
              </w:rPr>
              <w:t>9</w:t>
            </w:r>
            <w:r>
              <w:rPr>
                <w:rFonts w:hint="eastAsia" w:asciiTheme="minorEastAsia" w:hAnsiTheme="minorEastAsia" w:eastAsiaTheme="minorEastAsia" w:cstheme="minorEastAsia"/>
                <w:snapToGrid w:val="0"/>
                <w:color w:val="auto"/>
                <w:kern w:val="0"/>
                <w:sz w:val="24"/>
                <w:szCs w:val="24"/>
                <w:highlight w:val="none"/>
                <w:lang w:eastAsia="zh-CN"/>
              </w:rPr>
              <w:t>分。</w:t>
            </w:r>
          </w:p>
        </w:tc>
        <w:tc>
          <w:tcPr>
            <w:tcW w:w="4731" w:type="dxa"/>
            <w:noWrap w:val="0"/>
            <w:vAlign w:val="center"/>
          </w:tcPr>
          <w:p w14:paraId="46D8F7E3">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1.需附在有效期内的有关证明彩色扫描件。</w:t>
            </w:r>
          </w:p>
          <w:p w14:paraId="0BCD8C33">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2.银行授信证明有以下情形之一的，视为无效</w:t>
            </w:r>
            <w:r>
              <w:rPr>
                <w:rFonts w:hint="eastAsia" w:hAnsi="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lang w:val="en-US" w:eastAsia="zh-CN"/>
              </w:rPr>
              <w:t>不予计分：</w:t>
            </w:r>
          </w:p>
          <w:p w14:paraId="27E704F3">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①授信证明不在有效期内的；</w:t>
            </w:r>
          </w:p>
          <w:p w14:paraId="765FC77C">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②授信额度不符合要求的；</w:t>
            </w:r>
          </w:p>
          <w:p w14:paraId="73F8A688">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3.存款余额资金流水证明有以下情形之一的，视为无效，不予计分：</w:t>
            </w:r>
          </w:p>
          <w:p w14:paraId="0A1F0E29">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①存款账户不是基本账户的；</w:t>
            </w:r>
          </w:p>
          <w:p w14:paraId="63CD99AB">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②存款时间不符合要求的；</w:t>
            </w:r>
          </w:p>
          <w:p w14:paraId="532D8C43">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③存款额度不符合要求的。</w:t>
            </w:r>
          </w:p>
        </w:tc>
      </w:tr>
      <w:tr w14:paraId="2A58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4" w:hRule="atLeast"/>
          <w:jc w:val="center"/>
        </w:trPr>
        <w:tc>
          <w:tcPr>
            <w:tcW w:w="1597" w:type="dxa"/>
            <w:gridSpan w:val="2"/>
            <w:vMerge w:val="restart"/>
            <w:noWrap w:val="0"/>
            <w:vAlign w:val="center"/>
          </w:tcPr>
          <w:p w14:paraId="0DEEAD92">
            <w:pPr>
              <w:pStyle w:val="6"/>
              <w:keepNext w:val="0"/>
              <w:keepLines/>
              <w:pageBreakBefore w:val="0"/>
              <w:widowControl/>
              <w:kinsoku/>
              <w:wordWrap w:val="0"/>
              <w:overflowPunct/>
              <w:topLinePunct/>
              <w:autoSpaceDE/>
              <w:autoSpaceDN/>
              <w:bidi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招标人</w:t>
            </w:r>
          </w:p>
          <w:p w14:paraId="2B32E6A0">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自选项</w:t>
            </w:r>
          </w:p>
          <w:p w14:paraId="756DD209">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（20分）</w:t>
            </w:r>
          </w:p>
        </w:tc>
        <w:tc>
          <w:tcPr>
            <w:tcW w:w="3857" w:type="dxa"/>
            <w:noWrap w:val="0"/>
            <w:vAlign w:val="center"/>
          </w:tcPr>
          <w:p w14:paraId="6F9BBFF3">
            <w:pPr>
              <w:pStyle w:val="6"/>
              <w:keepNext w:val="0"/>
              <w:keepLines/>
              <w:pageBreakBefore w:val="0"/>
              <w:widowControl/>
              <w:kinsoku/>
              <w:wordWrap w:val="0"/>
              <w:overflowPunct/>
              <w:topLinePunct/>
              <w:autoSpaceDE/>
              <w:autoSpaceDN/>
              <w:bidi w:val="0"/>
              <w:adjustRightInd w:val="0"/>
              <w:snapToGrid w:val="0"/>
              <w:spacing w:line="276" w:lineRule="auto"/>
              <w:textAlignment w:val="baseline"/>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1.</w:t>
            </w:r>
            <w:r>
              <w:rPr>
                <w:rFonts w:hint="eastAsia" w:asciiTheme="minorEastAsia" w:hAnsiTheme="minorEastAsia" w:eastAsiaTheme="minorEastAsia" w:cstheme="minorEastAsia"/>
                <w:snapToGrid w:val="0"/>
                <w:color w:val="auto"/>
                <w:kern w:val="0"/>
                <w:sz w:val="24"/>
                <w:szCs w:val="24"/>
                <w:highlight w:val="none"/>
              </w:rPr>
              <w:t>企业连续</w:t>
            </w:r>
            <w:r>
              <w:rPr>
                <w:rFonts w:hint="eastAsia" w:asciiTheme="minorEastAsia" w:hAnsiTheme="minorEastAsia" w:eastAsiaTheme="minorEastAsia" w:cstheme="minorEastAsia"/>
                <w:snapToGrid w:val="0"/>
                <w:color w:val="auto"/>
                <w:kern w:val="0"/>
                <w:sz w:val="24"/>
                <w:szCs w:val="24"/>
                <w:highlight w:val="none"/>
                <w:u w:val="single"/>
                <w:lang w:val="en-US" w:eastAsia="zh-CN"/>
              </w:rPr>
              <w:t xml:space="preserve"> 5 </w:t>
            </w:r>
            <w:r>
              <w:rPr>
                <w:rFonts w:hint="eastAsia" w:asciiTheme="minorEastAsia" w:hAnsiTheme="minorEastAsia" w:eastAsiaTheme="minorEastAsia" w:cstheme="minorEastAsia"/>
                <w:snapToGrid w:val="0"/>
                <w:color w:val="auto"/>
                <w:kern w:val="0"/>
                <w:sz w:val="24"/>
                <w:szCs w:val="24"/>
                <w:highlight w:val="none"/>
              </w:rPr>
              <w:t>年或</w:t>
            </w:r>
            <w:r>
              <w:rPr>
                <w:rFonts w:hint="eastAsia" w:asciiTheme="minorEastAsia" w:hAnsiTheme="minorEastAsia" w:eastAsiaTheme="minorEastAsia" w:cstheme="minorEastAsia"/>
                <w:snapToGrid w:val="0"/>
                <w:color w:val="auto"/>
                <w:kern w:val="0"/>
                <w:sz w:val="24"/>
                <w:szCs w:val="24"/>
                <w:highlight w:val="none"/>
                <w:u w:val="single"/>
                <w:lang w:val="en-US" w:eastAsia="zh-CN"/>
              </w:rPr>
              <w:t xml:space="preserve"> 5 </w:t>
            </w:r>
            <w:r>
              <w:rPr>
                <w:rFonts w:hint="eastAsia" w:asciiTheme="minorEastAsia" w:hAnsiTheme="minorEastAsia" w:eastAsiaTheme="minorEastAsia" w:cstheme="minorEastAsia"/>
                <w:snapToGrid w:val="0"/>
                <w:color w:val="auto"/>
                <w:kern w:val="0"/>
                <w:sz w:val="24"/>
                <w:szCs w:val="24"/>
                <w:highlight w:val="none"/>
              </w:rPr>
              <w:t>年以上（含</w:t>
            </w:r>
            <w:r>
              <w:rPr>
                <w:rFonts w:hint="eastAsia" w:asciiTheme="minorEastAsia" w:hAnsiTheme="minorEastAsia" w:eastAsiaTheme="minorEastAsia" w:cstheme="minorEastAsia"/>
                <w:snapToGrid w:val="0"/>
                <w:color w:val="auto"/>
                <w:kern w:val="0"/>
                <w:sz w:val="24"/>
                <w:szCs w:val="24"/>
                <w:highlight w:val="none"/>
                <w:u w:val="single"/>
                <w:lang w:val="en-US" w:eastAsia="zh-CN"/>
              </w:rPr>
              <w:t>5</w:t>
            </w:r>
            <w:r>
              <w:rPr>
                <w:rFonts w:hint="eastAsia" w:asciiTheme="minorEastAsia" w:hAnsiTheme="minorEastAsia" w:eastAsiaTheme="minorEastAsia" w:cstheme="minorEastAsia"/>
                <w:snapToGrid w:val="0"/>
                <w:color w:val="auto"/>
                <w:kern w:val="0"/>
                <w:sz w:val="24"/>
                <w:szCs w:val="24"/>
                <w:highlight w:val="none"/>
              </w:rPr>
              <w:t>年）获得纳税信用A级纳税人的，得</w:t>
            </w:r>
            <w:r>
              <w:rPr>
                <w:rFonts w:hint="eastAsia" w:asciiTheme="minorEastAsia" w:hAnsiTheme="minorEastAsia" w:eastAsiaTheme="minorEastAsia" w:cstheme="minorEastAsia"/>
                <w:snapToGrid w:val="0"/>
                <w:color w:val="auto"/>
                <w:kern w:val="0"/>
                <w:sz w:val="24"/>
                <w:szCs w:val="24"/>
                <w:highlight w:val="none"/>
                <w:u w:val="single"/>
                <w:lang w:val="en-US" w:eastAsia="zh-CN"/>
              </w:rPr>
              <w:t>5</w:t>
            </w:r>
            <w:r>
              <w:rPr>
                <w:rFonts w:hint="eastAsia" w:asciiTheme="minorEastAsia" w:hAnsiTheme="minorEastAsia" w:eastAsiaTheme="minorEastAsia" w:cstheme="minorEastAsia"/>
                <w:snapToGrid w:val="0"/>
                <w:color w:val="auto"/>
                <w:kern w:val="0"/>
                <w:sz w:val="24"/>
                <w:szCs w:val="24"/>
                <w:highlight w:val="none"/>
              </w:rPr>
              <w:t>分</w:t>
            </w:r>
            <w:r>
              <w:rPr>
                <w:rFonts w:hint="eastAsia" w:asciiTheme="minorEastAsia" w:hAnsiTheme="minorEastAsia" w:eastAsiaTheme="minorEastAsia" w:cstheme="minorEastAsia"/>
                <w:snapToGrid w:val="0"/>
                <w:color w:val="auto"/>
                <w:kern w:val="0"/>
                <w:sz w:val="24"/>
                <w:szCs w:val="24"/>
                <w:highlight w:val="none"/>
                <w:lang w:eastAsia="zh-CN"/>
              </w:rPr>
              <w:t>（</w:t>
            </w:r>
            <w:r>
              <w:rPr>
                <w:rFonts w:hint="eastAsia" w:asciiTheme="minorEastAsia" w:hAnsiTheme="minorEastAsia" w:eastAsiaTheme="minorEastAsia" w:cstheme="minorEastAsia"/>
                <w:snapToGrid w:val="0"/>
                <w:color w:val="auto"/>
                <w:kern w:val="0"/>
                <w:sz w:val="24"/>
                <w:szCs w:val="24"/>
                <w:highlight w:val="none"/>
              </w:rPr>
              <w:t>其中必须有</w:t>
            </w:r>
            <w:r>
              <w:rPr>
                <w:rFonts w:hint="eastAsia" w:asciiTheme="minorEastAsia" w:hAnsiTheme="minorEastAsia" w:eastAsiaTheme="minorEastAsia" w:cstheme="minorEastAsia"/>
                <w:snapToGrid w:val="0"/>
                <w:color w:val="auto"/>
                <w:kern w:val="0"/>
                <w:sz w:val="24"/>
                <w:szCs w:val="24"/>
                <w:highlight w:val="none"/>
                <w:u w:val="single"/>
                <w:lang w:val="en-US" w:eastAsia="zh-CN"/>
              </w:rPr>
              <w:t>2024</w:t>
            </w:r>
            <w:r>
              <w:rPr>
                <w:rFonts w:hint="eastAsia" w:asciiTheme="minorEastAsia" w:hAnsiTheme="minorEastAsia" w:eastAsiaTheme="minorEastAsia" w:cstheme="minorEastAsia"/>
                <w:snapToGrid w:val="0"/>
                <w:color w:val="auto"/>
                <w:kern w:val="0"/>
                <w:sz w:val="24"/>
                <w:szCs w:val="24"/>
                <w:highlight w:val="none"/>
              </w:rPr>
              <w:t>年度</w:t>
            </w:r>
            <w:r>
              <w:rPr>
                <w:rFonts w:hint="eastAsia" w:asciiTheme="minorEastAsia" w:hAnsiTheme="minorEastAsia" w:eastAsiaTheme="minorEastAsia" w:cstheme="minorEastAsia"/>
                <w:snapToGrid w:val="0"/>
                <w:color w:val="auto"/>
                <w:kern w:val="0"/>
                <w:sz w:val="24"/>
                <w:szCs w:val="24"/>
                <w:highlight w:val="none"/>
                <w:lang w:eastAsia="zh-CN"/>
              </w:rPr>
              <w:t>）</w:t>
            </w:r>
            <w:r>
              <w:rPr>
                <w:rFonts w:hint="eastAsia" w:asciiTheme="minorEastAsia" w:hAnsiTheme="minorEastAsia" w:eastAsiaTheme="minorEastAsia" w:cstheme="minorEastAsia"/>
                <w:snapToGrid w:val="0"/>
                <w:color w:val="auto"/>
                <w:kern w:val="0"/>
                <w:sz w:val="24"/>
                <w:szCs w:val="24"/>
                <w:highlight w:val="none"/>
              </w:rPr>
              <w:t>；</w:t>
            </w:r>
          </w:p>
          <w:p w14:paraId="21FB2CA8">
            <w:pPr>
              <w:pStyle w:val="12"/>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2.</w:t>
            </w:r>
            <w:r>
              <w:rPr>
                <w:rFonts w:hint="eastAsia" w:asciiTheme="minorEastAsia" w:hAnsiTheme="minorEastAsia" w:eastAsiaTheme="minorEastAsia" w:cstheme="minorEastAsia"/>
                <w:snapToGrid w:val="0"/>
                <w:color w:val="auto"/>
                <w:kern w:val="0"/>
                <w:sz w:val="24"/>
                <w:szCs w:val="24"/>
                <w:highlight w:val="none"/>
              </w:rPr>
              <w:t>其他情形的，不予计分</w:t>
            </w:r>
            <w:r>
              <w:rPr>
                <w:rFonts w:hint="eastAsia" w:asciiTheme="minorEastAsia" w:hAnsiTheme="minorEastAsia" w:eastAsiaTheme="minorEastAsia" w:cstheme="minorEastAsia"/>
                <w:snapToGrid w:val="0"/>
                <w:color w:val="auto"/>
                <w:kern w:val="0"/>
                <w:sz w:val="24"/>
                <w:szCs w:val="24"/>
                <w:highlight w:val="none"/>
                <w:lang w:eastAsia="zh-CN"/>
              </w:rPr>
              <w:t>。</w:t>
            </w:r>
          </w:p>
          <w:p w14:paraId="2175863A">
            <w:pPr>
              <w:pStyle w:val="6"/>
              <w:rPr>
                <w:rFonts w:hint="eastAsia"/>
                <w:color w:val="auto"/>
                <w:highlight w:val="none"/>
              </w:rPr>
            </w:pPr>
            <w:r>
              <w:rPr>
                <w:rFonts w:hint="eastAsia" w:asciiTheme="minorEastAsia" w:hAnsiTheme="minorEastAsia" w:eastAsiaTheme="minorEastAsia" w:cstheme="minorEastAsia"/>
                <w:snapToGrid w:val="0"/>
                <w:color w:val="auto"/>
                <w:kern w:val="0"/>
                <w:sz w:val="24"/>
                <w:szCs w:val="24"/>
                <w:highlight w:val="none"/>
                <w:lang w:eastAsia="zh-CN"/>
              </w:rPr>
              <w:t>本项最高得</w:t>
            </w:r>
            <w:r>
              <w:rPr>
                <w:rFonts w:hint="eastAsia" w:asciiTheme="minorEastAsia" w:hAnsiTheme="minorEastAsia" w:eastAsiaTheme="minorEastAsia" w:cstheme="minorEastAsia"/>
                <w:snapToGrid w:val="0"/>
                <w:color w:val="auto"/>
                <w:kern w:val="0"/>
                <w:sz w:val="24"/>
                <w:szCs w:val="24"/>
                <w:highlight w:val="none"/>
                <w:lang w:val="en-US" w:eastAsia="zh-CN"/>
              </w:rPr>
              <w:t>5</w:t>
            </w:r>
            <w:r>
              <w:rPr>
                <w:rFonts w:hint="eastAsia" w:asciiTheme="minorEastAsia" w:hAnsiTheme="minorEastAsia" w:eastAsiaTheme="minorEastAsia" w:cstheme="minorEastAsia"/>
                <w:snapToGrid w:val="0"/>
                <w:color w:val="auto"/>
                <w:kern w:val="0"/>
                <w:sz w:val="24"/>
                <w:szCs w:val="24"/>
                <w:highlight w:val="none"/>
                <w:lang w:eastAsia="zh-CN"/>
              </w:rPr>
              <w:t>分。</w:t>
            </w:r>
          </w:p>
        </w:tc>
        <w:tc>
          <w:tcPr>
            <w:tcW w:w="4731" w:type="dxa"/>
            <w:noWrap w:val="0"/>
            <w:vAlign w:val="center"/>
          </w:tcPr>
          <w:p w14:paraId="6B0BE7F0">
            <w:pPr>
              <w:pStyle w:val="6"/>
              <w:numPr>
                <w:ilvl w:val="0"/>
                <w:numId w:val="0"/>
              </w:numPr>
              <w:wordWrap w:val="0"/>
              <w:adjustRightInd w:val="0"/>
              <w:snapToGrid w:val="0"/>
              <w:spacing w:line="400" w:lineRule="exact"/>
              <w:ind w:left="0" w:leftChars="0" w:firstLine="0" w:firstLineChars="0"/>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rPr>
              <w:t>1.</w:t>
            </w:r>
            <w:r>
              <w:rPr>
                <w:rFonts w:hint="eastAsia" w:asciiTheme="minorEastAsia" w:hAnsiTheme="minorEastAsia" w:eastAsiaTheme="minorEastAsia" w:cstheme="minorEastAsia"/>
                <w:color w:val="auto"/>
                <w:kern w:val="0"/>
                <w:sz w:val="24"/>
                <w:szCs w:val="24"/>
                <w:highlight w:val="none"/>
              </w:rPr>
              <w:t>必须提供企业纳税信用A级纳税人证明材料（或证书）及国家税务总局网上查询截图，否则不得分。</w:t>
            </w:r>
          </w:p>
          <w:p w14:paraId="783702DB">
            <w:pPr>
              <w:pStyle w:val="6"/>
              <w:numPr>
                <w:ilvl w:val="0"/>
                <w:numId w:val="0"/>
              </w:numPr>
              <w:wordWrap w:val="0"/>
              <w:adjustRightInd w:val="0"/>
              <w:snapToGrid w:val="0"/>
              <w:spacing w:line="400" w:lineRule="exact"/>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rPr>
              <w:t>2.</w:t>
            </w:r>
            <w:r>
              <w:rPr>
                <w:rFonts w:hint="eastAsia" w:asciiTheme="minorEastAsia" w:hAnsiTheme="minorEastAsia" w:eastAsiaTheme="minorEastAsia" w:cstheme="minorEastAsia"/>
                <w:color w:val="auto"/>
                <w:kern w:val="0"/>
                <w:sz w:val="24"/>
                <w:szCs w:val="24"/>
                <w:highlight w:val="none"/>
              </w:rPr>
              <w:t>只计算投标人自身（不计算投标人的分公司、子公司及分支机构）</w:t>
            </w:r>
            <w:r>
              <w:rPr>
                <w:rFonts w:hint="eastAsia" w:asciiTheme="minorEastAsia" w:hAnsiTheme="minorEastAsia" w:eastAsiaTheme="minorEastAsia" w:cstheme="minorEastAsia"/>
                <w:color w:val="auto"/>
                <w:kern w:val="0"/>
                <w:sz w:val="24"/>
                <w:szCs w:val="24"/>
                <w:highlight w:val="none"/>
                <w:lang w:eastAsia="zh-CN"/>
              </w:rPr>
              <w:t>。</w:t>
            </w:r>
          </w:p>
        </w:tc>
      </w:tr>
      <w:tr w14:paraId="25B06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4" w:hRule="atLeast"/>
          <w:jc w:val="center"/>
        </w:trPr>
        <w:tc>
          <w:tcPr>
            <w:tcW w:w="1597" w:type="dxa"/>
            <w:gridSpan w:val="2"/>
            <w:vMerge w:val="continue"/>
            <w:noWrap w:val="0"/>
            <w:vAlign w:val="center"/>
          </w:tcPr>
          <w:p w14:paraId="61F1DB4F">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lang w:val="en-US" w:eastAsia="zh-CN"/>
              </w:rPr>
            </w:pPr>
          </w:p>
        </w:tc>
        <w:tc>
          <w:tcPr>
            <w:tcW w:w="3857" w:type="dxa"/>
            <w:shd w:val="clear" w:color="auto" w:fill="auto"/>
            <w:noWrap w:val="0"/>
            <w:vAlign w:val="center"/>
          </w:tcPr>
          <w:p w14:paraId="0A62C29B">
            <w:pPr>
              <w:pStyle w:val="6"/>
              <w:keepNext w:val="0"/>
              <w:keepLines/>
              <w:pageBreakBefore w:val="0"/>
              <w:widowControl/>
              <w:kinsoku/>
              <w:wordWrap w:val="0"/>
              <w:overflowPunct/>
              <w:topLinePunct/>
              <w:autoSpaceDE/>
              <w:autoSpaceDN/>
              <w:bidi w:val="0"/>
              <w:adjustRightInd w:val="0"/>
              <w:snapToGrid w:val="0"/>
              <w:spacing w:line="276" w:lineRule="auto"/>
              <w:textAlignment w:val="baseline"/>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1.</w:t>
            </w:r>
            <w:r>
              <w:rPr>
                <w:rFonts w:hint="eastAsia" w:asciiTheme="minorEastAsia" w:hAnsiTheme="minorEastAsia" w:eastAsiaTheme="minorEastAsia" w:cstheme="minorEastAsia"/>
                <w:snapToGrid w:val="0"/>
                <w:color w:val="auto"/>
                <w:kern w:val="0"/>
                <w:sz w:val="24"/>
                <w:szCs w:val="24"/>
                <w:highlight w:val="none"/>
              </w:rPr>
              <w:t>近 5 年来（</w:t>
            </w:r>
            <w:r>
              <w:rPr>
                <w:rFonts w:hint="eastAsia" w:asciiTheme="minorEastAsia" w:hAnsiTheme="minorEastAsia" w:eastAsiaTheme="minorEastAsia" w:cstheme="minorEastAsia"/>
                <w:snapToGrid w:val="0"/>
                <w:color w:val="auto"/>
                <w:kern w:val="0"/>
                <w:sz w:val="24"/>
                <w:szCs w:val="24"/>
                <w:highlight w:val="none"/>
                <w:lang w:val="en-US" w:eastAsia="zh-CN"/>
              </w:rPr>
              <w:t>2021</w:t>
            </w:r>
            <w:r>
              <w:rPr>
                <w:rFonts w:hint="eastAsia" w:asciiTheme="minorEastAsia" w:hAnsiTheme="minorEastAsia" w:eastAsiaTheme="minorEastAsia" w:cstheme="minorEastAsia"/>
                <w:snapToGrid w:val="0"/>
                <w:color w:val="auto"/>
                <w:kern w:val="0"/>
                <w:sz w:val="24"/>
                <w:szCs w:val="24"/>
                <w:highlight w:val="none"/>
              </w:rPr>
              <w:t>年</w:t>
            </w:r>
            <w:r>
              <w:rPr>
                <w:rFonts w:hint="eastAsia" w:asciiTheme="minorEastAsia" w:hAnsiTheme="minorEastAsia" w:eastAsiaTheme="minorEastAsia" w:cstheme="minorEastAsia"/>
                <w:snapToGrid w:val="0"/>
                <w:color w:val="auto"/>
                <w:kern w:val="0"/>
                <w:sz w:val="24"/>
                <w:szCs w:val="24"/>
                <w:highlight w:val="none"/>
                <w:lang w:val="en-US" w:eastAsia="zh-CN"/>
              </w:rPr>
              <w:t>11</w:t>
            </w:r>
            <w:r>
              <w:rPr>
                <w:rFonts w:hint="eastAsia" w:asciiTheme="minorEastAsia" w:hAnsiTheme="minorEastAsia" w:eastAsiaTheme="minorEastAsia" w:cstheme="minorEastAsia"/>
                <w:snapToGrid w:val="0"/>
                <w:color w:val="auto"/>
                <w:kern w:val="0"/>
                <w:sz w:val="24"/>
                <w:szCs w:val="24"/>
                <w:highlight w:val="none"/>
              </w:rPr>
              <w:t>月</w:t>
            </w:r>
            <w:r>
              <w:rPr>
                <w:rFonts w:hint="eastAsia" w:asciiTheme="minorEastAsia" w:hAnsiTheme="minorEastAsia" w:eastAsiaTheme="minorEastAsia" w:cstheme="minorEastAsia"/>
                <w:snapToGrid w:val="0"/>
                <w:color w:val="auto"/>
                <w:kern w:val="0"/>
                <w:sz w:val="24"/>
                <w:szCs w:val="24"/>
                <w:highlight w:val="none"/>
                <w:lang w:val="en-US" w:eastAsia="zh-CN"/>
              </w:rPr>
              <w:t>1</w:t>
            </w:r>
            <w:r>
              <w:rPr>
                <w:rFonts w:hint="eastAsia" w:asciiTheme="minorEastAsia" w:hAnsiTheme="minorEastAsia" w:eastAsiaTheme="minorEastAsia" w:cstheme="minorEastAsia"/>
                <w:snapToGrid w:val="0"/>
                <w:color w:val="auto"/>
                <w:kern w:val="0"/>
                <w:sz w:val="24"/>
                <w:szCs w:val="24"/>
                <w:highlight w:val="none"/>
              </w:rPr>
              <w:t>日至</w:t>
            </w:r>
            <w:r>
              <w:rPr>
                <w:rFonts w:hint="eastAsia" w:asciiTheme="minorEastAsia" w:hAnsiTheme="minorEastAsia" w:eastAsiaTheme="minorEastAsia" w:cstheme="minorEastAsia"/>
                <w:snapToGrid w:val="0"/>
                <w:color w:val="auto"/>
                <w:kern w:val="0"/>
                <w:sz w:val="24"/>
                <w:szCs w:val="24"/>
                <w:highlight w:val="none"/>
                <w:lang w:val="en-US" w:eastAsia="zh-CN"/>
              </w:rPr>
              <w:t>2025</w:t>
            </w:r>
            <w:r>
              <w:rPr>
                <w:rFonts w:hint="eastAsia" w:asciiTheme="minorEastAsia" w:hAnsiTheme="minorEastAsia" w:eastAsiaTheme="minorEastAsia" w:cstheme="minorEastAsia"/>
                <w:snapToGrid w:val="0"/>
                <w:color w:val="auto"/>
                <w:kern w:val="0"/>
                <w:sz w:val="24"/>
                <w:szCs w:val="24"/>
                <w:highlight w:val="none"/>
              </w:rPr>
              <w:t>年</w:t>
            </w:r>
            <w:r>
              <w:rPr>
                <w:rFonts w:hint="eastAsia" w:asciiTheme="minorEastAsia" w:hAnsiTheme="minorEastAsia" w:eastAsiaTheme="minorEastAsia" w:cstheme="minorEastAsia"/>
                <w:snapToGrid w:val="0"/>
                <w:color w:val="auto"/>
                <w:kern w:val="0"/>
                <w:sz w:val="24"/>
                <w:szCs w:val="24"/>
                <w:highlight w:val="none"/>
                <w:lang w:val="en-US" w:eastAsia="zh-CN"/>
              </w:rPr>
              <w:t>11</w:t>
            </w:r>
            <w:r>
              <w:rPr>
                <w:rFonts w:hint="eastAsia" w:asciiTheme="minorEastAsia" w:hAnsiTheme="minorEastAsia" w:eastAsiaTheme="minorEastAsia" w:cstheme="minorEastAsia"/>
                <w:snapToGrid w:val="0"/>
                <w:color w:val="auto"/>
                <w:kern w:val="0"/>
                <w:sz w:val="24"/>
                <w:szCs w:val="24"/>
                <w:highlight w:val="none"/>
              </w:rPr>
              <w:t>月</w:t>
            </w:r>
            <w:r>
              <w:rPr>
                <w:rFonts w:hint="eastAsia" w:asciiTheme="minorEastAsia" w:hAnsiTheme="minorEastAsia" w:eastAsiaTheme="minorEastAsia" w:cstheme="minorEastAsia"/>
                <w:snapToGrid w:val="0"/>
                <w:color w:val="auto"/>
                <w:kern w:val="0"/>
                <w:sz w:val="24"/>
                <w:szCs w:val="24"/>
                <w:highlight w:val="none"/>
                <w:lang w:val="en-US" w:eastAsia="zh-CN"/>
              </w:rPr>
              <w:t>1</w:t>
            </w:r>
            <w:r>
              <w:rPr>
                <w:rFonts w:hint="eastAsia" w:asciiTheme="minorEastAsia" w:hAnsiTheme="minorEastAsia" w:eastAsiaTheme="minorEastAsia" w:cstheme="minorEastAsia"/>
                <w:snapToGrid w:val="0"/>
                <w:color w:val="auto"/>
                <w:kern w:val="0"/>
                <w:sz w:val="24"/>
                <w:szCs w:val="24"/>
                <w:highlight w:val="none"/>
              </w:rPr>
              <w:t>日）投标人未发生事故等级为一般事故及以上的生产安全事故、一般质量事故及以上的工程质量事故的，得</w:t>
            </w:r>
            <w:r>
              <w:rPr>
                <w:rFonts w:hint="eastAsia" w:asciiTheme="minorEastAsia" w:hAnsiTheme="minorEastAsia" w:eastAsiaTheme="minorEastAsia" w:cstheme="minorEastAsia"/>
                <w:snapToGrid w:val="0"/>
                <w:color w:val="auto"/>
                <w:kern w:val="0"/>
                <w:sz w:val="24"/>
                <w:szCs w:val="24"/>
                <w:highlight w:val="none"/>
                <w:lang w:val="en-US" w:eastAsia="zh-CN"/>
              </w:rPr>
              <w:t>5</w:t>
            </w:r>
            <w:r>
              <w:rPr>
                <w:rFonts w:hint="eastAsia" w:asciiTheme="minorEastAsia" w:hAnsiTheme="minorEastAsia" w:eastAsiaTheme="minorEastAsia" w:cstheme="minorEastAsia"/>
                <w:snapToGrid w:val="0"/>
                <w:color w:val="auto"/>
                <w:kern w:val="0"/>
                <w:sz w:val="24"/>
                <w:szCs w:val="24"/>
                <w:highlight w:val="none"/>
              </w:rPr>
              <w:t>分</w:t>
            </w:r>
            <w:r>
              <w:rPr>
                <w:rFonts w:hint="eastAsia" w:asciiTheme="minorEastAsia" w:hAnsiTheme="minorEastAsia" w:eastAsiaTheme="minorEastAsia" w:cstheme="minorEastAsia"/>
                <w:snapToGrid w:val="0"/>
                <w:color w:val="auto"/>
                <w:kern w:val="0"/>
                <w:sz w:val="24"/>
                <w:szCs w:val="24"/>
                <w:highlight w:val="none"/>
                <w:lang w:eastAsia="zh-CN"/>
              </w:rPr>
              <w:t>；</w:t>
            </w:r>
          </w:p>
          <w:p w14:paraId="4B33EBCF">
            <w:pPr>
              <w:pStyle w:val="6"/>
              <w:keepNext w:val="0"/>
              <w:keepLines/>
              <w:pageBreakBefore w:val="0"/>
              <w:widowControl/>
              <w:kinsoku/>
              <w:wordWrap w:val="0"/>
              <w:overflowPunct/>
              <w:topLinePunct/>
              <w:autoSpaceDE/>
              <w:autoSpaceDN/>
              <w:bidi w:val="0"/>
              <w:adjustRightInd w:val="0"/>
              <w:snapToGrid w:val="0"/>
              <w:spacing w:line="276" w:lineRule="auto"/>
              <w:textAlignment w:val="baseline"/>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2.其他情形的，不予计分。</w:t>
            </w:r>
          </w:p>
          <w:p w14:paraId="1F93D597">
            <w:pPr>
              <w:pStyle w:val="6"/>
              <w:keepNext w:val="0"/>
              <w:keepLines/>
              <w:pageBreakBefore w:val="0"/>
              <w:widowControl/>
              <w:kinsoku/>
              <w:wordWrap w:val="0"/>
              <w:overflowPunct/>
              <w:topLinePunct/>
              <w:autoSpaceDE/>
              <w:autoSpaceDN/>
              <w:bidi w:val="0"/>
              <w:adjustRightInd w:val="0"/>
              <w:snapToGrid w:val="0"/>
              <w:spacing w:line="276" w:lineRule="auto"/>
              <w:textAlignment w:val="baseline"/>
              <w:rPr>
                <w:rFonts w:hint="eastAsia" w:asciiTheme="minorEastAsia" w:hAnsiTheme="minorEastAsia" w:eastAsiaTheme="minorEastAsia" w:cstheme="minorEastAsia"/>
                <w:snapToGrid w:val="0"/>
                <w:color w:val="auto"/>
                <w:kern w:val="0"/>
                <w:sz w:val="24"/>
                <w:szCs w:val="24"/>
                <w:highlight w:val="none"/>
                <w:lang w:val="en-US" w:eastAsia="zh-CN" w:bidi="ar-SA"/>
              </w:rPr>
            </w:pPr>
            <w:r>
              <w:rPr>
                <w:rFonts w:hint="eastAsia" w:asciiTheme="minorEastAsia" w:hAnsiTheme="minorEastAsia" w:eastAsiaTheme="minorEastAsia" w:cstheme="minorEastAsia"/>
                <w:snapToGrid w:val="0"/>
                <w:color w:val="auto"/>
                <w:kern w:val="0"/>
                <w:sz w:val="24"/>
                <w:szCs w:val="24"/>
                <w:highlight w:val="none"/>
                <w:lang w:eastAsia="zh-CN"/>
              </w:rPr>
              <w:t>本项最高得</w:t>
            </w:r>
            <w:r>
              <w:rPr>
                <w:rFonts w:hint="eastAsia" w:asciiTheme="minorEastAsia" w:hAnsiTheme="minorEastAsia" w:eastAsiaTheme="minorEastAsia" w:cstheme="minorEastAsia"/>
                <w:snapToGrid w:val="0"/>
                <w:color w:val="auto"/>
                <w:kern w:val="0"/>
                <w:sz w:val="24"/>
                <w:szCs w:val="24"/>
                <w:highlight w:val="none"/>
                <w:lang w:val="en-US" w:eastAsia="zh-CN"/>
              </w:rPr>
              <w:t>5</w:t>
            </w:r>
            <w:r>
              <w:rPr>
                <w:rFonts w:hint="eastAsia" w:asciiTheme="minorEastAsia" w:hAnsiTheme="minorEastAsia" w:eastAsiaTheme="minorEastAsia" w:cstheme="minorEastAsia"/>
                <w:snapToGrid w:val="0"/>
                <w:color w:val="auto"/>
                <w:kern w:val="0"/>
                <w:sz w:val="24"/>
                <w:szCs w:val="24"/>
                <w:highlight w:val="none"/>
                <w:lang w:eastAsia="zh-CN"/>
              </w:rPr>
              <w:t>分。</w:t>
            </w:r>
          </w:p>
        </w:tc>
        <w:tc>
          <w:tcPr>
            <w:tcW w:w="4731" w:type="dxa"/>
            <w:shd w:val="clear" w:color="auto" w:fill="auto"/>
            <w:noWrap w:val="0"/>
            <w:vAlign w:val="center"/>
          </w:tcPr>
          <w:p w14:paraId="306C352E">
            <w:pPr>
              <w:pStyle w:val="6"/>
              <w:keepNext w:val="0"/>
              <w:keepLines/>
              <w:pageBreakBefore w:val="0"/>
              <w:widowControl/>
              <w:kinsoku/>
              <w:wordWrap w:val="0"/>
              <w:overflowPunct/>
              <w:topLinePunct/>
              <w:autoSpaceDE/>
              <w:autoSpaceDN/>
              <w:bidi w:val="0"/>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投标人需提供承诺书（格式自定）并加盖本单位公章。</w:t>
            </w:r>
          </w:p>
          <w:p w14:paraId="57D3B534">
            <w:pPr>
              <w:pStyle w:val="6"/>
              <w:keepNext w:val="0"/>
              <w:keepLines/>
              <w:pageBreakBefore w:val="0"/>
              <w:widowControl/>
              <w:kinsoku/>
              <w:wordWrap w:val="0"/>
              <w:overflowPunct/>
              <w:topLinePunct/>
              <w:autoSpaceDE/>
              <w:autoSpaceDN/>
              <w:bidi w:val="0"/>
              <w:adjustRightInd w:val="0"/>
              <w:snapToGrid w:val="0"/>
              <w:spacing w:line="400" w:lineRule="exact"/>
              <w:rPr>
                <w:rFonts w:hint="eastAsia" w:ascii="宋体" w:hAnsi="宋体" w:eastAsia="宋体" w:cs="宋体"/>
                <w:snapToGrid w:val="0"/>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2.投标人</w:t>
            </w:r>
            <w:r>
              <w:rPr>
                <w:rFonts w:hint="eastAsia" w:ascii="宋体" w:hAnsi="宋体" w:eastAsia="宋体" w:cs="宋体"/>
                <w:color w:val="auto"/>
                <w:sz w:val="24"/>
                <w:szCs w:val="24"/>
                <w:highlight w:val="none"/>
                <w:lang w:eastAsia="zh-CN"/>
              </w:rPr>
              <w:t>未提供承诺书并加盖本单位公章的，不予计分。</w:t>
            </w:r>
          </w:p>
        </w:tc>
      </w:tr>
      <w:tr w14:paraId="3649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vMerge w:val="continue"/>
            <w:noWrap w:val="0"/>
            <w:vAlign w:val="center"/>
          </w:tcPr>
          <w:p w14:paraId="34F147A8">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snapToGrid w:val="0"/>
                <w:color w:val="auto"/>
                <w:kern w:val="0"/>
                <w:sz w:val="24"/>
                <w:szCs w:val="24"/>
                <w:highlight w:val="none"/>
              </w:rPr>
            </w:pPr>
          </w:p>
        </w:tc>
        <w:tc>
          <w:tcPr>
            <w:tcW w:w="3857" w:type="dxa"/>
            <w:shd w:val="clear" w:color="auto" w:fill="auto"/>
            <w:noWrap w:val="0"/>
            <w:vAlign w:val="center"/>
          </w:tcPr>
          <w:p w14:paraId="43F0FA91">
            <w:pPr>
              <w:pStyle w:val="6"/>
              <w:keepLines/>
              <w:numPr>
                <w:ilvl w:val="0"/>
                <w:numId w:val="1"/>
              </w:numPr>
              <w:kinsoku/>
              <w:wordWrap w:val="0"/>
              <w:topLinePunct/>
              <w:autoSpaceDE/>
              <w:autoSpaceDN/>
              <w:spacing w:line="36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en-US" w:bidi="ar-SA"/>
              </w:rPr>
              <w:t>投标人从2021年1月1日至今获得省级/</w:t>
            </w:r>
            <w:r>
              <w:rPr>
                <w:rFonts w:hint="eastAsia" w:ascii="宋体" w:hAnsi="宋体" w:eastAsia="宋体" w:cs="宋体"/>
                <w:snapToGrid w:val="0"/>
                <w:color w:val="auto"/>
                <w:kern w:val="0"/>
                <w:sz w:val="24"/>
                <w:szCs w:val="24"/>
                <w:highlight w:val="none"/>
                <w:lang w:val="en-US" w:eastAsia="zh-CN" w:bidi="ar-SA"/>
              </w:rPr>
              <w:t>国家</w:t>
            </w:r>
            <w:r>
              <w:rPr>
                <w:rFonts w:hint="eastAsia" w:ascii="宋体" w:hAnsi="宋体" w:eastAsia="宋体" w:cs="宋体"/>
                <w:snapToGrid w:val="0"/>
                <w:color w:val="auto"/>
                <w:kern w:val="0"/>
                <w:sz w:val="24"/>
                <w:szCs w:val="24"/>
                <w:highlight w:val="none"/>
                <w:lang w:val="en-US" w:eastAsia="en-US" w:bidi="ar-SA"/>
              </w:rPr>
              <w:t>级“诚信示范企业”或“企业诚信公约证书”或“AAA级信用企业”称号的得</w:t>
            </w:r>
            <w:r>
              <w:rPr>
                <w:rFonts w:hint="eastAsia" w:ascii="宋体" w:hAnsi="宋体" w:eastAsia="宋体" w:cs="宋体"/>
                <w:snapToGrid w:val="0"/>
                <w:color w:val="auto"/>
                <w:kern w:val="0"/>
                <w:sz w:val="24"/>
                <w:szCs w:val="24"/>
                <w:highlight w:val="none"/>
                <w:lang w:val="en-US" w:eastAsia="zh-CN" w:bidi="ar-SA"/>
              </w:rPr>
              <w:t>3</w:t>
            </w:r>
            <w:r>
              <w:rPr>
                <w:rFonts w:hint="eastAsia" w:ascii="宋体" w:hAnsi="宋体" w:eastAsia="宋体" w:cs="宋体"/>
                <w:snapToGrid w:val="0"/>
                <w:color w:val="auto"/>
                <w:kern w:val="0"/>
                <w:sz w:val="24"/>
                <w:szCs w:val="24"/>
                <w:highlight w:val="none"/>
                <w:lang w:val="en-US" w:eastAsia="en-US" w:bidi="ar-SA"/>
              </w:rPr>
              <w:t>分</w:t>
            </w:r>
            <w:r>
              <w:rPr>
                <w:rFonts w:hint="eastAsia" w:ascii="宋体" w:hAnsi="宋体" w:eastAsia="宋体" w:cs="宋体"/>
                <w:snapToGrid w:val="0"/>
                <w:color w:val="auto"/>
                <w:kern w:val="0"/>
                <w:sz w:val="24"/>
                <w:szCs w:val="24"/>
                <w:highlight w:val="none"/>
                <w:lang w:val="en-US" w:eastAsia="zh-CN" w:bidi="ar-SA"/>
              </w:rPr>
              <w:t>；</w:t>
            </w:r>
          </w:p>
          <w:p w14:paraId="3C75CD36">
            <w:pPr>
              <w:pStyle w:val="6"/>
              <w:keepLines/>
              <w:numPr>
                <w:ilvl w:val="0"/>
                <w:numId w:val="1"/>
              </w:numPr>
              <w:kinsoku/>
              <w:wordWrap w:val="0"/>
              <w:topLinePunct/>
              <w:autoSpaceDE/>
              <w:autoSpaceDN/>
              <w:spacing w:line="360" w:lineRule="auto"/>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lang w:val="en-US" w:eastAsia="en-US" w:bidi="ar-SA"/>
              </w:rPr>
              <w:t>超过1年的，每增加一年加</w:t>
            </w:r>
            <w:r>
              <w:rPr>
                <w:rFonts w:hint="eastAsia" w:ascii="宋体" w:hAnsi="宋体" w:eastAsia="宋体" w:cs="宋体"/>
                <w:snapToGrid w:val="0"/>
                <w:color w:val="auto"/>
                <w:kern w:val="0"/>
                <w:sz w:val="24"/>
                <w:szCs w:val="24"/>
                <w:highlight w:val="none"/>
                <w:lang w:val="en-US" w:eastAsia="zh-CN" w:bidi="ar-SA"/>
              </w:rPr>
              <w:t>1</w:t>
            </w:r>
            <w:r>
              <w:rPr>
                <w:rFonts w:hint="eastAsia" w:ascii="宋体" w:hAnsi="宋体" w:eastAsia="宋体" w:cs="宋体"/>
                <w:snapToGrid w:val="0"/>
                <w:color w:val="auto"/>
                <w:kern w:val="0"/>
                <w:sz w:val="24"/>
                <w:szCs w:val="24"/>
                <w:highlight w:val="none"/>
                <w:lang w:val="en-US" w:eastAsia="en-US" w:bidi="ar-SA"/>
              </w:rPr>
              <w:t>分。</w:t>
            </w:r>
          </w:p>
          <w:p w14:paraId="7D71512F">
            <w:pPr>
              <w:pStyle w:val="6"/>
              <w:keepLines/>
              <w:kinsoku/>
              <w:wordWrap w:val="0"/>
              <w:topLinePunct/>
              <w:autoSpaceDE/>
              <w:autoSpaceDN/>
              <w:spacing w:line="360" w:lineRule="auto"/>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lang w:val="en-US" w:eastAsia="en-US" w:bidi="ar-SA"/>
              </w:rPr>
              <w:t>本项最高得</w:t>
            </w:r>
            <w:r>
              <w:rPr>
                <w:rFonts w:hint="eastAsia" w:ascii="宋体" w:hAnsi="宋体" w:eastAsia="宋体" w:cs="宋体"/>
                <w:snapToGrid w:val="0"/>
                <w:color w:val="auto"/>
                <w:kern w:val="0"/>
                <w:sz w:val="24"/>
                <w:szCs w:val="24"/>
                <w:highlight w:val="none"/>
                <w:lang w:val="en-US" w:eastAsia="zh-CN" w:bidi="ar-SA"/>
              </w:rPr>
              <w:t>5</w:t>
            </w:r>
            <w:r>
              <w:rPr>
                <w:rFonts w:hint="eastAsia" w:ascii="宋体" w:hAnsi="宋体" w:eastAsia="宋体" w:cs="宋体"/>
                <w:snapToGrid w:val="0"/>
                <w:color w:val="auto"/>
                <w:kern w:val="0"/>
                <w:sz w:val="24"/>
                <w:szCs w:val="24"/>
                <w:highlight w:val="none"/>
                <w:lang w:val="en-US" w:eastAsia="en-US" w:bidi="ar-SA"/>
              </w:rPr>
              <w:t xml:space="preserve">分。 </w:t>
            </w:r>
          </w:p>
        </w:tc>
        <w:tc>
          <w:tcPr>
            <w:tcW w:w="4731" w:type="dxa"/>
            <w:shd w:val="clear" w:color="auto" w:fill="auto"/>
            <w:noWrap w:val="0"/>
            <w:vAlign w:val="center"/>
          </w:tcPr>
          <w:p w14:paraId="1942BF6F">
            <w:pPr>
              <w:pStyle w:val="6"/>
              <w:keepLines/>
              <w:kinsoku/>
              <w:wordWrap w:val="0"/>
              <w:topLinePunct/>
              <w:autoSpaceDE/>
              <w:autoSpaceDN/>
              <w:spacing w:line="360" w:lineRule="auto"/>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lang w:val="en-US" w:eastAsia="zh-CN" w:bidi="ar-SA"/>
              </w:rPr>
              <w:t>1.投标人</w:t>
            </w:r>
            <w:r>
              <w:rPr>
                <w:rFonts w:hint="eastAsia" w:ascii="宋体" w:hAnsi="宋体" w:eastAsia="宋体" w:cs="宋体"/>
                <w:snapToGrid w:val="0"/>
                <w:color w:val="auto"/>
                <w:kern w:val="0"/>
                <w:sz w:val="24"/>
                <w:szCs w:val="24"/>
                <w:highlight w:val="none"/>
                <w:lang w:val="en-US" w:eastAsia="en-US" w:bidi="ar-SA"/>
              </w:rPr>
              <w:t>需附相关证书彩色扫描件。</w:t>
            </w:r>
          </w:p>
          <w:p w14:paraId="58477F20">
            <w:pPr>
              <w:pStyle w:val="6"/>
              <w:keepLines/>
              <w:kinsoku/>
              <w:wordWrap w:val="0"/>
              <w:topLinePunct/>
              <w:autoSpaceDE/>
              <w:autoSpaceDN/>
              <w:spacing w:line="360" w:lineRule="auto"/>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lang w:val="en-US" w:eastAsia="zh-CN" w:bidi="ar-SA"/>
              </w:rPr>
              <w:t>2.</w:t>
            </w:r>
            <w:r>
              <w:rPr>
                <w:rFonts w:hint="eastAsia" w:ascii="宋体" w:hAnsi="宋体" w:eastAsia="宋体" w:cs="宋体"/>
                <w:snapToGrid w:val="0"/>
                <w:color w:val="auto"/>
                <w:kern w:val="0"/>
                <w:sz w:val="24"/>
                <w:szCs w:val="24"/>
                <w:highlight w:val="none"/>
                <w:lang w:val="en-US" w:eastAsia="en-US" w:bidi="ar-SA"/>
              </w:rPr>
              <w:t>证书须由省级/</w:t>
            </w:r>
            <w:r>
              <w:rPr>
                <w:rFonts w:hint="eastAsia" w:ascii="宋体" w:hAnsi="宋体" w:eastAsia="宋体" w:cs="宋体"/>
                <w:snapToGrid w:val="0"/>
                <w:color w:val="auto"/>
                <w:kern w:val="0"/>
                <w:sz w:val="24"/>
                <w:szCs w:val="24"/>
                <w:highlight w:val="none"/>
                <w:lang w:val="en-US" w:eastAsia="zh-CN" w:bidi="ar-SA"/>
              </w:rPr>
              <w:t>国家</w:t>
            </w:r>
            <w:r>
              <w:rPr>
                <w:rFonts w:hint="eastAsia" w:ascii="宋体" w:hAnsi="宋体" w:eastAsia="宋体" w:cs="宋体"/>
                <w:snapToGrid w:val="0"/>
                <w:color w:val="auto"/>
                <w:kern w:val="0"/>
                <w:sz w:val="24"/>
                <w:szCs w:val="24"/>
                <w:highlight w:val="none"/>
                <w:lang w:val="en-US" w:eastAsia="en-US" w:bidi="ar-SA"/>
              </w:rPr>
              <w:t>级企业联合会和企业家协会（须经民政局备案）同时颁发。</w:t>
            </w:r>
          </w:p>
          <w:p w14:paraId="61224D0E">
            <w:pPr>
              <w:pStyle w:val="6"/>
              <w:keepLines/>
              <w:kinsoku/>
              <w:wordWrap w:val="0"/>
              <w:topLinePunct/>
              <w:autoSpaceDE/>
              <w:autoSpaceDN/>
              <w:spacing w:line="36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3.</w:t>
            </w:r>
            <w:r>
              <w:rPr>
                <w:rFonts w:hint="eastAsia" w:ascii="宋体" w:hAnsi="宋体" w:eastAsia="宋体" w:cs="宋体"/>
                <w:snapToGrid w:val="0"/>
                <w:color w:val="auto"/>
                <w:kern w:val="0"/>
                <w:sz w:val="24"/>
                <w:szCs w:val="24"/>
                <w:highlight w:val="none"/>
                <w:lang w:val="en-US" w:eastAsia="en-US" w:bidi="ar-SA"/>
              </w:rPr>
              <w:t>颁发机构、获奖时间不符合评分标准和备注规定的，不予得分。</w:t>
            </w:r>
          </w:p>
        </w:tc>
      </w:tr>
      <w:tr w14:paraId="19216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2" w:hRule="atLeast"/>
          <w:jc w:val="center"/>
        </w:trPr>
        <w:tc>
          <w:tcPr>
            <w:tcW w:w="1597" w:type="dxa"/>
            <w:gridSpan w:val="2"/>
            <w:vMerge w:val="continue"/>
            <w:noWrap w:val="0"/>
            <w:vAlign w:val="center"/>
          </w:tcPr>
          <w:p w14:paraId="0369A864">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snapToGrid w:val="0"/>
                <w:color w:val="auto"/>
                <w:kern w:val="0"/>
                <w:sz w:val="24"/>
                <w:szCs w:val="24"/>
                <w:highlight w:val="none"/>
              </w:rPr>
            </w:pPr>
          </w:p>
        </w:tc>
        <w:tc>
          <w:tcPr>
            <w:tcW w:w="3857" w:type="dxa"/>
            <w:shd w:val="clear" w:color="auto" w:fill="auto"/>
            <w:noWrap w:val="0"/>
            <w:vAlign w:val="center"/>
          </w:tcPr>
          <w:p w14:paraId="33C8012E">
            <w:pPr>
              <w:pStyle w:val="6"/>
              <w:wordWrap w:val="0"/>
              <w:adjustRightInd w:val="0"/>
              <w:snapToGrid w:val="0"/>
              <w:spacing w:line="276" w:lineRule="auto"/>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1.</w:t>
            </w:r>
            <w:r>
              <w:rPr>
                <w:rFonts w:hint="eastAsia" w:asciiTheme="minorEastAsia" w:hAnsiTheme="minorEastAsia" w:eastAsiaTheme="minorEastAsia" w:cstheme="minorEastAsia"/>
                <w:snapToGrid w:val="0"/>
                <w:color w:val="auto"/>
                <w:kern w:val="0"/>
                <w:sz w:val="24"/>
                <w:szCs w:val="24"/>
                <w:highlight w:val="none"/>
              </w:rPr>
              <w:t xml:space="preserve">近 </w:t>
            </w:r>
            <w:r>
              <w:rPr>
                <w:rFonts w:hint="eastAsia" w:asciiTheme="minorEastAsia" w:hAnsiTheme="minorEastAsia" w:eastAsiaTheme="minorEastAsia" w:cstheme="minorEastAsia"/>
                <w:snapToGrid w:val="0"/>
                <w:color w:val="auto"/>
                <w:kern w:val="0"/>
                <w:sz w:val="24"/>
                <w:szCs w:val="24"/>
                <w:highlight w:val="none"/>
                <w:lang w:val="en-US" w:eastAsia="zh-CN"/>
              </w:rPr>
              <w:t>5</w:t>
            </w:r>
            <w:r>
              <w:rPr>
                <w:rFonts w:hint="eastAsia" w:asciiTheme="minorEastAsia" w:hAnsiTheme="minorEastAsia" w:eastAsiaTheme="minorEastAsia" w:cstheme="minorEastAsia"/>
                <w:snapToGrid w:val="0"/>
                <w:color w:val="auto"/>
                <w:kern w:val="0"/>
                <w:sz w:val="24"/>
                <w:szCs w:val="24"/>
                <w:highlight w:val="none"/>
              </w:rPr>
              <w:t xml:space="preserve"> 年来（</w:t>
            </w:r>
            <w:r>
              <w:rPr>
                <w:rFonts w:hint="eastAsia" w:asciiTheme="minorEastAsia" w:hAnsiTheme="minorEastAsia" w:eastAsiaTheme="minorEastAsia" w:cstheme="minorEastAsia"/>
                <w:snapToGrid w:val="0"/>
                <w:color w:val="auto"/>
                <w:kern w:val="0"/>
                <w:sz w:val="24"/>
                <w:szCs w:val="24"/>
                <w:highlight w:val="none"/>
                <w:lang w:val="en-US" w:eastAsia="zh-CN"/>
              </w:rPr>
              <w:t>2021</w:t>
            </w:r>
            <w:r>
              <w:rPr>
                <w:rFonts w:hint="eastAsia" w:asciiTheme="minorEastAsia" w:hAnsiTheme="minorEastAsia" w:eastAsiaTheme="minorEastAsia" w:cstheme="minorEastAsia"/>
                <w:snapToGrid w:val="0"/>
                <w:color w:val="auto"/>
                <w:kern w:val="0"/>
                <w:sz w:val="24"/>
                <w:szCs w:val="24"/>
                <w:highlight w:val="none"/>
              </w:rPr>
              <w:t>年</w:t>
            </w:r>
            <w:r>
              <w:rPr>
                <w:rFonts w:hint="eastAsia" w:asciiTheme="minorEastAsia" w:hAnsiTheme="minorEastAsia" w:eastAsiaTheme="minorEastAsia" w:cstheme="minorEastAsia"/>
                <w:snapToGrid w:val="0"/>
                <w:color w:val="auto"/>
                <w:kern w:val="0"/>
                <w:sz w:val="24"/>
                <w:szCs w:val="24"/>
                <w:highlight w:val="none"/>
                <w:lang w:val="en-US" w:eastAsia="zh-CN"/>
              </w:rPr>
              <w:t>1</w:t>
            </w:r>
            <w:r>
              <w:rPr>
                <w:rFonts w:hint="eastAsia" w:asciiTheme="minorEastAsia" w:hAnsiTheme="minorEastAsia" w:eastAsiaTheme="minorEastAsia" w:cstheme="minorEastAsia"/>
                <w:snapToGrid w:val="0"/>
                <w:color w:val="auto"/>
                <w:kern w:val="0"/>
                <w:sz w:val="24"/>
                <w:szCs w:val="24"/>
                <w:highlight w:val="none"/>
              </w:rPr>
              <w:t>月</w:t>
            </w:r>
            <w:r>
              <w:rPr>
                <w:rFonts w:hint="eastAsia" w:asciiTheme="minorEastAsia" w:hAnsiTheme="minorEastAsia" w:eastAsiaTheme="minorEastAsia" w:cstheme="minorEastAsia"/>
                <w:snapToGrid w:val="0"/>
                <w:color w:val="auto"/>
                <w:kern w:val="0"/>
                <w:sz w:val="24"/>
                <w:szCs w:val="24"/>
                <w:highlight w:val="none"/>
                <w:lang w:val="en-US" w:eastAsia="zh-CN"/>
              </w:rPr>
              <w:t>1</w:t>
            </w:r>
            <w:r>
              <w:rPr>
                <w:rFonts w:hint="eastAsia" w:asciiTheme="minorEastAsia" w:hAnsiTheme="minorEastAsia" w:eastAsiaTheme="minorEastAsia" w:cstheme="minorEastAsia"/>
                <w:snapToGrid w:val="0"/>
                <w:color w:val="auto"/>
                <w:kern w:val="0"/>
                <w:sz w:val="24"/>
                <w:szCs w:val="24"/>
                <w:highlight w:val="none"/>
              </w:rPr>
              <w:t>日</w:t>
            </w:r>
            <w:r>
              <w:rPr>
                <w:rFonts w:hint="eastAsia" w:asciiTheme="minorEastAsia" w:hAnsiTheme="minorEastAsia" w:eastAsiaTheme="minorEastAsia" w:cstheme="minorEastAsia"/>
                <w:snapToGrid w:val="0"/>
                <w:color w:val="auto"/>
                <w:kern w:val="0"/>
                <w:sz w:val="24"/>
                <w:szCs w:val="24"/>
                <w:highlight w:val="none"/>
                <w:lang w:eastAsia="zh-CN"/>
              </w:rPr>
              <w:t>至今</w:t>
            </w:r>
            <w:r>
              <w:rPr>
                <w:rFonts w:hint="eastAsia" w:asciiTheme="minorEastAsia" w:hAnsiTheme="minorEastAsia" w:eastAsiaTheme="minorEastAsia" w:cstheme="minorEastAsia"/>
                <w:snapToGrid w:val="0"/>
                <w:color w:val="auto"/>
                <w:kern w:val="0"/>
                <w:sz w:val="24"/>
                <w:szCs w:val="24"/>
                <w:highlight w:val="none"/>
              </w:rPr>
              <w:t>）</w:t>
            </w:r>
            <w:r>
              <w:rPr>
                <w:rFonts w:hint="eastAsia" w:asciiTheme="minorEastAsia" w:hAnsiTheme="minorEastAsia" w:eastAsiaTheme="minorEastAsia" w:cstheme="minorEastAsia"/>
                <w:snapToGrid w:val="0"/>
                <w:color w:val="auto"/>
                <w:kern w:val="0"/>
                <w:sz w:val="24"/>
                <w:szCs w:val="24"/>
                <w:highlight w:val="none"/>
                <w:lang w:eastAsia="zh-CN"/>
              </w:rPr>
              <w:t>未被国家或地方“根治欠薪线索反映平台</w:t>
            </w:r>
            <w:r>
              <w:rPr>
                <w:rFonts w:hint="eastAsia" w:asciiTheme="minorEastAsia" w:hAnsiTheme="minorEastAsia" w:eastAsiaTheme="minorEastAsia" w:cstheme="minorEastAsia"/>
                <w:snapToGrid w:val="0"/>
                <w:color w:val="auto"/>
                <w:kern w:val="0"/>
                <w:sz w:val="24"/>
                <w:szCs w:val="24"/>
                <w:highlight w:val="none"/>
                <w:lang w:val="en-US" w:eastAsia="zh-CN"/>
              </w:rPr>
              <w:t>-</w:t>
            </w:r>
            <w:r>
              <w:rPr>
                <w:rFonts w:hint="eastAsia" w:asciiTheme="minorEastAsia" w:hAnsiTheme="minorEastAsia" w:eastAsiaTheme="minorEastAsia" w:cstheme="minorEastAsia"/>
                <w:snapToGrid w:val="0"/>
                <w:color w:val="auto"/>
                <w:kern w:val="0"/>
                <w:sz w:val="24"/>
                <w:szCs w:val="24"/>
                <w:highlight w:val="none"/>
                <w:lang w:eastAsia="zh-CN"/>
              </w:rPr>
              <w:t>工程建设领域拖欠工资线索反映”登记有欠薪反映记录且经人社部门核实情况属实，或未发现在其他行政监管部门有过欠薪行为公示</w:t>
            </w:r>
            <w:r>
              <w:rPr>
                <w:rFonts w:hint="eastAsia" w:asciiTheme="minorEastAsia" w:hAnsiTheme="minorEastAsia" w:eastAsiaTheme="minorEastAsia" w:cstheme="minorEastAsia"/>
                <w:snapToGrid w:val="0"/>
                <w:color w:val="auto"/>
                <w:kern w:val="0"/>
                <w:sz w:val="24"/>
                <w:szCs w:val="24"/>
                <w:highlight w:val="none"/>
              </w:rPr>
              <w:t>的</w:t>
            </w:r>
            <w:r>
              <w:rPr>
                <w:rFonts w:hint="eastAsia" w:asciiTheme="minorEastAsia" w:hAnsiTheme="minorEastAsia" w:eastAsiaTheme="minorEastAsia" w:cstheme="minorEastAsia"/>
                <w:snapToGrid w:val="0"/>
                <w:color w:val="auto"/>
                <w:kern w:val="0"/>
                <w:sz w:val="24"/>
                <w:szCs w:val="24"/>
                <w:highlight w:val="none"/>
                <w:lang w:eastAsia="zh-CN"/>
              </w:rPr>
              <w:t>，</w:t>
            </w:r>
            <w:r>
              <w:rPr>
                <w:rFonts w:hint="eastAsia" w:asciiTheme="minorEastAsia" w:hAnsiTheme="minorEastAsia" w:eastAsiaTheme="minorEastAsia" w:cstheme="minorEastAsia"/>
                <w:snapToGrid w:val="0"/>
                <w:color w:val="auto"/>
                <w:kern w:val="0"/>
                <w:sz w:val="24"/>
                <w:szCs w:val="24"/>
                <w:highlight w:val="none"/>
              </w:rPr>
              <w:t>得</w:t>
            </w:r>
            <w:r>
              <w:rPr>
                <w:rFonts w:hint="eastAsia" w:asciiTheme="minorEastAsia" w:hAnsiTheme="minorEastAsia" w:eastAsiaTheme="minorEastAsia" w:cstheme="minorEastAsia"/>
                <w:snapToGrid w:val="0"/>
                <w:color w:val="auto"/>
                <w:kern w:val="0"/>
                <w:sz w:val="24"/>
                <w:szCs w:val="24"/>
                <w:highlight w:val="none"/>
                <w:lang w:val="en-US" w:eastAsia="zh-CN"/>
              </w:rPr>
              <w:t>5</w:t>
            </w:r>
            <w:r>
              <w:rPr>
                <w:rFonts w:hint="eastAsia" w:asciiTheme="minorEastAsia" w:hAnsiTheme="minorEastAsia" w:eastAsiaTheme="minorEastAsia" w:cstheme="minorEastAsia"/>
                <w:snapToGrid w:val="0"/>
                <w:color w:val="auto"/>
                <w:kern w:val="0"/>
                <w:sz w:val="24"/>
                <w:szCs w:val="24"/>
                <w:highlight w:val="none"/>
              </w:rPr>
              <w:t>分；</w:t>
            </w:r>
          </w:p>
          <w:p w14:paraId="591A2319">
            <w:pPr>
              <w:pStyle w:val="6"/>
              <w:wordWrap w:val="0"/>
              <w:adjustRightInd w:val="0"/>
              <w:snapToGrid w:val="0"/>
              <w:spacing w:line="276" w:lineRule="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2.</w:t>
            </w:r>
            <w:r>
              <w:rPr>
                <w:rFonts w:hint="eastAsia" w:asciiTheme="minorEastAsia" w:hAnsiTheme="minorEastAsia" w:eastAsiaTheme="minorEastAsia" w:cstheme="minorEastAsia"/>
                <w:snapToGrid w:val="0"/>
                <w:color w:val="auto"/>
                <w:kern w:val="0"/>
                <w:sz w:val="24"/>
                <w:szCs w:val="24"/>
                <w:highlight w:val="none"/>
              </w:rPr>
              <w:t>其他情形的，不予计分</w:t>
            </w:r>
            <w:r>
              <w:rPr>
                <w:rFonts w:hint="eastAsia" w:asciiTheme="minorEastAsia" w:hAnsiTheme="minorEastAsia" w:eastAsiaTheme="minorEastAsia" w:cstheme="minorEastAsia"/>
                <w:snapToGrid w:val="0"/>
                <w:color w:val="auto"/>
                <w:kern w:val="0"/>
                <w:sz w:val="24"/>
                <w:szCs w:val="24"/>
                <w:highlight w:val="none"/>
                <w:lang w:eastAsia="zh-CN"/>
              </w:rPr>
              <w:t>。</w:t>
            </w:r>
          </w:p>
          <w:p w14:paraId="7359EEE2">
            <w:pPr>
              <w:pStyle w:val="6"/>
              <w:wordWrap w:val="0"/>
              <w:adjustRightInd w:val="0"/>
              <w:snapToGrid w:val="0"/>
              <w:spacing w:line="276" w:lineRule="auto"/>
              <w:rPr>
                <w:rFonts w:hint="eastAsia" w:asciiTheme="minorEastAsia" w:hAnsiTheme="minorEastAsia" w:eastAsiaTheme="minorEastAsia" w:cstheme="minorEastAsia"/>
                <w:snapToGrid w:val="0"/>
                <w:color w:val="auto"/>
                <w:kern w:val="0"/>
                <w:sz w:val="24"/>
                <w:szCs w:val="24"/>
                <w:highlight w:val="none"/>
                <w:lang w:val="en-US" w:eastAsia="en-US"/>
              </w:rPr>
            </w:pPr>
            <w:r>
              <w:rPr>
                <w:rFonts w:hint="eastAsia" w:ascii="宋体" w:hAnsi="宋体" w:eastAsia="宋体" w:cs="宋体"/>
                <w:snapToGrid w:val="0"/>
                <w:color w:val="auto"/>
                <w:kern w:val="0"/>
                <w:sz w:val="24"/>
                <w:szCs w:val="24"/>
                <w:highlight w:val="none"/>
                <w:lang w:val="en-US" w:eastAsia="en-US" w:bidi="ar-SA"/>
              </w:rPr>
              <w:t>本项最高得</w:t>
            </w:r>
            <w:r>
              <w:rPr>
                <w:rFonts w:hint="eastAsia" w:ascii="宋体" w:hAnsi="宋体" w:eastAsia="宋体" w:cs="宋体"/>
                <w:snapToGrid w:val="0"/>
                <w:color w:val="auto"/>
                <w:kern w:val="0"/>
                <w:sz w:val="24"/>
                <w:szCs w:val="24"/>
                <w:highlight w:val="none"/>
                <w:lang w:val="en-US" w:eastAsia="zh-CN" w:bidi="ar-SA"/>
              </w:rPr>
              <w:t>5</w:t>
            </w:r>
            <w:r>
              <w:rPr>
                <w:rFonts w:hint="eastAsia" w:ascii="宋体" w:hAnsi="宋体" w:eastAsia="宋体" w:cs="宋体"/>
                <w:snapToGrid w:val="0"/>
                <w:color w:val="auto"/>
                <w:kern w:val="0"/>
                <w:sz w:val="24"/>
                <w:szCs w:val="24"/>
                <w:highlight w:val="none"/>
                <w:lang w:val="en-US" w:eastAsia="en-US" w:bidi="ar-SA"/>
              </w:rPr>
              <w:t>分。</w:t>
            </w:r>
          </w:p>
        </w:tc>
        <w:tc>
          <w:tcPr>
            <w:tcW w:w="4731" w:type="dxa"/>
            <w:shd w:val="clear" w:color="auto" w:fill="auto"/>
            <w:noWrap w:val="0"/>
            <w:vAlign w:val="center"/>
          </w:tcPr>
          <w:p w14:paraId="225FA9FC">
            <w:pPr>
              <w:pStyle w:val="6"/>
              <w:keepNext w:val="0"/>
              <w:keepLines/>
              <w:pageBreakBefore w:val="0"/>
              <w:widowControl/>
              <w:kinsoku/>
              <w:wordWrap w:val="0"/>
              <w:overflowPunct/>
              <w:topLinePunct/>
              <w:autoSpaceDE/>
              <w:autoSpaceDN/>
              <w:bidi w:val="0"/>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投标人需提供承诺书（格式自定）并加盖本单位公章。</w:t>
            </w:r>
          </w:p>
          <w:p w14:paraId="4DE6C3A8">
            <w:pPr>
              <w:pStyle w:val="6"/>
              <w:wordWrap w:val="0"/>
              <w:adjustRightInd w:val="0"/>
              <w:snapToGrid w:val="0"/>
              <w:spacing w:line="276" w:lineRule="auto"/>
              <w:rPr>
                <w:rFonts w:hint="eastAsia" w:asciiTheme="minorEastAsia" w:hAnsiTheme="minorEastAsia" w:eastAsiaTheme="minorEastAsia" w:cstheme="minorEastAsia"/>
                <w:snapToGrid w:val="0"/>
                <w:color w:val="auto"/>
                <w:kern w:val="0"/>
                <w:sz w:val="24"/>
                <w:szCs w:val="24"/>
                <w:highlight w:val="none"/>
                <w:lang w:val="en-US" w:eastAsia="en-US" w:bidi="ar-SA"/>
              </w:rPr>
            </w:pPr>
            <w:r>
              <w:rPr>
                <w:rFonts w:hint="eastAsia" w:ascii="宋体" w:hAnsi="宋体" w:eastAsia="宋体" w:cs="宋体"/>
                <w:color w:val="auto"/>
                <w:sz w:val="24"/>
                <w:szCs w:val="24"/>
                <w:highlight w:val="none"/>
                <w:lang w:val="en-US" w:eastAsia="zh-CN"/>
              </w:rPr>
              <w:t>2.投标人</w:t>
            </w:r>
            <w:r>
              <w:rPr>
                <w:rFonts w:hint="eastAsia" w:ascii="宋体" w:hAnsi="宋体" w:eastAsia="宋体" w:cs="宋体"/>
                <w:color w:val="auto"/>
                <w:sz w:val="24"/>
                <w:szCs w:val="24"/>
                <w:highlight w:val="none"/>
                <w:lang w:eastAsia="zh-CN"/>
              </w:rPr>
              <w:t>未提供承诺书并加盖本单位公章的，不予计分。</w:t>
            </w:r>
          </w:p>
        </w:tc>
      </w:tr>
      <w:tr w14:paraId="6880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85" w:type="dxa"/>
            <w:gridSpan w:val="4"/>
            <w:shd w:val="clear" w:color="auto" w:fill="D9D9D9"/>
            <w:noWrap w:val="0"/>
            <w:vAlign w:val="center"/>
          </w:tcPr>
          <w:p w14:paraId="59F35490">
            <w:pPr>
              <w:pStyle w:val="6"/>
              <w:keepNext w:val="0"/>
              <w:keepLines/>
              <w:pageBreakBefore w:val="0"/>
              <w:widowControl/>
              <w:kinsoku/>
              <w:wordWrap w:val="0"/>
              <w:overflowPunct/>
              <w:topLinePunct/>
              <w:autoSpaceDE/>
              <w:autoSpaceDN/>
              <w:bidi w:val="0"/>
              <w:adjustRightInd w:val="0"/>
              <w:snapToGrid w:val="0"/>
              <w:spacing w:line="400" w:lineRule="exact"/>
              <w:jc w:val="left"/>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技术部分（施工组织设计），满分：</w:t>
            </w:r>
            <w:r>
              <w:rPr>
                <w:rFonts w:hint="eastAsia" w:ascii="宋体" w:hAnsi="宋体" w:eastAsia="宋体" w:cs="宋体"/>
                <w:b/>
                <w:bCs/>
                <w:snapToGrid w:val="0"/>
                <w:color w:val="auto"/>
                <w:kern w:val="0"/>
                <w:sz w:val="24"/>
                <w:szCs w:val="24"/>
                <w:highlight w:val="none"/>
                <w:u w:val="single"/>
              </w:rPr>
              <w:t xml:space="preserve"> 20 </w:t>
            </w:r>
            <w:r>
              <w:rPr>
                <w:rFonts w:hint="eastAsia" w:ascii="宋体" w:hAnsi="宋体" w:eastAsia="宋体" w:cs="宋体"/>
                <w:b/>
                <w:bCs/>
                <w:snapToGrid w:val="0"/>
                <w:color w:val="auto"/>
                <w:kern w:val="0"/>
                <w:sz w:val="24"/>
                <w:szCs w:val="24"/>
                <w:highlight w:val="none"/>
              </w:rPr>
              <w:t>分。</w:t>
            </w:r>
          </w:p>
        </w:tc>
      </w:tr>
      <w:tr w14:paraId="67367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67C6ED3B">
            <w:pPr>
              <w:pStyle w:val="6"/>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评分因素</w:t>
            </w:r>
          </w:p>
        </w:tc>
        <w:tc>
          <w:tcPr>
            <w:tcW w:w="3857" w:type="dxa"/>
            <w:noWrap w:val="0"/>
            <w:vAlign w:val="center"/>
          </w:tcPr>
          <w:p w14:paraId="563AD5C4">
            <w:pPr>
              <w:pStyle w:val="6"/>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评分标准</w:t>
            </w:r>
          </w:p>
        </w:tc>
        <w:tc>
          <w:tcPr>
            <w:tcW w:w="4731" w:type="dxa"/>
            <w:noWrap w:val="0"/>
            <w:vAlign w:val="center"/>
          </w:tcPr>
          <w:p w14:paraId="3A9DF52A">
            <w:pPr>
              <w:pStyle w:val="6"/>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备注</w:t>
            </w:r>
          </w:p>
        </w:tc>
      </w:tr>
      <w:tr w14:paraId="6A44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3F24F7A5">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总体概述</w:t>
            </w:r>
          </w:p>
          <w:p w14:paraId="30688C50">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（3分）</w:t>
            </w:r>
          </w:p>
        </w:tc>
        <w:tc>
          <w:tcPr>
            <w:tcW w:w="3857" w:type="dxa"/>
            <w:noWrap w:val="0"/>
            <w:vAlign w:val="center"/>
          </w:tcPr>
          <w:p w14:paraId="3364BF39">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4C6969B5">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554DC88C">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0DCD8E7D">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【差】得该项评分因素分值的</w:t>
            </w:r>
            <w:r>
              <w:rPr>
                <w:rFonts w:hint="eastAsia" w:ascii="宋体" w:hAnsi="宋体" w:eastAsia="宋体" w:cs="宋体"/>
                <w:color w:val="auto"/>
                <w:sz w:val="24"/>
                <w:szCs w:val="24"/>
                <w:highlight w:val="none"/>
                <w:lang w:eastAsia="zh-CN"/>
              </w:rPr>
              <w:t>60%～70%</w:t>
            </w:r>
            <w:r>
              <w:rPr>
                <w:rFonts w:hint="eastAsia" w:ascii="宋体" w:hAnsi="宋体" w:eastAsia="宋体" w:cs="宋体"/>
                <w:color w:val="auto"/>
                <w:sz w:val="24"/>
                <w:szCs w:val="24"/>
                <w:highlight w:val="none"/>
              </w:rPr>
              <w:t>（含60%）。</w:t>
            </w:r>
          </w:p>
        </w:tc>
        <w:tc>
          <w:tcPr>
            <w:tcW w:w="4731" w:type="dxa"/>
            <w:noWrap w:val="0"/>
            <w:vAlign w:val="center"/>
          </w:tcPr>
          <w:p w14:paraId="5ACFFFA7">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【优】对项目总体有深刻认识，表述清晰、完整、严谨、合理，措施先进、具体、有效、成熟，采用了新技术、新工艺、新材料、新设备；施工段划分呼应总体表述，划分清晰、合理，符合规范要求。</w:t>
            </w:r>
          </w:p>
          <w:p w14:paraId="3F0404F0">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【良】对项目总体有一定认识，表述清晰、完整，措施具体有效；施工段划分呼应总体表述，划分清晰，符合规范要求。</w:t>
            </w:r>
          </w:p>
          <w:p w14:paraId="00342E82">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【中】对项目总体有认识，有一定的措施但部分不具体；施工段划分较合理，符合规范要求。</w:t>
            </w:r>
          </w:p>
          <w:p w14:paraId="7F1021FF">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【差】对项目认识不足，表述不清晰，措施不具体；施工段划分不合理。</w:t>
            </w:r>
          </w:p>
        </w:tc>
      </w:tr>
      <w:tr w14:paraId="4322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4C247CBD">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施工总进度计划及保证措施（3分）</w:t>
            </w:r>
          </w:p>
        </w:tc>
        <w:tc>
          <w:tcPr>
            <w:tcW w:w="3857" w:type="dxa"/>
            <w:noWrap w:val="0"/>
            <w:vAlign w:val="center"/>
          </w:tcPr>
          <w:p w14:paraId="770266B0">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5CCDB91D">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1D30E43F">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34E7AFEE">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【差】得该项评分因素分值的</w:t>
            </w:r>
            <w:r>
              <w:rPr>
                <w:rFonts w:hint="eastAsia" w:ascii="宋体" w:hAnsi="宋体" w:eastAsia="宋体" w:cs="宋体"/>
                <w:color w:val="auto"/>
                <w:sz w:val="24"/>
                <w:szCs w:val="24"/>
                <w:highlight w:val="none"/>
                <w:lang w:eastAsia="zh-CN"/>
              </w:rPr>
              <w:t>60%～70%</w:t>
            </w:r>
            <w:r>
              <w:rPr>
                <w:rFonts w:hint="eastAsia" w:ascii="宋体" w:hAnsi="宋体" w:eastAsia="宋体" w:cs="宋体"/>
                <w:color w:val="auto"/>
                <w:sz w:val="24"/>
                <w:szCs w:val="24"/>
                <w:highlight w:val="none"/>
              </w:rPr>
              <w:t>（含60%）。</w:t>
            </w:r>
          </w:p>
        </w:tc>
        <w:tc>
          <w:tcPr>
            <w:tcW w:w="4731" w:type="dxa"/>
            <w:noWrap w:val="0"/>
            <w:vAlign w:val="center"/>
          </w:tcPr>
          <w:p w14:paraId="71C0E691">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【优】关键线路清晰、准确、完整，计划编制合理、可行。关键节点的控制措施有力、合理、可行。人、材、机需求和进场计划与进度计划相呼应，较</w:t>
            </w:r>
            <w:r>
              <w:rPr>
                <w:rFonts w:hint="eastAsia" w:ascii="宋体" w:hAnsi="宋体" w:eastAsia="宋体" w:cs="宋体"/>
                <w:color w:val="auto"/>
                <w:sz w:val="24"/>
                <w:szCs w:val="24"/>
                <w:highlight w:val="none"/>
                <w:lang w:eastAsia="zh-CN"/>
              </w:rPr>
              <w:t>好地</w:t>
            </w:r>
            <w:r>
              <w:rPr>
                <w:rFonts w:hint="eastAsia" w:ascii="宋体" w:hAnsi="宋体" w:eastAsia="宋体" w:cs="宋体"/>
                <w:color w:val="auto"/>
                <w:sz w:val="24"/>
                <w:szCs w:val="24"/>
                <w:highlight w:val="none"/>
              </w:rPr>
              <w:t>满足施工需要，调配投入计划合理、准确。进度违约责任承诺具体，经济赔偿合理。</w:t>
            </w:r>
          </w:p>
          <w:p w14:paraId="2862C9EE">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0D90024E">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【中】关键线路基本准确，计划编制基本合理。关键节点的控制措施基本可行。人、材、机需求和进场计划与进度计划相呼应，基本满足施工需要，调配投入计划基本合理。进度违约责任承诺具体。</w:t>
            </w:r>
          </w:p>
          <w:p w14:paraId="0E8B8B28">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【差】关键线路不准确，计划编制不合理。关键节点的控制不可行。人、材、机需求和进场计划与进度计划不相呼应，不能满足施工需要。没有违约责任承诺。</w:t>
            </w:r>
          </w:p>
        </w:tc>
      </w:tr>
      <w:tr w14:paraId="2310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16E577F4">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质量保证措施（4分）</w:t>
            </w:r>
          </w:p>
        </w:tc>
        <w:tc>
          <w:tcPr>
            <w:tcW w:w="3857" w:type="dxa"/>
            <w:noWrap w:val="0"/>
            <w:vAlign w:val="center"/>
          </w:tcPr>
          <w:p w14:paraId="011A6D61">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63DC1E8D">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1208DA36">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11AA088C">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【差】得该项评分因素分值的</w:t>
            </w:r>
            <w:r>
              <w:rPr>
                <w:rFonts w:hint="eastAsia" w:ascii="宋体" w:hAnsi="宋体" w:eastAsia="宋体" w:cs="宋体"/>
                <w:color w:val="auto"/>
                <w:sz w:val="24"/>
                <w:szCs w:val="24"/>
                <w:highlight w:val="none"/>
                <w:lang w:eastAsia="zh-CN"/>
              </w:rPr>
              <w:t>60%～70%</w:t>
            </w:r>
            <w:r>
              <w:rPr>
                <w:rFonts w:hint="eastAsia" w:ascii="宋体" w:hAnsi="宋体" w:eastAsia="宋体" w:cs="宋体"/>
                <w:color w:val="auto"/>
                <w:sz w:val="24"/>
                <w:szCs w:val="24"/>
                <w:highlight w:val="none"/>
              </w:rPr>
              <w:t>（含60%）。</w:t>
            </w:r>
          </w:p>
        </w:tc>
        <w:tc>
          <w:tcPr>
            <w:tcW w:w="4731" w:type="dxa"/>
            <w:noWrap w:val="0"/>
            <w:vAlign w:val="center"/>
          </w:tcPr>
          <w:p w14:paraId="060958B8">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【优】应用新技术、新工艺、新材料、新设备，针对项目实际提出先进、可行、具体的保证措施。超过招标文件的质量要求。</w:t>
            </w:r>
          </w:p>
          <w:p w14:paraId="230F3AF2">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【良】针对项目实际提出先进、可行、具体的保证措施。满足招标文件的质量要求。</w:t>
            </w:r>
          </w:p>
          <w:p w14:paraId="4DE78161">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【中】具体措施可行。满足招标文件的质量要求。</w:t>
            </w:r>
          </w:p>
          <w:p w14:paraId="460CE27D">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【差】措施不可行，没有质量违约责任承诺。</w:t>
            </w:r>
          </w:p>
        </w:tc>
      </w:tr>
      <w:tr w14:paraId="0655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313E0CE5">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施工技术措施（2分）</w:t>
            </w:r>
          </w:p>
        </w:tc>
        <w:tc>
          <w:tcPr>
            <w:tcW w:w="3857" w:type="dxa"/>
            <w:noWrap w:val="0"/>
            <w:vAlign w:val="center"/>
          </w:tcPr>
          <w:p w14:paraId="4ABCA704">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6EE83A36">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0216168A">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34221D49">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【差】得该项评分因素分值的</w:t>
            </w:r>
            <w:r>
              <w:rPr>
                <w:rFonts w:hint="eastAsia" w:ascii="宋体" w:hAnsi="宋体" w:eastAsia="宋体" w:cs="宋体"/>
                <w:color w:val="auto"/>
                <w:sz w:val="24"/>
                <w:szCs w:val="24"/>
                <w:highlight w:val="none"/>
                <w:lang w:eastAsia="zh-CN"/>
              </w:rPr>
              <w:t>60%～70%</w:t>
            </w:r>
            <w:r>
              <w:rPr>
                <w:rFonts w:hint="eastAsia" w:ascii="宋体" w:hAnsi="宋体" w:eastAsia="宋体" w:cs="宋体"/>
                <w:color w:val="auto"/>
                <w:sz w:val="24"/>
                <w:szCs w:val="24"/>
                <w:highlight w:val="none"/>
              </w:rPr>
              <w:t>（含60%）。</w:t>
            </w:r>
          </w:p>
        </w:tc>
        <w:tc>
          <w:tcPr>
            <w:tcW w:w="4731" w:type="dxa"/>
            <w:noWrap w:val="0"/>
            <w:vAlign w:val="center"/>
          </w:tcPr>
          <w:p w14:paraId="583FBC4A">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2612C1CA">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5B403FA0">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238C2000">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【差】对项目关键技术有表述，对重点、难点有建议，解决方案不可行。采用的新技术针对性不强或验证材料不可靠，对节约投资、工期没有具体收益。无违约责任承诺。</w:t>
            </w:r>
          </w:p>
        </w:tc>
      </w:tr>
      <w:tr w14:paraId="3AD88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7907D147">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绿色施工、安全防护、文明施工措施计划（3分）</w:t>
            </w:r>
          </w:p>
        </w:tc>
        <w:tc>
          <w:tcPr>
            <w:tcW w:w="3857" w:type="dxa"/>
            <w:noWrap w:val="0"/>
            <w:vAlign w:val="center"/>
          </w:tcPr>
          <w:p w14:paraId="20742B3E">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3FA481DE">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51FE07BC">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7025385D">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【差】得该项评分因素分值的</w:t>
            </w:r>
            <w:r>
              <w:rPr>
                <w:rFonts w:hint="eastAsia" w:ascii="宋体" w:hAnsi="宋体" w:eastAsia="宋体" w:cs="宋体"/>
                <w:color w:val="auto"/>
                <w:sz w:val="24"/>
                <w:szCs w:val="24"/>
                <w:highlight w:val="none"/>
                <w:lang w:eastAsia="zh-CN"/>
              </w:rPr>
              <w:t>60%～70%</w:t>
            </w:r>
            <w:r>
              <w:rPr>
                <w:rFonts w:hint="eastAsia" w:ascii="宋体" w:hAnsi="宋体" w:eastAsia="宋体" w:cs="宋体"/>
                <w:color w:val="auto"/>
                <w:sz w:val="24"/>
                <w:szCs w:val="24"/>
                <w:highlight w:val="none"/>
              </w:rPr>
              <w:t>（含60%）。</w:t>
            </w:r>
          </w:p>
        </w:tc>
        <w:tc>
          <w:tcPr>
            <w:tcW w:w="4731" w:type="dxa"/>
            <w:noWrap w:val="0"/>
            <w:vAlign w:val="center"/>
          </w:tcPr>
          <w:p w14:paraId="7F9CDDDA">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【优】针对项目实际情况，有先进、具体、完整、可行的措施，采用规范准确、清晰。</w:t>
            </w:r>
          </w:p>
          <w:p w14:paraId="35110440">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【良】针对项目实际情况，有合理的措施且具体、完整，采用规范准确。</w:t>
            </w:r>
          </w:p>
          <w:p w14:paraId="35DAB90A">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【中】有基本合理的措施，采用规范准确。</w:t>
            </w:r>
          </w:p>
          <w:p w14:paraId="4E6509A5">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【差】措施不力，采用规范不正确。</w:t>
            </w:r>
          </w:p>
        </w:tc>
      </w:tr>
      <w:tr w14:paraId="6E14D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0E00343C">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施工平面布置和临时设施布置</w:t>
            </w:r>
          </w:p>
          <w:p w14:paraId="5611E644">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（2分）</w:t>
            </w:r>
          </w:p>
        </w:tc>
        <w:tc>
          <w:tcPr>
            <w:tcW w:w="3857" w:type="dxa"/>
            <w:noWrap w:val="0"/>
            <w:vAlign w:val="center"/>
          </w:tcPr>
          <w:p w14:paraId="449218FB">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0CA08352">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6D316FBC">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1B2929F4">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【差】得该项评分因素分值的</w:t>
            </w:r>
            <w:r>
              <w:rPr>
                <w:rFonts w:hint="eastAsia" w:ascii="宋体" w:hAnsi="宋体" w:eastAsia="宋体" w:cs="宋体"/>
                <w:color w:val="auto"/>
                <w:sz w:val="24"/>
                <w:szCs w:val="24"/>
                <w:highlight w:val="none"/>
                <w:lang w:eastAsia="zh-CN"/>
              </w:rPr>
              <w:t>60%～70%</w:t>
            </w:r>
            <w:r>
              <w:rPr>
                <w:rFonts w:hint="eastAsia" w:ascii="宋体" w:hAnsi="宋体" w:eastAsia="宋体" w:cs="宋体"/>
                <w:color w:val="auto"/>
                <w:sz w:val="24"/>
                <w:szCs w:val="24"/>
                <w:highlight w:val="none"/>
              </w:rPr>
              <w:t>（含60%）。</w:t>
            </w:r>
          </w:p>
        </w:tc>
        <w:tc>
          <w:tcPr>
            <w:tcW w:w="4731" w:type="dxa"/>
            <w:noWrap w:val="0"/>
            <w:vAlign w:val="center"/>
          </w:tcPr>
          <w:p w14:paraId="4735D05F">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【优】总体布置有针对性、合理，较</w:t>
            </w:r>
            <w:r>
              <w:rPr>
                <w:rFonts w:hint="eastAsia" w:ascii="宋体" w:hAnsi="宋体" w:eastAsia="宋体" w:cs="宋体"/>
                <w:color w:val="auto"/>
                <w:sz w:val="24"/>
                <w:szCs w:val="24"/>
                <w:highlight w:val="none"/>
                <w:lang w:eastAsia="zh-CN"/>
              </w:rPr>
              <w:t>好地</w:t>
            </w:r>
            <w:r>
              <w:rPr>
                <w:rFonts w:hint="eastAsia" w:ascii="宋体" w:hAnsi="宋体" w:eastAsia="宋体" w:cs="宋体"/>
                <w:color w:val="auto"/>
                <w:sz w:val="24"/>
                <w:szCs w:val="24"/>
                <w:highlight w:val="none"/>
              </w:rPr>
              <w:t>满足施工需要，符合绿色施工、安全防护、文明施工要求。</w:t>
            </w:r>
          </w:p>
          <w:p w14:paraId="624B17DC">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【良】总体布置合理，能满足施工需要，基本符合绿色施工、安全防护、文明施工要求。</w:t>
            </w:r>
          </w:p>
          <w:p w14:paraId="717547E3">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【中】总体布置基本合理，基本满足施工需要。</w:t>
            </w:r>
          </w:p>
          <w:p w14:paraId="6EAE0F04">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【差】总体布置不合理，不符合绿色施工、安全防护、文明施工要求。</w:t>
            </w:r>
          </w:p>
        </w:tc>
      </w:tr>
      <w:tr w14:paraId="2EE0F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7B7B587A">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项目管理机构（3分）</w:t>
            </w:r>
          </w:p>
        </w:tc>
        <w:tc>
          <w:tcPr>
            <w:tcW w:w="3857" w:type="dxa"/>
            <w:noWrap w:val="0"/>
            <w:vAlign w:val="center"/>
          </w:tcPr>
          <w:p w14:paraId="475ABEE8">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46CA63D0">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4043350F">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38A94BF0">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【差】得该项评分因素分值的</w:t>
            </w:r>
            <w:r>
              <w:rPr>
                <w:rFonts w:hint="eastAsia" w:ascii="宋体" w:hAnsi="宋体" w:eastAsia="宋体" w:cs="宋体"/>
                <w:color w:val="auto"/>
                <w:sz w:val="24"/>
                <w:szCs w:val="24"/>
                <w:highlight w:val="none"/>
                <w:lang w:eastAsia="zh-CN"/>
              </w:rPr>
              <w:t>60%～70%</w:t>
            </w:r>
            <w:r>
              <w:rPr>
                <w:rFonts w:hint="eastAsia" w:ascii="宋体" w:hAnsi="宋体" w:eastAsia="宋体" w:cs="宋体"/>
                <w:color w:val="auto"/>
                <w:sz w:val="24"/>
                <w:szCs w:val="24"/>
                <w:highlight w:val="none"/>
              </w:rPr>
              <w:t>（含60%）。</w:t>
            </w:r>
          </w:p>
        </w:tc>
        <w:tc>
          <w:tcPr>
            <w:tcW w:w="4731" w:type="dxa"/>
            <w:noWrap w:val="0"/>
            <w:vAlign w:val="center"/>
          </w:tcPr>
          <w:p w14:paraId="4A0DE2A6">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组织机构形式合理，有完善的指挥系统，生产及质量、绿色施工、安全、文明施工、创优达标监控系统、联络协调系统，项目管理人员内高级职称人员20%（含20%）以上、中级职称人员及以上职称60%（含60%）以上。</w:t>
            </w:r>
          </w:p>
          <w:p w14:paraId="1EA3E8EB">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组织机构形式合理，指挥系统，生产及质量、绿色施工、安全、文明施工、创优达标监控系统、联络协调系统齐全，项目管理人员内高级职称人员15%～20%（含15%）、中级职称及以上职称人员50%～60%（含50%）。</w:t>
            </w:r>
          </w:p>
          <w:p w14:paraId="42D17BE4">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组织机构形式基本合理，有指挥系统，生产及质量、绿色施工、安全、文明施工、创优达标监控系统、联络协调系统，项目管理人员内高级职称人员10%～15%（含10%）、中级职称人员及以上职称40%～50%（含40%）。</w:t>
            </w:r>
          </w:p>
          <w:p w14:paraId="7171E247">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【差】组织机构形式合理，指挥系统，生产及质量、绿色施工、安全、文明施工、创优达标监控系统、联络协调系统不齐全，项目管理人员内高级职称人员10%以下、中级职称人员及以上职称40%以下。</w:t>
            </w:r>
          </w:p>
        </w:tc>
      </w:tr>
      <w:tr w14:paraId="249D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85" w:type="dxa"/>
            <w:gridSpan w:val="4"/>
            <w:shd w:val="clear" w:color="auto" w:fill="D9D9D9"/>
            <w:noWrap w:val="0"/>
            <w:vAlign w:val="center"/>
          </w:tcPr>
          <w:p w14:paraId="362C6D8B">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投标报价部分，满分：100分。</w:t>
            </w:r>
          </w:p>
        </w:tc>
      </w:tr>
      <w:tr w14:paraId="4837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0" w:type="dxa"/>
            <w:noWrap w:val="0"/>
            <w:vAlign w:val="center"/>
          </w:tcPr>
          <w:p w14:paraId="46FDE6AB">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评分事项</w:t>
            </w:r>
          </w:p>
        </w:tc>
        <w:tc>
          <w:tcPr>
            <w:tcW w:w="8825" w:type="dxa"/>
            <w:gridSpan w:val="3"/>
            <w:noWrap w:val="0"/>
            <w:vAlign w:val="center"/>
          </w:tcPr>
          <w:p w14:paraId="148A35E7">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评分方法</w:t>
            </w:r>
          </w:p>
        </w:tc>
      </w:tr>
      <w:tr w14:paraId="1365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0" w:type="dxa"/>
            <w:noWrap w:val="0"/>
            <w:vAlign w:val="center"/>
          </w:tcPr>
          <w:p w14:paraId="62A7C6AC">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rPr>
              <w:t>评标基准价D</w:t>
            </w:r>
          </w:p>
        </w:tc>
        <w:tc>
          <w:tcPr>
            <w:tcW w:w="8825" w:type="dxa"/>
            <w:gridSpan w:val="3"/>
            <w:noWrap w:val="0"/>
            <w:vAlign w:val="center"/>
          </w:tcPr>
          <w:p w14:paraId="4E2E9AEF">
            <w:pPr>
              <w:keepNext w:val="0"/>
              <w:keepLines/>
              <w:pageBreakBefore w:val="0"/>
              <w:widowControl/>
              <w:numPr>
                <w:ilvl w:val="0"/>
                <w:numId w:val="2"/>
              </w:numPr>
              <w:kinsoku/>
              <w:wordWrap w:val="0"/>
              <w:overflowPunct/>
              <w:topLinePunct/>
              <w:autoSpaceDE/>
              <w:autoSpaceDN/>
              <w:bidi w:val="0"/>
              <w:adjustRightInd w:val="0"/>
              <w:snapToGrid w:val="0"/>
              <w:spacing w:line="400" w:lineRule="exact"/>
              <w:ind w:firstLine="480"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确定最高投标限价下浮系数n：用1～2</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号球分别代表一个下浮系数，由评委代表从这2</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个号码中随机抽取</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次，每次抽取1个号码，抽出的号球不参与下次抽取。所抽取的3个号码对应下浮系数的算术平均值作为最高投标限价下浮系数n。具体号码对应的下浮系数详见下表：</w:t>
            </w:r>
          </w:p>
          <w:tbl>
            <w:tblPr>
              <w:tblStyle w:val="15"/>
              <w:tblW w:w="0" w:type="auto"/>
              <w:tblInd w:w="361" w:type="dxa"/>
              <w:tblLayout w:type="fixed"/>
              <w:tblCellMar>
                <w:top w:w="0" w:type="dxa"/>
                <w:left w:w="108" w:type="dxa"/>
                <w:bottom w:w="0" w:type="dxa"/>
                <w:right w:w="108" w:type="dxa"/>
              </w:tblCellMar>
            </w:tblPr>
            <w:tblGrid>
              <w:gridCol w:w="1603"/>
              <w:gridCol w:w="794"/>
              <w:gridCol w:w="830"/>
              <w:gridCol w:w="864"/>
              <w:gridCol w:w="848"/>
              <w:gridCol w:w="882"/>
              <w:gridCol w:w="829"/>
              <w:gridCol w:w="819"/>
            </w:tblGrid>
            <w:tr w14:paraId="34015AD7">
              <w:tblPrEx>
                <w:tblCellMar>
                  <w:top w:w="0" w:type="dxa"/>
                  <w:left w:w="108" w:type="dxa"/>
                  <w:bottom w:w="0" w:type="dxa"/>
                  <w:right w:w="108" w:type="dxa"/>
                </w:tblCellMar>
              </w:tblPrEx>
              <w:trPr>
                <w:trHeight w:val="248" w:hRule="atLeast"/>
              </w:trPr>
              <w:tc>
                <w:tcPr>
                  <w:tcW w:w="1603" w:type="dxa"/>
                  <w:tcBorders>
                    <w:top w:val="single" w:color="000000" w:sz="4" w:space="0"/>
                    <w:left w:val="single" w:color="000000" w:sz="4" w:space="0"/>
                    <w:bottom w:val="single" w:color="000000" w:sz="4" w:space="0"/>
                    <w:right w:val="single" w:color="000000" w:sz="4" w:space="0"/>
                  </w:tcBorders>
                  <w:noWrap w:val="0"/>
                  <w:vAlign w:val="center"/>
                </w:tcPr>
                <w:p w14:paraId="6E145824">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b/>
                      <w:snapToGrid w:val="0"/>
                      <w:color w:val="auto"/>
                      <w:kern w:val="0"/>
                      <w:sz w:val="24"/>
                      <w:szCs w:val="24"/>
                      <w:highlight w:val="none"/>
                    </w:rPr>
                  </w:pPr>
                  <w:r>
                    <w:rPr>
                      <w:rFonts w:hint="eastAsia" w:asciiTheme="minorEastAsia" w:hAnsiTheme="minorEastAsia" w:eastAsiaTheme="minorEastAsia" w:cstheme="minorEastAsia"/>
                      <w:bCs/>
                      <w:snapToGrid w:val="0"/>
                      <w:color w:val="auto"/>
                      <w:kern w:val="0"/>
                      <w:sz w:val="24"/>
                      <w:szCs w:val="24"/>
                      <w:highlight w:val="none"/>
                      <w:lang w:bidi="ar"/>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691CE06B">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0233910F">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09E990E">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461B8515">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68D2D01B">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40E2C41">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0C54814">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7</w:t>
                  </w:r>
                </w:p>
              </w:tc>
            </w:tr>
            <w:tr w14:paraId="7D4A8D99">
              <w:tblPrEx>
                <w:tblCellMar>
                  <w:top w:w="0" w:type="dxa"/>
                  <w:left w:w="108" w:type="dxa"/>
                  <w:bottom w:w="0" w:type="dxa"/>
                  <w:right w:w="108" w:type="dxa"/>
                </w:tblCellMar>
              </w:tblPrEx>
              <w:trPr>
                <w:trHeight w:val="575" w:hRule="atLeast"/>
              </w:trPr>
              <w:tc>
                <w:tcPr>
                  <w:tcW w:w="1603" w:type="dxa"/>
                  <w:tcBorders>
                    <w:top w:val="single" w:color="000000" w:sz="4" w:space="0"/>
                    <w:left w:val="single" w:color="000000" w:sz="4" w:space="0"/>
                    <w:bottom w:val="single" w:color="000000" w:sz="4" w:space="0"/>
                    <w:right w:val="single" w:color="000000" w:sz="4" w:space="0"/>
                  </w:tcBorders>
                  <w:noWrap w:val="0"/>
                  <w:vAlign w:val="center"/>
                </w:tcPr>
                <w:p w14:paraId="06F08943">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下浮系数（</w:t>
                  </w:r>
                  <w:r>
                    <w:rPr>
                      <w:rFonts w:hint="eastAsia" w:asciiTheme="minorEastAsia" w:hAnsiTheme="minorEastAsia" w:eastAsiaTheme="minorEastAsia" w:cstheme="minorEastAsia"/>
                      <w:color w:val="auto"/>
                      <w:kern w:val="0"/>
                      <w:sz w:val="24"/>
                      <w:szCs w:val="24"/>
                      <w:highlight w:val="none"/>
                      <w:lang w:bidi="ar"/>
                    </w:rPr>
                    <w:t>%</w:t>
                  </w:r>
                  <w:r>
                    <w:rPr>
                      <w:rFonts w:hint="eastAsia" w:asciiTheme="minorEastAsia" w:hAnsiTheme="minorEastAsia" w:eastAsiaTheme="minorEastAsia" w:cstheme="minorEastAsia"/>
                      <w:snapToGrid w:val="0"/>
                      <w:color w:val="auto"/>
                      <w:kern w:val="0"/>
                      <w:sz w:val="24"/>
                      <w:szCs w:val="24"/>
                      <w:highlight w:val="none"/>
                      <w:lang w:bidi="ar"/>
                    </w:rPr>
                    <w:t>）</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4E10BBCF">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5.00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226989E5">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5.25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26D93A1">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5.50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0007A784">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5.75</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AB2030B">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6.00</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570F175B">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6.25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4BA81A03">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6.50</w:t>
                  </w:r>
                </w:p>
              </w:tc>
            </w:tr>
            <w:tr w14:paraId="73FBA318">
              <w:tblPrEx>
                <w:tblCellMar>
                  <w:top w:w="0" w:type="dxa"/>
                  <w:left w:w="108" w:type="dxa"/>
                  <w:bottom w:w="0" w:type="dxa"/>
                  <w:right w:w="108" w:type="dxa"/>
                </w:tblCellMar>
              </w:tblPrEx>
              <w:trPr>
                <w:trHeight w:val="515" w:hRule="atLeast"/>
              </w:trPr>
              <w:tc>
                <w:tcPr>
                  <w:tcW w:w="1603" w:type="dxa"/>
                  <w:tcBorders>
                    <w:top w:val="single" w:color="000000" w:sz="4" w:space="0"/>
                    <w:left w:val="single" w:color="000000" w:sz="4" w:space="0"/>
                    <w:bottom w:val="single" w:color="000000" w:sz="4" w:space="0"/>
                    <w:right w:val="single" w:color="000000" w:sz="4" w:space="0"/>
                  </w:tcBorders>
                  <w:noWrap w:val="0"/>
                  <w:vAlign w:val="center"/>
                </w:tcPr>
                <w:p w14:paraId="38C8BF6D">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b/>
                      <w:snapToGrid w:val="0"/>
                      <w:color w:val="auto"/>
                      <w:kern w:val="0"/>
                      <w:sz w:val="24"/>
                      <w:szCs w:val="24"/>
                      <w:highlight w:val="none"/>
                    </w:rPr>
                  </w:pPr>
                  <w:r>
                    <w:rPr>
                      <w:rFonts w:hint="eastAsia" w:asciiTheme="minorEastAsia" w:hAnsiTheme="minorEastAsia" w:eastAsiaTheme="minorEastAsia" w:cstheme="minorEastAsia"/>
                      <w:bCs/>
                      <w:snapToGrid w:val="0"/>
                      <w:color w:val="auto"/>
                      <w:kern w:val="0"/>
                      <w:sz w:val="24"/>
                      <w:szCs w:val="24"/>
                      <w:highlight w:val="none"/>
                      <w:lang w:bidi="ar"/>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679D659">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23EC17B8">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363F297">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5DF90D98">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32E7A67B">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72A9E588">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D726CF5">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14</w:t>
                  </w:r>
                </w:p>
              </w:tc>
            </w:tr>
            <w:tr w14:paraId="0038DC2B">
              <w:tblPrEx>
                <w:tblCellMar>
                  <w:top w:w="0" w:type="dxa"/>
                  <w:left w:w="108" w:type="dxa"/>
                  <w:bottom w:w="0" w:type="dxa"/>
                  <w:right w:w="108" w:type="dxa"/>
                </w:tblCellMar>
              </w:tblPrEx>
              <w:trPr>
                <w:trHeight w:val="515" w:hRule="atLeast"/>
              </w:trPr>
              <w:tc>
                <w:tcPr>
                  <w:tcW w:w="1603" w:type="dxa"/>
                  <w:tcBorders>
                    <w:top w:val="single" w:color="000000" w:sz="4" w:space="0"/>
                    <w:left w:val="single" w:color="000000" w:sz="4" w:space="0"/>
                    <w:bottom w:val="single" w:color="000000" w:sz="4" w:space="0"/>
                    <w:right w:val="single" w:color="000000" w:sz="4" w:space="0"/>
                  </w:tcBorders>
                  <w:noWrap w:val="0"/>
                  <w:vAlign w:val="center"/>
                </w:tcPr>
                <w:p w14:paraId="2CEF8A56">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下浮系数（</w:t>
                  </w:r>
                  <w:r>
                    <w:rPr>
                      <w:rFonts w:hint="eastAsia" w:asciiTheme="minorEastAsia" w:hAnsiTheme="minorEastAsia" w:eastAsiaTheme="minorEastAsia" w:cstheme="minorEastAsia"/>
                      <w:color w:val="auto"/>
                      <w:kern w:val="0"/>
                      <w:sz w:val="24"/>
                      <w:szCs w:val="24"/>
                      <w:highlight w:val="none"/>
                      <w:lang w:bidi="ar"/>
                    </w:rPr>
                    <w:t>%</w:t>
                  </w:r>
                  <w:r>
                    <w:rPr>
                      <w:rFonts w:hint="eastAsia" w:asciiTheme="minorEastAsia" w:hAnsiTheme="minorEastAsia" w:eastAsiaTheme="minorEastAsia" w:cstheme="minorEastAsia"/>
                      <w:snapToGrid w:val="0"/>
                      <w:color w:val="auto"/>
                      <w:kern w:val="0"/>
                      <w:sz w:val="24"/>
                      <w:szCs w:val="24"/>
                      <w:highlight w:val="none"/>
                      <w:lang w:bidi="ar"/>
                    </w:rPr>
                    <w:t>）</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326ADA5F">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6.75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285A1B5C">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7.00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BAFF796">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7.25</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6E7C3ACA">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7.50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5699B28A">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7.75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3B9338B">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8.00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3D9B567A">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8.25</w:t>
                  </w:r>
                </w:p>
              </w:tc>
            </w:tr>
            <w:tr w14:paraId="675ECDEE">
              <w:tblPrEx>
                <w:tblCellMar>
                  <w:top w:w="0" w:type="dxa"/>
                  <w:left w:w="108" w:type="dxa"/>
                  <w:bottom w:w="0" w:type="dxa"/>
                  <w:right w:w="108" w:type="dxa"/>
                </w:tblCellMar>
              </w:tblPrEx>
              <w:trPr>
                <w:trHeight w:val="470" w:hRule="atLeast"/>
              </w:trPr>
              <w:tc>
                <w:tcPr>
                  <w:tcW w:w="1603" w:type="dxa"/>
                  <w:tcBorders>
                    <w:top w:val="single" w:color="000000" w:sz="4" w:space="0"/>
                    <w:left w:val="single" w:color="000000" w:sz="4" w:space="0"/>
                    <w:bottom w:val="single" w:color="000000" w:sz="4" w:space="0"/>
                    <w:right w:val="single" w:color="000000" w:sz="4" w:space="0"/>
                  </w:tcBorders>
                  <w:noWrap w:val="0"/>
                  <w:vAlign w:val="center"/>
                </w:tcPr>
                <w:p w14:paraId="01C79FA9">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b/>
                      <w:snapToGrid w:val="0"/>
                      <w:color w:val="auto"/>
                      <w:kern w:val="0"/>
                      <w:sz w:val="24"/>
                      <w:szCs w:val="24"/>
                      <w:highlight w:val="none"/>
                    </w:rPr>
                  </w:pPr>
                  <w:r>
                    <w:rPr>
                      <w:rFonts w:hint="eastAsia" w:asciiTheme="minorEastAsia" w:hAnsiTheme="minorEastAsia" w:eastAsiaTheme="minorEastAsia" w:cstheme="minorEastAsia"/>
                      <w:bCs/>
                      <w:snapToGrid w:val="0"/>
                      <w:color w:val="auto"/>
                      <w:kern w:val="0"/>
                      <w:sz w:val="24"/>
                      <w:szCs w:val="24"/>
                      <w:highlight w:val="none"/>
                      <w:lang w:bidi="ar"/>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4E34952">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26C66A69">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E0104C8">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580D63EF">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060CA240">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F1BCED9">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2C98F4F">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21</w:t>
                  </w:r>
                </w:p>
              </w:tc>
            </w:tr>
            <w:tr w14:paraId="585B80AE">
              <w:tblPrEx>
                <w:tblCellMar>
                  <w:top w:w="0" w:type="dxa"/>
                  <w:left w:w="108" w:type="dxa"/>
                  <w:bottom w:w="0" w:type="dxa"/>
                  <w:right w:w="108" w:type="dxa"/>
                </w:tblCellMar>
              </w:tblPrEx>
              <w:trPr>
                <w:trHeight w:val="600" w:hRule="atLeast"/>
              </w:trPr>
              <w:tc>
                <w:tcPr>
                  <w:tcW w:w="1603" w:type="dxa"/>
                  <w:tcBorders>
                    <w:top w:val="single" w:color="000000" w:sz="4" w:space="0"/>
                    <w:left w:val="single" w:color="000000" w:sz="4" w:space="0"/>
                    <w:bottom w:val="single" w:color="000000" w:sz="4" w:space="0"/>
                    <w:right w:val="single" w:color="000000" w:sz="4" w:space="0"/>
                  </w:tcBorders>
                  <w:noWrap w:val="0"/>
                  <w:vAlign w:val="center"/>
                </w:tcPr>
                <w:p w14:paraId="61DA4A2E">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下浮系数（</w:t>
                  </w:r>
                  <w:r>
                    <w:rPr>
                      <w:rFonts w:hint="eastAsia" w:asciiTheme="minorEastAsia" w:hAnsiTheme="minorEastAsia" w:eastAsiaTheme="minorEastAsia" w:cstheme="minorEastAsia"/>
                      <w:color w:val="auto"/>
                      <w:kern w:val="0"/>
                      <w:sz w:val="24"/>
                      <w:szCs w:val="24"/>
                      <w:highlight w:val="none"/>
                      <w:lang w:bidi="ar"/>
                    </w:rPr>
                    <w:t>%</w:t>
                  </w:r>
                  <w:r>
                    <w:rPr>
                      <w:rFonts w:hint="eastAsia" w:asciiTheme="minorEastAsia" w:hAnsiTheme="minorEastAsia" w:eastAsiaTheme="minorEastAsia" w:cstheme="minorEastAsia"/>
                      <w:snapToGrid w:val="0"/>
                      <w:color w:val="auto"/>
                      <w:kern w:val="0"/>
                      <w:sz w:val="24"/>
                      <w:szCs w:val="24"/>
                      <w:highlight w:val="none"/>
                      <w:lang w:bidi="ar"/>
                    </w:rPr>
                    <w:t>）</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B87183E">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8.50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72045B12">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8.75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ABBE06D">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9.00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198D1E65">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9.25</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2C294D16">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9.50</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9E18ACF">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9.75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504701B">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10.00</w:t>
                  </w:r>
                </w:p>
              </w:tc>
            </w:tr>
          </w:tbl>
          <w:p w14:paraId="7A030ED4">
            <w:pPr>
              <w:keepNext w:val="0"/>
              <w:keepLines/>
              <w:pageBreakBefore w:val="0"/>
              <w:widowControl/>
              <w:kinsoku/>
              <w:wordWrap w:val="0"/>
              <w:overflowPunct/>
              <w:topLinePunct/>
              <w:autoSpaceDE/>
              <w:autoSpaceDN/>
              <w:bidi w:val="0"/>
              <w:adjustRightInd w:val="0"/>
              <w:snapToGrid w:val="0"/>
              <w:spacing w:line="400" w:lineRule="exact"/>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（2）评标基准价D＝最高投标限价×（1－n）</w:t>
            </w:r>
          </w:p>
        </w:tc>
      </w:tr>
      <w:tr w14:paraId="7DE3A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0" w:type="dxa"/>
            <w:noWrap w:val="0"/>
            <w:vAlign w:val="center"/>
          </w:tcPr>
          <w:p w14:paraId="53DCA757">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w:t>
            </w:r>
          </w:p>
          <w:p w14:paraId="05E2891A">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rPr>
              <w:t>得分N</w:t>
            </w:r>
          </w:p>
        </w:tc>
        <w:tc>
          <w:tcPr>
            <w:tcW w:w="8825" w:type="dxa"/>
            <w:gridSpan w:val="3"/>
            <w:noWrap w:val="0"/>
            <w:vAlign w:val="center"/>
          </w:tcPr>
          <w:p w14:paraId="612B5F3B">
            <w:pPr>
              <w:keepNext w:val="0"/>
              <w:keepLines/>
              <w:pageBreakBefore w:val="0"/>
              <w:widowControl/>
              <w:kinsoku/>
              <w:wordWrap w:val="0"/>
              <w:overflowPunct/>
              <w:topLinePunct/>
              <w:autoSpaceDE/>
              <w:autoSpaceDN/>
              <w:bidi w:val="0"/>
              <w:adjustRightInd w:val="0"/>
              <w:snapToGrid w:val="0"/>
              <w:spacing w:line="400" w:lineRule="exact"/>
              <w:ind w:firstLine="480" w:firstLineChars="200"/>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采用内插法计算某投标人的投标报价得分N，即当投标人的投标总价等于评标基准价时得100分，每高于评标基准价一个百分点扣1分，每低于评标基准价一个百分点扣0.5分，扣完为止。公式如下：</w:t>
            </w:r>
          </w:p>
          <w:p w14:paraId="19ECD99A">
            <w:pPr>
              <w:keepNext w:val="0"/>
              <w:keepLines/>
              <w:pageBreakBefore w:val="0"/>
              <w:widowControl/>
              <w:kinsoku/>
              <w:wordWrap w:val="0"/>
              <w:overflowPunct/>
              <w:topLinePunct/>
              <w:autoSpaceDE/>
              <w:autoSpaceDN/>
              <w:bidi w:val="0"/>
              <w:adjustRightInd w:val="0"/>
              <w:snapToGrid w:val="0"/>
              <w:spacing w:line="400" w:lineRule="exact"/>
              <w:ind w:firstLine="480" w:firstLineChars="200"/>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100</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 Di</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D | ÷D</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×100×E</w:t>
            </w:r>
          </w:p>
          <w:p w14:paraId="3DA345F4">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式中：D为评标基准价；Di为某投标人的投标总价；E为扣分因子，当Di＞D时，E＝1；当Di＜D时，E＝0.5。</w:t>
            </w:r>
          </w:p>
        </w:tc>
      </w:tr>
    </w:tbl>
    <w:p w14:paraId="5BCA2282">
      <w:pPr>
        <w:rPr>
          <w:rFonts w:hint="eastAsia" w:ascii="宋体" w:hAnsi="宋体" w:eastAsia="宋体" w:cs="宋体"/>
          <w:b/>
          <w:bCs/>
          <w:color w:val="auto"/>
          <w:spacing w:val="-3"/>
          <w:sz w:val="24"/>
          <w:szCs w:val="24"/>
          <w:highlight w:val="none"/>
        </w:rPr>
      </w:pPr>
    </w:p>
    <w:p w14:paraId="35F9808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0" w:firstLineChars="200"/>
        <w:textAlignment w:val="baseline"/>
        <w:outlineLvl w:val="9"/>
        <w:rPr>
          <w:rFonts w:hint="eastAsia" w:ascii="宋体" w:hAnsi="宋体" w:eastAsia="宋体" w:cs="宋体"/>
          <w:b/>
          <w:bCs/>
          <w:color w:val="auto"/>
          <w:spacing w:val="-3"/>
          <w:sz w:val="24"/>
          <w:szCs w:val="24"/>
          <w:highlight w:val="none"/>
        </w:rPr>
      </w:pPr>
    </w:p>
    <w:p w14:paraId="7F239FA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0" w:firstLineChars="200"/>
        <w:textAlignment w:val="baseline"/>
        <w:outlineLvl w:val="9"/>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15.5.2  </w:t>
      </w:r>
      <w:r>
        <w:rPr>
          <w:rFonts w:hint="eastAsia" w:ascii="宋体" w:hAnsi="宋体" w:eastAsia="宋体" w:cs="宋体"/>
          <w:color w:val="auto"/>
          <w:spacing w:val="-3"/>
          <w:sz w:val="24"/>
          <w:szCs w:val="24"/>
          <w:highlight w:val="none"/>
        </w:rPr>
        <w:t>否决投标说明</w:t>
      </w:r>
      <w:bookmarkEnd w:id="130"/>
      <w:bookmarkEnd w:id="131"/>
      <w:bookmarkEnd w:id="132"/>
      <w:bookmarkEnd w:id="133"/>
    </w:p>
    <w:p w14:paraId="64EE9748">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564"/>
        <w:textAlignment w:val="baseline"/>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详细评审阶段否决投标的全部条件，在本章第四节“否决投标条件 ”第 4 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28A56747">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注：投标人在详细评审阶段根据评分方法提供的佐证材料，其合法性、有效性和准确性不符合要求的，有关量化因素（或评分因素）的折算、调整（或评分）按相应</w:t>
      </w:r>
      <w:r>
        <w:rPr>
          <w:rFonts w:hint="eastAsia" w:ascii="宋体" w:hAnsi="宋体" w:eastAsia="宋体" w:cs="宋体"/>
          <w:b/>
          <w:bCs/>
          <w:color w:val="auto"/>
          <w:spacing w:val="-3"/>
          <w:sz w:val="24"/>
          <w:szCs w:val="24"/>
          <w:highlight w:val="none"/>
        </w:rPr>
        <w:t>量化标准（或评分标准）处理，但不否决投标。</w:t>
      </w:r>
    </w:p>
    <w:p w14:paraId="15E07226">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textAlignment w:val="baseline"/>
        <w:outlineLvl w:val="2"/>
        <w:rPr>
          <w:rFonts w:hint="eastAsia" w:ascii="宋体" w:hAnsi="宋体" w:eastAsia="宋体" w:cs="宋体"/>
          <w:color w:val="auto"/>
          <w:sz w:val="24"/>
          <w:szCs w:val="24"/>
          <w:highlight w:val="none"/>
        </w:rPr>
      </w:pPr>
      <w:bookmarkStart w:id="134" w:name="bookmark137"/>
      <w:bookmarkEnd w:id="134"/>
      <w:bookmarkStart w:id="135" w:name="_Toc27758"/>
      <w:bookmarkStart w:id="136" w:name="_Toc16384"/>
      <w:r>
        <w:rPr>
          <w:rFonts w:hint="eastAsia" w:ascii="宋体" w:hAnsi="宋体" w:eastAsia="宋体" w:cs="宋体"/>
          <w:b/>
          <w:bCs/>
          <w:color w:val="auto"/>
          <w:spacing w:val="-7"/>
          <w:sz w:val="24"/>
          <w:szCs w:val="24"/>
          <w:highlight w:val="none"/>
        </w:rPr>
        <w:t>16</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b/>
          <w:bCs/>
          <w:color w:val="auto"/>
          <w:spacing w:val="-7"/>
          <w:sz w:val="24"/>
          <w:szCs w:val="24"/>
          <w:highlight w:val="none"/>
        </w:rPr>
        <w:t>．中标候选人公示</w:t>
      </w:r>
      <w:bookmarkEnd w:id="135"/>
      <w:bookmarkEnd w:id="136"/>
    </w:p>
    <w:p w14:paraId="41CDC73C">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93"/>
        <w:jc w:val="both"/>
        <w:textAlignment w:val="baseline"/>
        <w:rPr>
          <w:rFonts w:hint="eastAsia" w:ascii="宋体" w:hAnsi="宋体" w:eastAsia="宋体" w:cs="宋体"/>
          <w:color w:val="auto"/>
          <w:spacing w:val="-5"/>
          <w:sz w:val="24"/>
          <w:szCs w:val="24"/>
          <w:highlight w:val="none"/>
        </w:rPr>
      </w:pPr>
      <w:r>
        <w:rPr>
          <w:rFonts w:hint="eastAsia" w:ascii="宋体" w:hAnsi="宋体" w:eastAsia="宋体" w:cs="宋体"/>
          <w:b/>
          <w:bCs/>
          <w:color w:val="auto"/>
          <w:spacing w:val="1"/>
          <w:sz w:val="24"/>
          <w:szCs w:val="24"/>
          <w:highlight w:val="none"/>
        </w:rPr>
        <w:t xml:space="preserve">16.1 </w:t>
      </w:r>
      <w:r>
        <w:rPr>
          <w:rFonts w:hint="eastAsia" w:ascii="宋体" w:hAnsi="宋体" w:eastAsia="宋体" w:cs="宋体"/>
          <w:color w:val="auto"/>
          <w:spacing w:val="-5"/>
          <w:sz w:val="24"/>
          <w:szCs w:val="24"/>
          <w:highlight w:val="none"/>
        </w:rPr>
        <w:t>招标人自收到评标委员会提交的书面评标报告和中标候选人名单之日起3日内，将评标结果（即中标候选人名单）、中标候选人投标文件（指商务标书分册）、评标过程（评标专家姓名用代码标记）一并在广东省招标投标监管网（http://zbtb.gd.gov.c n）、全国公共资源交易平台（广东省·韶关市）（https://ygp.gdzwfw.gov.cn/ggzy-porta l/#/440200/index）进行公示，公示期不得少于3天。</w:t>
      </w:r>
    </w:p>
    <w:p w14:paraId="1A25AA98">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93"/>
        <w:jc w:val="both"/>
        <w:textAlignment w:val="baseline"/>
        <w:rPr>
          <w:rFonts w:hint="eastAsia" w:ascii="宋体" w:hAnsi="宋体" w:eastAsia="宋体" w:cs="宋体"/>
          <w:color w:val="auto"/>
          <w:spacing w:val="-5"/>
          <w:sz w:val="24"/>
          <w:szCs w:val="24"/>
          <w:highlight w:val="none"/>
        </w:rPr>
      </w:pPr>
      <w:r>
        <w:rPr>
          <w:rFonts w:hint="eastAsia" w:ascii="宋体" w:hAnsi="宋体" w:eastAsia="宋体" w:cs="宋体"/>
          <w:b/>
          <w:bCs/>
          <w:color w:val="auto"/>
          <w:spacing w:val="-2"/>
          <w:sz w:val="24"/>
          <w:szCs w:val="24"/>
          <w:highlight w:val="none"/>
        </w:rPr>
        <w:t xml:space="preserve">16.2 </w:t>
      </w:r>
      <w:r>
        <w:rPr>
          <w:rFonts w:hint="eastAsia" w:ascii="宋体" w:hAnsi="宋体" w:eastAsia="宋体" w:cs="宋体"/>
          <w:color w:val="auto"/>
          <w:spacing w:val="-5"/>
          <w:sz w:val="24"/>
          <w:szCs w:val="24"/>
          <w:highlight w:val="none"/>
        </w:rPr>
        <w:t>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法审〔2020〕19号）执行。如通过交易服务平台提出异议，投标人必须上传提交异议书扫描件（作为附件），异议书格式内容按照《韶关市工程建设项目招标投标活动异议和投诉处理办法》（韶法审〔2020〕19号）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344B646E">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2"/>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9"/>
          <w:sz w:val="24"/>
          <w:szCs w:val="24"/>
          <w:highlight w:val="none"/>
        </w:rPr>
        <w:t>16.3</w:t>
      </w:r>
      <w:r>
        <w:rPr>
          <w:rFonts w:hint="eastAsia" w:ascii="宋体" w:hAnsi="宋体" w:eastAsia="宋体" w:cs="宋体"/>
          <w:b/>
          <w:bCs/>
          <w:color w:val="auto"/>
          <w:spacing w:val="24"/>
          <w:w w:val="101"/>
          <w:sz w:val="24"/>
          <w:szCs w:val="24"/>
          <w:highlight w:val="none"/>
        </w:rPr>
        <w:t xml:space="preserve"> </w:t>
      </w:r>
      <w:r>
        <w:rPr>
          <w:rFonts w:hint="eastAsia" w:ascii="宋体" w:hAnsi="宋体" w:eastAsia="宋体" w:cs="宋体"/>
          <w:color w:val="auto"/>
          <w:spacing w:val="-5"/>
          <w:sz w:val="24"/>
          <w:szCs w:val="24"/>
          <w:highlight w:val="none"/>
        </w:rPr>
        <w:t>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3194723E">
      <w:pPr>
        <w:keepNext w:val="0"/>
        <w:keepLines w:val="0"/>
        <w:pageBreakBefore w:val="0"/>
        <w:widowControl w:val="0"/>
        <w:kinsoku/>
        <w:wordWrap w:val="0"/>
        <w:overflowPunct/>
        <w:topLinePunct/>
        <w:autoSpaceDE/>
        <w:autoSpaceDN/>
        <w:bidi w:val="0"/>
        <w:adjustRightInd w:val="0"/>
        <w:snapToGrid w:val="0"/>
        <w:spacing w:line="309" w:lineRule="auto"/>
        <w:ind w:right="84" w:rightChars="40"/>
        <w:rPr>
          <w:rFonts w:hint="eastAsia" w:ascii="宋体" w:hAnsi="宋体" w:eastAsia="宋体" w:cs="宋体"/>
          <w:color w:val="auto"/>
          <w:sz w:val="24"/>
          <w:szCs w:val="24"/>
          <w:highlight w:val="none"/>
        </w:rPr>
        <w:sectPr>
          <w:headerReference r:id="rId8" w:type="default"/>
          <w:footerReference r:id="rId9" w:type="default"/>
          <w:pgSz w:w="11906" w:h="16839"/>
          <w:pgMar w:top="1134" w:right="1193" w:bottom="1134" w:left="1253" w:header="0" w:footer="850" w:gutter="0"/>
          <w:pgBorders>
            <w:top w:val="none" w:sz="0" w:space="0"/>
            <w:left w:val="none" w:sz="0" w:space="0"/>
            <w:bottom w:val="none" w:sz="0" w:space="0"/>
            <w:right w:val="none" w:sz="0" w:space="0"/>
          </w:pgBorders>
          <w:cols w:space="720" w:num="1"/>
          <w:rtlGutter w:val="0"/>
          <w:docGrid w:linePitch="0" w:charSpace="0"/>
        </w:sectPr>
      </w:pPr>
    </w:p>
    <w:p w14:paraId="4DAC490E">
      <w:pPr>
        <w:keepNext w:val="0"/>
        <w:keepLines w:val="0"/>
        <w:pageBreakBefore w:val="0"/>
        <w:widowControl w:val="0"/>
        <w:kinsoku/>
        <w:wordWrap w:val="0"/>
        <w:overflowPunct/>
        <w:topLinePunct/>
        <w:autoSpaceDE/>
        <w:autoSpaceDN/>
        <w:bidi w:val="0"/>
        <w:adjustRightInd w:val="0"/>
        <w:snapToGrid w:val="0"/>
        <w:spacing w:before="78" w:line="220" w:lineRule="auto"/>
        <w:ind w:left="9" w:right="84" w:rightChars="40"/>
        <w:jc w:val="center"/>
        <w:outlineLvl w:val="1"/>
        <w:rPr>
          <w:rFonts w:hint="eastAsia" w:ascii="宋体" w:hAnsi="宋体" w:eastAsia="宋体" w:cs="宋体"/>
          <w:color w:val="auto"/>
          <w:sz w:val="24"/>
          <w:szCs w:val="24"/>
          <w:highlight w:val="none"/>
        </w:rPr>
      </w:pPr>
      <w:bookmarkStart w:id="137" w:name="bookmark138"/>
      <w:bookmarkEnd w:id="137"/>
      <w:bookmarkStart w:id="138" w:name="_Toc4267"/>
      <w:r>
        <w:rPr>
          <w:rFonts w:hint="eastAsia" w:ascii="宋体" w:hAnsi="宋体" w:eastAsia="宋体" w:cs="宋体"/>
          <w:b/>
          <w:bCs/>
          <w:color w:val="auto"/>
          <w:spacing w:val="-3"/>
          <w:sz w:val="24"/>
          <w:szCs w:val="24"/>
          <w:highlight w:val="none"/>
        </w:rPr>
        <w:t>第四节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否决投标条件</w:t>
      </w:r>
      <w:bookmarkEnd w:id="138"/>
    </w:p>
    <w:p w14:paraId="280DAD30">
      <w:pPr>
        <w:pStyle w:val="6"/>
        <w:keepNext w:val="0"/>
        <w:keepLines w:val="0"/>
        <w:pageBreakBefore w:val="0"/>
        <w:widowControl w:val="0"/>
        <w:kinsoku/>
        <w:wordWrap w:val="0"/>
        <w:overflowPunct/>
        <w:topLinePunct/>
        <w:autoSpaceDE/>
        <w:autoSpaceDN/>
        <w:bidi w:val="0"/>
        <w:adjustRightInd w:val="0"/>
        <w:snapToGrid w:val="0"/>
        <w:spacing w:line="256" w:lineRule="auto"/>
        <w:ind w:right="84" w:rightChars="40"/>
        <w:rPr>
          <w:rFonts w:hint="eastAsia" w:ascii="宋体" w:hAnsi="宋体" w:eastAsia="宋体" w:cs="宋体"/>
          <w:color w:val="auto"/>
          <w:highlight w:val="none"/>
        </w:rPr>
      </w:pPr>
    </w:p>
    <w:p w14:paraId="5B75AC09">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本节所集中列示的否决投标条件，是本章第三节“投标人须知正文</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3"/>
          <w:sz w:val="24"/>
          <w:szCs w:val="24"/>
          <w:highlight w:val="none"/>
        </w:rPr>
        <w:t>”的组成部分，</w:t>
      </w:r>
      <w:r>
        <w:rPr>
          <w:rFonts w:hint="eastAsia" w:ascii="宋体" w:hAnsi="宋体" w:eastAsia="宋体" w:cs="宋体"/>
          <w:color w:val="auto"/>
          <w:spacing w:val="-2"/>
          <w:sz w:val="24"/>
          <w:szCs w:val="24"/>
          <w:highlight w:val="none"/>
        </w:rPr>
        <w:t>是对本章第三节所规定的否决投标条件的总</w:t>
      </w:r>
      <w:r>
        <w:rPr>
          <w:rFonts w:hint="eastAsia" w:ascii="宋体" w:hAnsi="宋体" w:eastAsia="宋体" w:cs="宋体"/>
          <w:color w:val="auto"/>
          <w:spacing w:val="-3"/>
          <w:sz w:val="24"/>
          <w:szCs w:val="24"/>
          <w:highlight w:val="none"/>
        </w:rPr>
        <w:t>结和补充。</w:t>
      </w:r>
      <w:r>
        <w:rPr>
          <w:rFonts w:hint="eastAsia" w:ascii="宋体" w:hAnsi="宋体" w:eastAsia="宋体" w:cs="宋体"/>
          <w:b/>
          <w:bCs/>
          <w:color w:val="auto"/>
          <w:spacing w:val="-3"/>
          <w:sz w:val="24"/>
          <w:szCs w:val="24"/>
          <w:highlight w:val="none"/>
        </w:rPr>
        <w:t>投标人未有列入本节情形的，评</w:t>
      </w:r>
      <w:r>
        <w:rPr>
          <w:rFonts w:hint="eastAsia" w:ascii="宋体" w:hAnsi="宋体" w:eastAsia="宋体" w:cs="宋体"/>
          <w:b/>
          <w:bCs/>
          <w:color w:val="auto"/>
          <w:spacing w:val="-2"/>
          <w:sz w:val="24"/>
          <w:szCs w:val="24"/>
          <w:highlight w:val="none"/>
        </w:rPr>
        <w:t>标时一律不得否决其投标。</w:t>
      </w:r>
      <w:r>
        <w:rPr>
          <w:rFonts w:hint="eastAsia" w:ascii="宋体" w:hAnsi="宋体" w:eastAsia="宋体" w:cs="宋体"/>
          <w:color w:val="auto"/>
          <w:spacing w:val="-2"/>
          <w:sz w:val="24"/>
          <w:szCs w:val="24"/>
          <w:highlight w:val="none"/>
        </w:rPr>
        <w:t>本节所称“规定</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”均指招标文件的规</w:t>
      </w:r>
      <w:r>
        <w:rPr>
          <w:rFonts w:hint="eastAsia" w:ascii="宋体" w:hAnsi="宋体" w:eastAsia="宋体" w:cs="宋体"/>
          <w:color w:val="auto"/>
          <w:spacing w:val="-3"/>
          <w:sz w:val="24"/>
          <w:szCs w:val="24"/>
          <w:highlight w:val="none"/>
        </w:rPr>
        <w:t>定。</w:t>
      </w:r>
    </w:p>
    <w:p w14:paraId="2AF16EFD">
      <w:pPr>
        <w:keepNext w:val="0"/>
        <w:keepLines w:val="0"/>
        <w:pageBreakBefore w:val="0"/>
        <w:widowControl w:val="0"/>
        <w:kinsoku/>
        <w:wordWrap w:val="0"/>
        <w:overflowPunct/>
        <w:topLinePunct/>
        <w:autoSpaceDE/>
        <w:autoSpaceDN/>
        <w:bidi w:val="0"/>
        <w:adjustRightInd w:val="0"/>
        <w:snapToGrid w:val="0"/>
        <w:spacing w:line="360" w:lineRule="auto"/>
        <w:ind w:left="495" w:right="84" w:rightChars="40"/>
        <w:textAlignment w:val="baseline"/>
        <w:outlineLvl w:val="2"/>
        <w:rPr>
          <w:rFonts w:hint="eastAsia" w:ascii="宋体" w:hAnsi="宋体" w:eastAsia="宋体" w:cs="宋体"/>
          <w:color w:val="auto"/>
          <w:sz w:val="24"/>
          <w:szCs w:val="24"/>
          <w:highlight w:val="none"/>
        </w:rPr>
      </w:pPr>
      <w:bookmarkStart w:id="139" w:name="_Toc3676"/>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8"/>
          <w:sz w:val="24"/>
          <w:szCs w:val="24"/>
          <w:highlight w:val="none"/>
        </w:rPr>
        <w:t>．资格评审环节</w:t>
      </w:r>
      <w:bookmarkEnd w:id="139"/>
    </w:p>
    <w:p w14:paraId="412E27C5">
      <w:pPr>
        <w:keepNext w:val="0"/>
        <w:keepLines w:val="0"/>
        <w:pageBreakBefore w:val="0"/>
        <w:widowControl w:val="0"/>
        <w:kinsoku/>
        <w:wordWrap w:val="0"/>
        <w:overflowPunct/>
        <w:topLinePunct/>
        <w:autoSpaceDE/>
        <w:autoSpaceDN/>
        <w:bidi w:val="0"/>
        <w:adjustRightInd w:val="0"/>
        <w:snapToGrid w:val="0"/>
        <w:spacing w:line="360" w:lineRule="auto"/>
        <w:ind w:left="13" w:right="84" w:rightChars="40"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投标人有下列情形之一的，评标委员会应否决其投标。被否决的投标人，不进入形</w:t>
      </w:r>
      <w:r>
        <w:rPr>
          <w:rFonts w:hint="eastAsia" w:ascii="宋体" w:hAnsi="宋体" w:eastAsia="宋体" w:cs="宋体"/>
          <w:color w:val="auto"/>
          <w:spacing w:val="-3"/>
          <w:sz w:val="24"/>
          <w:szCs w:val="24"/>
          <w:highlight w:val="none"/>
        </w:rPr>
        <w:t>式评审环节。</w:t>
      </w:r>
    </w:p>
    <w:p w14:paraId="5D298A3C">
      <w:pPr>
        <w:keepNext w:val="0"/>
        <w:keepLines w:val="0"/>
        <w:pageBreakBefore w:val="0"/>
        <w:widowControl w:val="0"/>
        <w:kinsoku/>
        <w:wordWrap w:val="0"/>
        <w:overflowPunct/>
        <w:topLinePunct/>
        <w:autoSpaceDE/>
        <w:autoSpaceDN/>
        <w:bidi w:val="0"/>
        <w:adjustRightInd w:val="0"/>
        <w:snapToGrid w:val="0"/>
        <w:spacing w:line="360" w:lineRule="auto"/>
        <w:ind w:left="50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（1）有本章第三节第</w:t>
      </w:r>
      <w:r>
        <w:rPr>
          <w:rFonts w:hint="eastAsia" w:ascii="宋体" w:hAnsi="宋体" w:eastAsia="宋体" w:cs="宋体"/>
          <w:color w:val="auto"/>
          <w:spacing w:val="-48"/>
          <w:sz w:val="24"/>
          <w:szCs w:val="24"/>
          <w:highlight w:val="none"/>
        </w:rPr>
        <w:t xml:space="preserve"> </w:t>
      </w:r>
      <w:r>
        <w:rPr>
          <w:rFonts w:hint="eastAsia" w:ascii="宋体" w:hAnsi="宋体" w:eastAsia="宋体" w:cs="宋体"/>
          <w:b/>
          <w:bCs/>
          <w:color w:val="auto"/>
          <w:spacing w:val="-2"/>
          <w:sz w:val="24"/>
          <w:szCs w:val="24"/>
          <w:highlight w:val="none"/>
        </w:rPr>
        <w:t xml:space="preserve">2.4 </w:t>
      </w:r>
      <w:r>
        <w:rPr>
          <w:rFonts w:hint="eastAsia" w:ascii="宋体" w:hAnsi="宋体" w:eastAsia="宋体" w:cs="宋体"/>
          <w:color w:val="auto"/>
          <w:spacing w:val="-2"/>
          <w:sz w:val="24"/>
          <w:szCs w:val="24"/>
          <w:highlight w:val="none"/>
        </w:rPr>
        <w:t>条“禁止投标条款</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”规定的任何一种情形；</w:t>
      </w:r>
    </w:p>
    <w:p w14:paraId="4828073F">
      <w:pPr>
        <w:keepNext w:val="0"/>
        <w:keepLines w:val="0"/>
        <w:pageBreakBefore w:val="0"/>
        <w:widowControl w:val="0"/>
        <w:kinsoku/>
        <w:wordWrap w:val="0"/>
        <w:overflowPunct/>
        <w:topLinePunct/>
        <w:autoSpaceDE/>
        <w:autoSpaceDN/>
        <w:bidi w:val="0"/>
        <w:adjustRightInd w:val="0"/>
        <w:snapToGrid w:val="0"/>
        <w:spacing w:line="360" w:lineRule="auto"/>
        <w:ind w:left="50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（2）投标人资质不符合规定的；</w:t>
      </w:r>
    </w:p>
    <w:p w14:paraId="5EACCF59">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（3）投标人名称与营业执照、资质证书、安全生产许可证</w:t>
      </w:r>
      <w:r>
        <w:rPr>
          <w:rFonts w:hint="eastAsia" w:ascii="宋体" w:hAnsi="宋体" w:eastAsia="宋体" w:cs="宋体"/>
          <w:color w:val="auto"/>
          <w:spacing w:val="1"/>
          <w:sz w:val="24"/>
          <w:szCs w:val="24"/>
          <w:highlight w:val="none"/>
          <w:lang w:eastAsia="zh-CN"/>
        </w:rPr>
        <w:t>、</w:t>
      </w:r>
      <w:r>
        <w:rPr>
          <w:rFonts w:hint="eastAsia" w:ascii="宋体" w:hAnsi="宋体" w:cs="宋体"/>
          <w:color w:val="auto"/>
          <w:sz w:val="24"/>
          <w:highlight w:val="none"/>
          <w:u w:val="none"/>
        </w:rPr>
        <w:t>《承装</w:t>
      </w:r>
      <w:r>
        <w:rPr>
          <w:rFonts w:hint="eastAsia" w:ascii="宋体" w:hAnsi="宋体" w:eastAsia="宋体" w:cs="宋体"/>
          <w:color w:val="auto"/>
          <w:sz w:val="24"/>
          <w:highlight w:val="none"/>
          <w:u w:val="none"/>
          <w:lang w:eastAsia="zh-CN"/>
        </w:rPr>
        <w:t>（</w:t>
      </w:r>
      <w:r>
        <w:rPr>
          <w:rFonts w:hint="eastAsia" w:ascii="宋体" w:hAnsi="宋体" w:cs="宋体"/>
          <w:color w:val="auto"/>
          <w:sz w:val="24"/>
          <w:highlight w:val="none"/>
          <w:u w:val="none"/>
        </w:rPr>
        <w:t>修、试</w:t>
      </w:r>
      <w:r>
        <w:rPr>
          <w:rFonts w:hint="eastAsia" w:ascii="宋体" w:hAnsi="宋体" w:eastAsia="宋体" w:cs="宋体"/>
          <w:color w:val="auto"/>
          <w:sz w:val="24"/>
          <w:highlight w:val="none"/>
          <w:u w:val="none"/>
          <w:lang w:eastAsia="zh-CN"/>
        </w:rPr>
        <w:t>）</w:t>
      </w:r>
      <w:r>
        <w:rPr>
          <w:rFonts w:hint="eastAsia" w:ascii="宋体" w:hAnsi="宋体" w:cs="宋体"/>
          <w:color w:val="auto"/>
          <w:sz w:val="24"/>
          <w:highlight w:val="none"/>
          <w:u w:val="none"/>
        </w:rPr>
        <w:t>电力设施许可证》</w:t>
      </w:r>
      <w:r>
        <w:rPr>
          <w:rFonts w:hint="eastAsia" w:ascii="宋体" w:hAnsi="宋体" w:eastAsia="宋体" w:cs="宋体"/>
          <w:color w:val="auto"/>
          <w:spacing w:val="1"/>
          <w:sz w:val="24"/>
          <w:szCs w:val="24"/>
          <w:highlight w:val="none"/>
        </w:rPr>
        <w:t>上的企业名称相互不一致的；其资质证书、安全生产许可证不是由住房城乡建设主管部门颁发的</w:t>
      </w:r>
      <w:r>
        <w:rPr>
          <w:rFonts w:hint="eastAsia" w:ascii="宋体" w:hAnsi="宋体" w:eastAsia="宋体" w:cs="宋体"/>
          <w:color w:val="auto"/>
          <w:spacing w:val="1"/>
          <w:sz w:val="24"/>
          <w:szCs w:val="24"/>
          <w:highlight w:val="none"/>
          <w:lang w:eastAsia="zh-CN"/>
        </w:rPr>
        <w:t>，</w:t>
      </w:r>
      <w:r>
        <w:rPr>
          <w:rFonts w:hint="eastAsia" w:ascii="宋体" w:hAnsi="宋体" w:cs="宋体"/>
          <w:color w:val="auto"/>
          <w:sz w:val="24"/>
          <w:highlight w:val="none"/>
          <w:u w:val="none"/>
        </w:rPr>
        <w:t>《承装</w:t>
      </w:r>
      <w:r>
        <w:rPr>
          <w:rFonts w:hint="eastAsia" w:ascii="宋体" w:hAnsi="宋体" w:eastAsia="宋体" w:cs="宋体"/>
          <w:color w:val="auto"/>
          <w:sz w:val="24"/>
          <w:highlight w:val="none"/>
          <w:u w:val="none"/>
          <w:lang w:eastAsia="zh-CN"/>
        </w:rPr>
        <w:t>（</w:t>
      </w:r>
      <w:r>
        <w:rPr>
          <w:rFonts w:hint="eastAsia" w:ascii="宋体" w:hAnsi="宋体" w:cs="宋体"/>
          <w:color w:val="auto"/>
          <w:sz w:val="24"/>
          <w:highlight w:val="none"/>
          <w:u w:val="none"/>
        </w:rPr>
        <w:t>修、试</w:t>
      </w:r>
      <w:r>
        <w:rPr>
          <w:rFonts w:hint="eastAsia" w:ascii="宋体" w:hAnsi="宋体" w:eastAsia="宋体" w:cs="宋体"/>
          <w:color w:val="auto"/>
          <w:sz w:val="24"/>
          <w:highlight w:val="none"/>
          <w:u w:val="none"/>
          <w:lang w:eastAsia="zh-CN"/>
        </w:rPr>
        <w:t>）</w:t>
      </w:r>
      <w:r>
        <w:rPr>
          <w:rFonts w:hint="eastAsia" w:ascii="宋体" w:hAnsi="宋体" w:cs="宋体"/>
          <w:color w:val="auto"/>
          <w:sz w:val="24"/>
          <w:highlight w:val="none"/>
          <w:u w:val="none"/>
        </w:rPr>
        <w:t>电力设施许可证》</w:t>
      </w:r>
      <w:r>
        <w:rPr>
          <w:rFonts w:hint="eastAsia" w:ascii="宋体" w:hAnsi="宋体" w:eastAsia="宋体" w:cs="宋体"/>
          <w:color w:val="auto"/>
          <w:spacing w:val="1"/>
          <w:sz w:val="24"/>
          <w:szCs w:val="24"/>
          <w:highlight w:val="none"/>
          <w:lang w:eastAsia="zh-CN"/>
        </w:rPr>
        <w:t>不是由国家能源局部门颁发的</w:t>
      </w:r>
      <w:r>
        <w:rPr>
          <w:rFonts w:hint="eastAsia" w:ascii="宋体" w:hAnsi="宋体" w:eastAsia="宋体" w:cs="宋体"/>
          <w:color w:val="auto"/>
          <w:spacing w:val="1"/>
          <w:sz w:val="24"/>
          <w:szCs w:val="24"/>
          <w:highlight w:val="none"/>
        </w:rPr>
        <w:t>；资质证书、安全生产许可证（含实时网页查询页，可参考网址 https://zlaq.mohurd.gov.cn/fwmh/bjxcjgl/fwmh/pages/construction_safety/qyaqscxkz/qyaqscxkz）被吊销、暂扣或不在有效期内的</w:t>
      </w:r>
      <w:r>
        <w:rPr>
          <w:rFonts w:hint="eastAsia" w:ascii="宋体" w:hAnsi="宋体" w:eastAsia="宋体" w:cs="宋体"/>
          <w:color w:val="auto"/>
          <w:spacing w:val="-1"/>
          <w:sz w:val="24"/>
          <w:szCs w:val="24"/>
          <w:highlight w:val="none"/>
        </w:rPr>
        <w:t>；</w:t>
      </w:r>
    </w:p>
    <w:p w14:paraId="718F8CB4">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8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注：投标人已经工商变更，但其企业资质证书、安全生产许可证</w:t>
      </w:r>
      <w:r>
        <w:rPr>
          <w:rFonts w:hint="eastAsia" w:ascii="宋体" w:hAnsi="宋体" w:eastAsia="宋体" w:cs="宋体"/>
          <w:b/>
          <w:bCs/>
          <w:color w:val="auto"/>
          <w:spacing w:val="-4"/>
          <w:sz w:val="24"/>
          <w:szCs w:val="24"/>
          <w:highlight w:val="none"/>
          <w:lang w:eastAsia="zh-CN"/>
        </w:rPr>
        <w:t>、</w:t>
      </w:r>
      <w:r>
        <w:rPr>
          <w:rFonts w:hint="eastAsia" w:ascii="宋体" w:hAnsi="宋体" w:eastAsia="宋体" w:cs="宋体"/>
          <w:b/>
          <w:bCs/>
          <w:color w:val="auto"/>
          <w:spacing w:val="-4"/>
          <w:sz w:val="24"/>
          <w:szCs w:val="24"/>
          <w:highlight w:val="none"/>
        </w:rPr>
        <w:t>《承装</w:t>
      </w:r>
      <w:r>
        <w:rPr>
          <w:rFonts w:hint="eastAsia" w:ascii="宋体" w:hAnsi="宋体" w:eastAsia="宋体" w:cs="宋体"/>
          <w:b/>
          <w:bCs/>
          <w:color w:val="auto"/>
          <w:spacing w:val="-4"/>
          <w:sz w:val="24"/>
          <w:szCs w:val="24"/>
          <w:highlight w:val="none"/>
          <w:lang w:eastAsia="zh-CN"/>
        </w:rPr>
        <w:t>（</w:t>
      </w:r>
      <w:r>
        <w:rPr>
          <w:rFonts w:hint="eastAsia" w:ascii="宋体" w:hAnsi="宋体" w:eastAsia="宋体" w:cs="宋体"/>
          <w:b/>
          <w:bCs/>
          <w:color w:val="auto"/>
          <w:spacing w:val="-4"/>
          <w:sz w:val="24"/>
          <w:szCs w:val="24"/>
          <w:highlight w:val="none"/>
        </w:rPr>
        <w:t>修、试</w:t>
      </w:r>
      <w:r>
        <w:rPr>
          <w:rFonts w:hint="eastAsia" w:ascii="宋体" w:hAnsi="宋体" w:eastAsia="宋体" w:cs="宋体"/>
          <w:b/>
          <w:bCs/>
          <w:color w:val="auto"/>
          <w:spacing w:val="-4"/>
          <w:sz w:val="24"/>
          <w:szCs w:val="24"/>
          <w:highlight w:val="none"/>
          <w:lang w:eastAsia="zh-CN"/>
        </w:rPr>
        <w:t>）</w:t>
      </w:r>
      <w:r>
        <w:rPr>
          <w:rFonts w:hint="eastAsia" w:ascii="宋体" w:hAnsi="宋体" w:eastAsia="宋体" w:cs="宋体"/>
          <w:b/>
          <w:bCs/>
          <w:color w:val="auto"/>
          <w:spacing w:val="-4"/>
          <w:sz w:val="24"/>
          <w:szCs w:val="24"/>
          <w:highlight w:val="none"/>
        </w:rPr>
        <w:t>电力设施许可证》的</w:t>
      </w:r>
      <w:r>
        <w:rPr>
          <w:rFonts w:hint="eastAsia" w:ascii="宋体" w:hAnsi="宋体" w:eastAsia="宋体" w:cs="宋体"/>
          <w:b/>
          <w:bCs/>
          <w:color w:val="auto"/>
          <w:spacing w:val="-5"/>
          <w:sz w:val="24"/>
          <w:szCs w:val="24"/>
          <w:highlight w:val="none"/>
        </w:rPr>
        <w:t>企业名称未完成</w:t>
      </w:r>
      <w:r>
        <w:rPr>
          <w:rFonts w:hint="eastAsia" w:ascii="宋体" w:hAnsi="宋体" w:eastAsia="宋体" w:cs="宋体"/>
          <w:b/>
          <w:bCs/>
          <w:color w:val="auto"/>
          <w:spacing w:val="-4"/>
          <w:sz w:val="24"/>
          <w:szCs w:val="24"/>
          <w:highlight w:val="none"/>
        </w:rPr>
        <w:t>变更的，不得否决其投标；投标人营业执照、资质证书、安全生产许可证</w:t>
      </w:r>
      <w:r>
        <w:rPr>
          <w:rFonts w:hint="eastAsia" w:ascii="宋体" w:hAnsi="宋体" w:eastAsia="宋体" w:cs="宋体"/>
          <w:b/>
          <w:bCs/>
          <w:color w:val="auto"/>
          <w:spacing w:val="-4"/>
          <w:sz w:val="24"/>
          <w:szCs w:val="24"/>
          <w:highlight w:val="none"/>
          <w:lang w:eastAsia="zh-CN"/>
        </w:rPr>
        <w:t>、</w:t>
      </w:r>
      <w:r>
        <w:rPr>
          <w:rFonts w:hint="eastAsia" w:ascii="宋体" w:hAnsi="宋体" w:eastAsia="宋体" w:cs="宋体"/>
          <w:b/>
          <w:bCs/>
          <w:color w:val="auto"/>
          <w:spacing w:val="-4"/>
          <w:sz w:val="24"/>
          <w:szCs w:val="24"/>
          <w:highlight w:val="none"/>
        </w:rPr>
        <w:t>《承装</w:t>
      </w:r>
      <w:r>
        <w:rPr>
          <w:rFonts w:hint="eastAsia" w:ascii="宋体" w:hAnsi="宋体" w:eastAsia="宋体" w:cs="宋体"/>
          <w:b/>
          <w:bCs/>
          <w:color w:val="auto"/>
          <w:spacing w:val="-4"/>
          <w:sz w:val="24"/>
          <w:szCs w:val="24"/>
          <w:highlight w:val="none"/>
          <w:lang w:eastAsia="zh-CN"/>
        </w:rPr>
        <w:t>（</w:t>
      </w:r>
      <w:r>
        <w:rPr>
          <w:rFonts w:hint="eastAsia" w:ascii="宋体" w:hAnsi="宋体" w:eastAsia="宋体" w:cs="宋体"/>
          <w:b/>
          <w:bCs/>
          <w:color w:val="auto"/>
          <w:spacing w:val="-4"/>
          <w:sz w:val="24"/>
          <w:szCs w:val="24"/>
          <w:highlight w:val="none"/>
        </w:rPr>
        <w:t>修、试</w:t>
      </w:r>
      <w:r>
        <w:rPr>
          <w:rFonts w:hint="eastAsia" w:ascii="宋体" w:hAnsi="宋体" w:eastAsia="宋体" w:cs="宋体"/>
          <w:b/>
          <w:bCs/>
          <w:color w:val="auto"/>
          <w:spacing w:val="-4"/>
          <w:sz w:val="24"/>
          <w:szCs w:val="24"/>
          <w:highlight w:val="none"/>
          <w:lang w:eastAsia="zh-CN"/>
        </w:rPr>
        <w:t>）</w:t>
      </w:r>
      <w:r>
        <w:rPr>
          <w:rFonts w:hint="eastAsia" w:ascii="宋体" w:hAnsi="宋体" w:eastAsia="宋体" w:cs="宋体"/>
          <w:b/>
          <w:bCs/>
          <w:color w:val="auto"/>
          <w:spacing w:val="-4"/>
          <w:sz w:val="24"/>
          <w:szCs w:val="24"/>
          <w:highlight w:val="none"/>
        </w:rPr>
        <w:t>电力设施许可证》之间登</w:t>
      </w:r>
      <w:r>
        <w:rPr>
          <w:rFonts w:hint="eastAsia" w:ascii="宋体" w:hAnsi="宋体" w:eastAsia="宋体" w:cs="宋体"/>
          <w:b/>
          <w:bCs/>
          <w:color w:val="auto"/>
          <w:spacing w:val="-5"/>
          <w:sz w:val="24"/>
          <w:szCs w:val="24"/>
          <w:highlight w:val="none"/>
        </w:rPr>
        <w:t>记的信</w:t>
      </w:r>
      <w:r>
        <w:rPr>
          <w:rFonts w:hint="eastAsia" w:ascii="宋体" w:hAnsi="宋体" w:eastAsia="宋体" w:cs="宋体"/>
          <w:b/>
          <w:bCs/>
          <w:color w:val="auto"/>
          <w:spacing w:val="-2"/>
          <w:sz w:val="24"/>
          <w:szCs w:val="24"/>
          <w:highlight w:val="none"/>
        </w:rPr>
        <w:t>息不一致，应当允许投标人澄清，不得直接否决其投</w:t>
      </w:r>
      <w:r>
        <w:rPr>
          <w:rFonts w:hint="eastAsia" w:ascii="宋体" w:hAnsi="宋体" w:eastAsia="宋体" w:cs="宋体"/>
          <w:b/>
          <w:bCs/>
          <w:color w:val="auto"/>
          <w:spacing w:val="-3"/>
          <w:sz w:val="24"/>
          <w:szCs w:val="24"/>
          <w:highlight w:val="none"/>
        </w:rPr>
        <w:t>标。</w:t>
      </w:r>
    </w:p>
    <w:p w14:paraId="0F5A84E8">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90"/>
        <w:textAlignment w:val="baseline"/>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rPr>
        <w:t>（4）拟派项目经理、项目技术负责人、专职安全员的条件不符合规定的；拟派专</w:t>
      </w:r>
      <w:r>
        <w:rPr>
          <w:rFonts w:hint="eastAsia" w:ascii="宋体" w:hAnsi="宋体" w:eastAsia="宋体" w:cs="宋体"/>
          <w:color w:val="auto"/>
          <w:spacing w:val="-2"/>
          <w:sz w:val="24"/>
          <w:szCs w:val="24"/>
          <w:highlight w:val="none"/>
        </w:rPr>
        <w:t>职安全员数量不符合规</w:t>
      </w:r>
      <w:r>
        <w:rPr>
          <w:rFonts w:hint="eastAsia" w:ascii="宋体" w:hAnsi="宋体" w:eastAsia="宋体" w:cs="宋体"/>
          <w:color w:val="auto"/>
          <w:spacing w:val="1"/>
          <w:sz w:val="24"/>
          <w:szCs w:val="24"/>
          <w:highlight w:val="none"/>
        </w:rPr>
        <w:t>定的；项目技术负责人未在投标文件《项目技术负责人简历表》中签</w:t>
      </w:r>
      <w:r>
        <w:rPr>
          <w:rFonts w:hint="eastAsia" w:ascii="宋体" w:hAnsi="宋体" w:eastAsia="宋体" w:cs="宋体"/>
          <w:color w:val="auto"/>
          <w:spacing w:val="1"/>
          <w:sz w:val="24"/>
          <w:szCs w:val="24"/>
          <w:highlight w:val="none"/>
          <w:lang w:eastAsia="zh-CN"/>
        </w:rPr>
        <w:t>字确认。</w:t>
      </w:r>
    </w:p>
    <w:p w14:paraId="6BD07A90">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92"/>
        <w:jc w:val="both"/>
        <w:textAlignment w:val="baseline"/>
        <w:rPr>
          <w:rFonts w:hint="eastAsia" w:ascii="宋体" w:hAnsi="宋体" w:eastAsia="宋体" w:cs="宋体"/>
          <w:b/>
          <w:bCs/>
          <w:color w:val="auto"/>
          <w:spacing w:val="1"/>
          <w:sz w:val="24"/>
          <w:szCs w:val="24"/>
          <w:highlight w:val="none"/>
        </w:rPr>
      </w:pPr>
      <w:r>
        <w:rPr>
          <w:rFonts w:hint="eastAsia" w:ascii="宋体" w:hAnsi="宋体" w:eastAsia="宋体" w:cs="宋体"/>
          <w:b/>
          <w:bCs/>
          <w:color w:val="auto"/>
          <w:spacing w:val="1"/>
          <w:sz w:val="24"/>
          <w:szCs w:val="24"/>
          <w:highlight w:val="none"/>
        </w:rPr>
        <w:t>温馨提示：建造师打印电子证书后，应在个人签名处手写本人签名，未手写签名或与签名图像笔迹不一致的，该电子证书无效。</w:t>
      </w:r>
    </w:p>
    <w:p w14:paraId="04339EB5">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（5）《项目经理简历表》中拟派项目经理与</w:t>
      </w:r>
      <w:r>
        <w:rPr>
          <w:rFonts w:hint="eastAsia" w:ascii="宋体" w:hAnsi="宋体" w:eastAsia="宋体" w:cs="宋体"/>
          <w:color w:val="auto"/>
          <w:spacing w:val="-2"/>
          <w:sz w:val="24"/>
          <w:szCs w:val="24"/>
          <w:highlight w:val="none"/>
        </w:rPr>
        <w:t>《开标一览表》不一致的；拟派的项目经理未在投标文件《项目经理简历表》中签字确认；一级建造师的注册证书不是国家住建部颁发的；二级建造师的电子注册证书不是</w:t>
      </w:r>
      <w:r>
        <w:rPr>
          <w:rFonts w:hint="eastAsia" w:ascii="宋体" w:hAnsi="宋体" w:eastAsia="宋体" w:cs="宋体"/>
          <w:color w:val="auto"/>
          <w:spacing w:val="-2"/>
          <w:sz w:val="24"/>
          <w:szCs w:val="24"/>
          <w:highlight w:val="none"/>
          <w:lang w:eastAsia="zh-CN"/>
        </w:rPr>
        <w:t>省住建厅</w:t>
      </w:r>
      <w:r>
        <w:rPr>
          <w:rFonts w:hint="eastAsia" w:ascii="宋体" w:hAnsi="宋体" w:eastAsia="宋体" w:cs="宋体"/>
          <w:color w:val="auto"/>
          <w:spacing w:val="-2"/>
          <w:sz w:val="24"/>
          <w:szCs w:val="24"/>
          <w:highlight w:val="none"/>
        </w:rPr>
        <w:t>颁发的；建造师的注册单位</w:t>
      </w:r>
      <w:r>
        <w:rPr>
          <w:rFonts w:hint="eastAsia" w:ascii="宋体" w:hAnsi="宋体" w:eastAsia="宋体" w:cs="宋体"/>
          <w:color w:val="auto"/>
          <w:spacing w:val="-8"/>
          <w:sz w:val="24"/>
          <w:szCs w:val="24"/>
          <w:highlight w:val="none"/>
        </w:rPr>
        <w:t>与投标人不一致的；项目管理班子组成人员的各类证书、证件、证明不在有效期内的（</w:t>
      </w:r>
      <w:r>
        <w:rPr>
          <w:rFonts w:hint="eastAsia" w:ascii="宋体" w:hAnsi="宋体" w:eastAsia="宋体" w:cs="宋体"/>
          <w:b/>
          <w:bCs/>
          <w:color w:val="auto"/>
          <w:spacing w:val="-8"/>
          <w:sz w:val="24"/>
          <w:szCs w:val="24"/>
          <w:highlight w:val="none"/>
        </w:rPr>
        <w:t>建造师注册证书不在使用有效期内的</w:t>
      </w:r>
      <w:r>
        <w:rPr>
          <w:rFonts w:hint="eastAsia" w:ascii="宋体" w:hAnsi="宋体" w:eastAsia="宋体" w:cs="宋体"/>
          <w:color w:val="auto"/>
          <w:spacing w:val="-8"/>
          <w:sz w:val="24"/>
          <w:szCs w:val="24"/>
          <w:highlight w:val="none"/>
        </w:rPr>
        <w:t>）；擅</w:t>
      </w:r>
      <w:r>
        <w:rPr>
          <w:rFonts w:hint="eastAsia" w:ascii="宋体" w:hAnsi="宋体" w:eastAsia="宋体" w:cs="宋体"/>
          <w:color w:val="auto"/>
          <w:spacing w:val="-2"/>
          <w:sz w:val="24"/>
          <w:szCs w:val="24"/>
          <w:highlight w:val="none"/>
        </w:rPr>
        <w:t>自修改、遗漏《项</w:t>
      </w:r>
      <w:r>
        <w:rPr>
          <w:rFonts w:hint="eastAsia" w:ascii="宋体" w:hAnsi="宋体" w:eastAsia="宋体" w:cs="宋体"/>
          <w:color w:val="auto"/>
          <w:spacing w:val="-3"/>
          <w:sz w:val="24"/>
          <w:szCs w:val="24"/>
          <w:highlight w:val="none"/>
        </w:rPr>
        <w:t>目经理任职声明》实质性内容的；</w:t>
      </w:r>
    </w:p>
    <w:p w14:paraId="7848904B">
      <w:pPr>
        <w:keepNext w:val="0"/>
        <w:keepLines w:val="0"/>
        <w:pageBreakBefore w:val="0"/>
        <w:widowControl w:val="0"/>
        <w:kinsoku/>
        <w:wordWrap w:val="0"/>
        <w:overflowPunct/>
        <w:topLinePunct/>
        <w:autoSpaceDE/>
        <w:autoSpaceDN/>
        <w:bidi w:val="0"/>
        <w:adjustRightInd w:val="0"/>
        <w:snapToGrid w:val="0"/>
        <w:spacing w:line="360" w:lineRule="auto"/>
        <w:ind w:left="28" w:right="84" w:rightChars="40" w:firstLine="462"/>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注：投标人已经工商变更，但其员工执业资格注册证书的注册单</w:t>
      </w:r>
      <w:r>
        <w:rPr>
          <w:rFonts w:hint="eastAsia" w:ascii="宋体" w:hAnsi="宋体" w:eastAsia="宋体" w:cs="宋体"/>
          <w:b/>
          <w:bCs/>
          <w:color w:val="auto"/>
          <w:spacing w:val="-5"/>
          <w:sz w:val="24"/>
          <w:szCs w:val="24"/>
          <w:highlight w:val="none"/>
        </w:rPr>
        <w:t>位名称未完成变更的，不得否决其投标。</w:t>
      </w:r>
    </w:p>
    <w:p w14:paraId="2084B49D">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422" w:firstLineChars="181"/>
        <w:textAlignment w:val="baseline"/>
        <w:rPr>
          <w:rFonts w:hint="eastAsia" w:ascii="宋体" w:hAnsi="宋体" w:eastAsia="宋体" w:cs="宋体"/>
          <w:color w:val="auto"/>
          <w:sz w:val="24"/>
          <w:szCs w:val="24"/>
          <w:highlight w:val="none"/>
        </w:rPr>
      </w:pPr>
      <w:bookmarkStart w:id="140" w:name="OLE_LINK27"/>
      <w:r>
        <w:rPr>
          <w:rFonts w:hint="eastAsia" w:ascii="宋体" w:hAnsi="宋体" w:eastAsia="宋体" w:cs="宋体"/>
          <w:b/>
          <w:bCs/>
          <w:color w:val="auto"/>
          <w:spacing w:val="-4"/>
          <w:sz w:val="24"/>
          <w:szCs w:val="24"/>
          <w:highlight w:val="none"/>
        </w:rPr>
        <w:t>鉴于目前继续教育开展的实际情况，建筑和市政工程施工现场专</w:t>
      </w:r>
      <w:r>
        <w:rPr>
          <w:rFonts w:hint="eastAsia" w:ascii="宋体" w:hAnsi="宋体" w:eastAsia="宋体" w:cs="宋体"/>
          <w:b/>
          <w:bCs/>
          <w:color w:val="auto"/>
          <w:spacing w:val="-5"/>
          <w:sz w:val="24"/>
          <w:szCs w:val="24"/>
          <w:highlight w:val="none"/>
        </w:rPr>
        <w:t>业人员（例如：施</w:t>
      </w:r>
      <w:bookmarkStart w:id="141" w:name="bookmark139"/>
      <w:bookmarkEnd w:id="141"/>
      <w:r>
        <w:rPr>
          <w:rFonts w:hint="eastAsia" w:ascii="宋体" w:hAnsi="宋体" w:eastAsia="宋体" w:cs="宋体"/>
          <w:b/>
          <w:bCs/>
          <w:color w:val="auto"/>
          <w:spacing w:val="-2"/>
          <w:sz w:val="24"/>
          <w:szCs w:val="24"/>
          <w:highlight w:val="none"/>
        </w:rPr>
        <w:t>工员、质量员、材料员、资料员）的岗位证书或培训证书不审查其证书的有效期。</w:t>
      </w:r>
      <w:bookmarkEnd w:id="140"/>
    </w:p>
    <w:p w14:paraId="2902150F">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lang w:val="en-US" w:eastAsia="zh-CN"/>
        </w:rPr>
        <w:t>6</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联合体投标，未提交《联合体协议书》的；擅自修改、遗漏《联合体协议书》</w:t>
      </w:r>
      <w:r>
        <w:rPr>
          <w:rFonts w:hint="eastAsia" w:ascii="宋体" w:hAnsi="宋体" w:eastAsia="宋体" w:cs="宋体"/>
          <w:color w:val="auto"/>
          <w:spacing w:val="-8"/>
          <w:sz w:val="24"/>
          <w:szCs w:val="24"/>
          <w:highlight w:val="none"/>
        </w:rPr>
        <w:t>实质性</w:t>
      </w:r>
      <w:r>
        <w:rPr>
          <w:rFonts w:hint="eastAsia" w:ascii="宋体" w:hAnsi="宋体" w:eastAsia="宋体" w:cs="宋体"/>
          <w:color w:val="auto"/>
          <w:sz w:val="24"/>
          <w:szCs w:val="24"/>
          <w:highlight w:val="none"/>
        </w:rPr>
        <w:t>内容的；联合体成员的数量、资质不符合规定的；联合体成员同时以自己名义单独投标或者参加其他联合体投标的；</w:t>
      </w:r>
    </w:p>
    <w:p w14:paraId="1F86BC5E">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lang w:val="en-US" w:eastAsia="zh-CN"/>
        </w:rPr>
        <w:t>7</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投标人为外省建筑企业，但未提供“进粤企业和人员诚信信息登记平台</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z w:val="24"/>
          <w:szCs w:val="24"/>
          <w:highlight w:val="none"/>
        </w:rPr>
        <w:t>”企</w:t>
      </w:r>
      <w:r>
        <w:rPr>
          <w:rFonts w:hint="eastAsia" w:ascii="宋体" w:hAnsi="宋体" w:eastAsia="宋体" w:cs="宋体"/>
          <w:color w:val="auto"/>
          <w:spacing w:val="-1"/>
          <w:sz w:val="24"/>
          <w:szCs w:val="24"/>
          <w:highlight w:val="none"/>
        </w:rPr>
        <w:t>业和拟派人员信息情况打印页或网页截图的。</w:t>
      </w:r>
    </w:p>
    <w:p w14:paraId="010688EC">
      <w:pPr>
        <w:keepNext w:val="0"/>
        <w:keepLines w:val="0"/>
        <w:pageBreakBefore w:val="0"/>
        <w:widowControl w:val="0"/>
        <w:kinsoku/>
        <w:wordWrap w:val="0"/>
        <w:overflowPunct/>
        <w:topLinePunct/>
        <w:autoSpaceDE/>
        <w:autoSpaceDN/>
        <w:bidi w:val="0"/>
        <w:adjustRightInd w:val="0"/>
        <w:snapToGrid w:val="0"/>
        <w:spacing w:line="360" w:lineRule="auto"/>
        <w:ind w:left="477" w:right="84" w:rightChars="40"/>
        <w:textAlignment w:val="baseline"/>
        <w:outlineLvl w:val="2"/>
        <w:rPr>
          <w:rFonts w:hint="eastAsia" w:ascii="宋体" w:hAnsi="宋体" w:eastAsia="宋体" w:cs="宋体"/>
          <w:color w:val="auto"/>
          <w:sz w:val="24"/>
          <w:szCs w:val="24"/>
          <w:highlight w:val="none"/>
        </w:rPr>
      </w:pPr>
      <w:bookmarkStart w:id="142" w:name="_Toc29565"/>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．形式评审环节</w:t>
      </w:r>
      <w:bookmarkEnd w:id="142"/>
    </w:p>
    <w:p w14:paraId="66CBFDA5">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投标人有下列情形之一的，评标委员会应否决其投标。被否决的投标人，不进入响应性</w:t>
      </w:r>
      <w:r>
        <w:rPr>
          <w:rFonts w:hint="eastAsia" w:ascii="宋体" w:hAnsi="宋体" w:eastAsia="宋体" w:cs="宋体"/>
          <w:color w:val="auto"/>
          <w:spacing w:val="-8"/>
          <w:sz w:val="24"/>
          <w:szCs w:val="24"/>
          <w:highlight w:val="none"/>
        </w:rPr>
        <w:t>评审</w:t>
      </w:r>
      <w:r>
        <w:rPr>
          <w:rFonts w:hint="eastAsia" w:ascii="宋体" w:hAnsi="宋体" w:eastAsia="宋体" w:cs="宋体"/>
          <w:color w:val="auto"/>
          <w:spacing w:val="-2"/>
          <w:sz w:val="24"/>
          <w:szCs w:val="24"/>
          <w:highlight w:val="none"/>
        </w:rPr>
        <w:t>环节。</w:t>
      </w:r>
    </w:p>
    <w:p w14:paraId="623F64A7">
      <w:pPr>
        <w:keepNext w:val="0"/>
        <w:keepLines w:val="0"/>
        <w:pageBreakBefore w:val="0"/>
        <w:widowControl w:val="0"/>
        <w:kinsoku/>
        <w:wordWrap w:val="0"/>
        <w:overflowPunct/>
        <w:topLinePunct/>
        <w:autoSpaceDE/>
        <w:autoSpaceDN/>
        <w:bidi w:val="0"/>
        <w:adjustRightInd w:val="0"/>
        <w:snapToGrid w:val="0"/>
        <w:spacing w:line="360" w:lineRule="auto"/>
        <w:ind w:left="492"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（1）各分册没按招标文件规定加盖电子印章；</w:t>
      </w:r>
    </w:p>
    <w:p w14:paraId="0EB8FBF5">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（2）本章第三节第</w:t>
      </w:r>
      <w:r>
        <w:rPr>
          <w:rFonts w:hint="eastAsia" w:ascii="宋体" w:hAnsi="宋体" w:eastAsia="宋体" w:cs="宋体"/>
          <w:b/>
          <w:bCs/>
          <w:color w:val="auto"/>
          <w:spacing w:val="-8"/>
          <w:sz w:val="24"/>
          <w:szCs w:val="24"/>
          <w:highlight w:val="none"/>
        </w:rPr>
        <w:t>10.2.2</w:t>
      </w:r>
      <w:r>
        <w:rPr>
          <w:rFonts w:hint="eastAsia" w:ascii="宋体" w:hAnsi="宋体" w:eastAsia="宋体" w:cs="宋体"/>
          <w:color w:val="auto"/>
          <w:spacing w:val="-8"/>
          <w:sz w:val="24"/>
          <w:szCs w:val="24"/>
          <w:highlight w:val="none"/>
        </w:rPr>
        <w:t>目、第</w:t>
      </w:r>
      <w:r>
        <w:rPr>
          <w:rFonts w:hint="eastAsia" w:ascii="宋体" w:hAnsi="宋体" w:eastAsia="宋体" w:cs="宋体"/>
          <w:b/>
          <w:bCs/>
          <w:color w:val="auto"/>
          <w:spacing w:val="-8"/>
          <w:sz w:val="24"/>
          <w:szCs w:val="24"/>
          <w:highlight w:val="none"/>
        </w:rPr>
        <w:t>10.3.2</w:t>
      </w:r>
      <w:r>
        <w:rPr>
          <w:rFonts w:hint="eastAsia" w:ascii="宋体" w:hAnsi="宋体" w:eastAsia="宋体" w:cs="宋体"/>
          <w:color w:val="auto"/>
          <w:spacing w:val="-8"/>
          <w:sz w:val="24"/>
          <w:szCs w:val="24"/>
          <w:highlight w:val="none"/>
        </w:rPr>
        <w:t>目、第</w:t>
      </w:r>
      <w:r>
        <w:rPr>
          <w:rFonts w:hint="eastAsia" w:ascii="宋体" w:hAnsi="宋体" w:eastAsia="宋体" w:cs="宋体"/>
          <w:b/>
          <w:bCs/>
          <w:color w:val="auto"/>
          <w:spacing w:val="-8"/>
          <w:sz w:val="24"/>
          <w:szCs w:val="24"/>
          <w:highlight w:val="none"/>
        </w:rPr>
        <w:t>10.4.3</w:t>
      </w:r>
      <w:r>
        <w:rPr>
          <w:rFonts w:hint="eastAsia" w:ascii="宋体" w:hAnsi="宋体" w:eastAsia="宋体" w:cs="宋体"/>
          <w:color w:val="auto"/>
          <w:spacing w:val="-8"/>
          <w:sz w:val="24"/>
          <w:szCs w:val="24"/>
          <w:highlight w:val="none"/>
        </w:rPr>
        <w:t>目中规定的“所有投标人</w:t>
      </w:r>
      <w:r>
        <w:rPr>
          <w:rFonts w:hint="eastAsia" w:ascii="宋体" w:hAnsi="宋体" w:eastAsia="宋体" w:cs="宋体"/>
          <w:color w:val="auto"/>
          <w:spacing w:val="-1"/>
          <w:sz w:val="24"/>
          <w:szCs w:val="24"/>
          <w:highlight w:val="none"/>
        </w:rPr>
        <w:t>均应提供</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”的组成内容（包括该组成内容的所附资料）中，</w:t>
      </w:r>
      <w:r>
        <w:rPr>
          <w:rFonts w:hint="eastAsia" w:ascii="宋体" w:hAnsi="宋体" w:eastAsia="宋体" w:cs="宋体"/>
          <w:color w:val="auto"/>
          <w:spacing w:val="-2"/>
          <w:sz w:val="24"/>
          <w:szCs w:val="24"/>
          <w:highlight w:val="none"/>
        </w:rPr>
        <w:t>任何一项有缺漏的；</w:t>
      </w:r>
    </w:p>
    <w:p w14:paraId="5C065E88">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（3）关键字迹模糊、无法辨认，且该种过错将导致评标委员会无法判断投标文件是</w:t>
      </w:r>
      <w:r>
        <w:rPr>
          <w:rFonts w:hint="eastAsia" w:ascii="宋体" w:hAnsi="宋体" w:eastAsia="宋体" w:cs="宋体"/>
          <w:color w:val="auto"/>
          <w:spacing w:val="-2"/>
          <w:sz w:val="24"/>
          <w:szCs w:val="24"/>
          <w:highlight w:val="none"/>
        </w:rPr>
        <w:t>否响应招标文件实质性要求的；有涂改、行间插字或删除，但未加盖单</w:t>
      </w:r>
      <w:r>
        <w:rPr>
          <w:rFonts w:hint="eastAsia" w:ascii="宋体" w:hAnsi="宋体" w:eastAsia="宋体" w:cs="宋体"/>
          <w:color w:val="auto"/>
          <w:spacing w:val="-2"/>
          <w:sz w:val="24"/>
          <w:szCs w:val="24"/>
          <w:highlight w:val="none"/>
          <w:lang w:eastAsia="zh-CN"/>
        </w:rPr>
        <w:t>位公</w:t>
      </w:r>
      <w:r>
        <w:rPr>
          <w:rFonts w:hint="eastAsia" w:ascii="宋体" w:hAnsi="宋体" w:eastAsia="宋体" w:cs="宋体"/>
          <w:color w:val="auto"/>
          <w:spacing w:val="-2"/>
          <w:sz w:val="24"/>
          <w:szCs w:val="24"/>
          <w:highlight w:val="none"/>
        </w:rPr>
        <w:t>章或由投标人</w:t>
      </w:r>
      <w:r>
        <w:rPr>
          <w:rFonts w:hint="eastAsia" w:ascii="宋体" w:hAnsi="宋体" w:eastAsia="宋体" w:cs="宋体"/>
          <w:color w:val="auto"/>
          <w:spacing w:val="-1"/>
          <w:sz w:val="24"/>
          <w:szCs w:val="24"/>
          <w:highlight w:val="none"/>
        </w:rPr>
        <w:t>的法定代表人或其委托代理人签字确认的；</w:t>
      </w:r>
    </w:p>
    <w:p w14:paraId="1F2C5C23">
      <w:pPr>
        <w:keepNext w:val="0"/>
        <w:keepLines w:val="0"/>
        <w:pageBreakBefore w:val="0"/>
        <w:widowControl w:val="0"/>
        <w:kinsoku/>
        <w:wordWrap w:val="0"/>
        <w:overflowPunct/>
        <w:topLinePunct/>
        <w:autoSpaceDE/>
        <w:autoSpaceDN/>
        <w:bidi w:val="0"/>
        <w:adjustRightInd w:val="0"/>
        <w:snapToGrid w:val="0"/>
        <w:spacing w:line="360" w:lineRule="auto"/>
        <w:ind w:left="434"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（4）投标文件未按规定签字、盖章的。</w:t>
      </w:r>
    </w:p>
    <w:p w14:paraId="3C2DFCA2">
      <w:pPr>
        <w:keepNext w:val="0"/>
        <w:keepLines w:val="0"/>
        <w:pageBreakBefore w:val="0"/>
        <w:widowControl w:val="0"/>
        <w:kinsoku/>
        <w:wordWrap w:val="0"/>
        <w:overflowPunct/>
        <w:topLinePunct/>
        <w:autoSpaceDE/>
        <w:autoSpaceDN/>
        <w:bidi w:val="0"/>
        <w:adjustRightInd w:val="0"/>
        <w:snapToGrid w:val="0"/>
        <w:spacing w:line="360" w:lineRule="auto"/>
        <w:ind w:left="475" w:right="84" w:rightChars="40"/>
        <w:textAlignment w:val="baseline"/>
        <w:outlineLvl w:val="2"/>
        <w:rPr>
          <w:rFonts w:hint="eastAsia" w:ascii="宋体" w:hAnsi="宋体" w:eastAsia="宋体" w:cs="宋体"/>
          <w:color w:val="auto"/>
          <w:sz w:val="24"/>
          <w:szCs w:val="24"/>
          <w:highlight w:val="none"/>
        </w:rPr>
      </w:pPr>
      <w:bookmarkStart w:id="143" w:name="_Toc4393"/>
      <w:r>
        <w:rPr>
          <w:rFonts w:hint="eastAsia" w:ascii="宋体" w:hAnsi="宋体" w:eastAsia="宋体" w:cs="宋体"/>
          <w:b/>
          <w:bCs/>
          <w:color w:val="auto"/>
          <w:spacing w:val="-6"/>
          <w:sz w:val="24"/>
          <w:szCs w:val="24"/>
          <w:highlight w:val="none"/>
        </w:rPr>
        <w:t>3</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6"/>
          <w:sz w:val="24"/>
          <w:szCs w:val="24"/>
          <w:highlight w:val="none"/>
        </w:rPr>
        <w:t>．响应性评审环节</w:t>
      </w:r>
      <w:bookmarkEnd w:id="143"/>
    </w:p>
    <w:p w14:paraId="2531AAD7">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投标人有下列情形之一的，评标委员会应否决其投标。被否决的投标人，不进入详细评审阶段。</w:t>
      </w:r>
    </w:p>
    <w:p w14:paraId="5B254117">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（1）承诺的投标有效期短于规定的；质量标准低于规定的；工期超出规定的；擅</w:t>
      </w:r>
      <w:r>
        <w:rPr>
          <w:rFonts w:hint="eastAsia" w:ascii="宋体" w:hAnsi="宋体" w:eastAsia="宋体" w:cs="宋体"/>
          <w:color w:val="auto"/>
          <w:spacing w:val="-2"/>
          <w:sz w:val="24"/>
          <w:szCs w:val="24"/>
          <w:highlight w:val="none"/>
        </w:rPr>
        <w:t>自修改、遗漏《投标函》《各项承诺一览表</w:t>
      </w:r>
      <w:r>
        <w:rPr>
          <w:rFonts w:hint="eastAsia" w:ascii="宋体" w:hAnsi="宋体" w:eastAsia="宋体" w:cs="宋体"/>
          <w:color w:val="auto"/>
          <w:spacing w:val="-2"/>
          <w:sz w:val="24"/>
          <w:szCs w:val="24"/>
          <w:highlight w:val="none"/>
          <w:lang w:eastAsia="zh-CN"/>
        </w:rPr>
        <w:t>》等</w:t>
      </w:r>
      <w:r>
        <w:rPr>
          <w:rFonts w:hint="eastAsia" w:ascii="宋体" w:hAnsi="宋体" w:eastAsia="宋体" w:cs="宋体"/>
          <w:color w:val="auto"/>
          <w:spacing w:val="-2"/>
          <w:sz w:val="24"/>
          <w:szCs w:val="24"/>
          <w:highlight w:val="none"/>
        </w:rPr>
        <w:t>实质性内容的；</w:t>
      </w:r>
    </w:p>
    <w:p w14:paraId="01C38438">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（2）编制《投标总价》的造价工程师，其注册证书不是</w:t>
      </w:r>
      <w:r>
        <w:rPr>
          <w:rFonts w:hint="eastAsia" w:ascii="宋体" w:hAnsi="宋体" w:eastAsia="宋体" w:cs="宋体"/>
          <w:b/>
          <w:bCs/>
          <w:color w:val="auto"/>
          <w:spacing w:val="1"/>
          <w:sz w:val="24"/>
          <w:szCs w:val="24"/>
          <w:highlight w:val="none"/>
        </w:rPr>
        <w:t>住建部门</w:t>
      </w:r>
      <w:r>
        <w:rPr>
          <w:rFonts w:hint="eastAsia" w:ascii="宋体" w:hAnsi="宋体" w:eastAsia="宋体" w:cs="宋体"/>
          <w:color w:val="auto"/>
          <w:spacing w:val="1"/>
          <w:sz w:val="24"/>
          <w:szCs w:val="24"/>
          <w:highlight w:val="none"/>
        </w:rPr>
        <w:t>颁发的；其注册</w:t>
      </w:r>
      <w:r>
        <w:rPr>
          <w:rFonts w:hint="eastAsia" w:ascii="宋体" w:hAnsi="宋体" w:eastAsia="宋体" w:cs="宋体"/>
          <w:color w:val="auto"/>
          <w:sz w:val="24"/>
          <w:szCs w:val="24"/>
          <w:highlight w:val="none"/>
        </w:rPr>
        <w:t>单位与投标人（或造价咨询人）不一致的；</w:t>
      </w:r>
      <w:r>
        <w:rPr>
          <w:rFonts w:hint="eastAsia" w:ascii="宋体" w:hAnsi="宋体" w:eastAsia="宋体" w:cs="宋体"/>
          <w:color w:val="auto"/>
          <w:spacing w:val="-1"/>
          <w:sz w:val="24"/>
          <w:szCs w:val="24"/>
          <w:highlight w:val="none"/>
        </w:rPr>
        <w:t>其注册证书不在有效期内的。</w:t>
      </w:r>
    </w:p>
    <w:p w14:paraId="5F673C34">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注：投标人（或造价咨询人）已经工商变更，但其员工的执业资格注</w:t>
      </w:r>
      <w:r>
        <w:rPr>
          <w:rFonts w:hint="eastAsia" w:ascii="宋体" w:hAnsi="宋体" w:eastAsia="宋体" w:cs="宋体"/>
          <w:b/>
          <w:bCs/>
          <w:color w:val="auto"/>
          <w:spacing w:val="-5"/>
          <w:sz w:val="24"/>
          <w:szCs w:val="24"/>
          <w:highlight w:val="none"/>
        </w:rPr>
        <w:t>册证书的注册单位名称未完成变更的，不得否决其投标。此条与10.3.1中的造价工程师执业（含二级造价工程师）指引相一致。</w:t>
      </w:r>
    </w:p>
    <w:p w14:paraId="300F3A4C">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pacing w:val="-8"/>
          <w:sz w:val="24"/>
          <w:szCs w:val="24"/>
          <w:highlight w:val="none"/>
        </w:rPr>
      </w:pPr>
      <w:r>
        <w:rPr>
          <w:rFonts w:hint="eastAsia" w:ascii="宋体" w:hAnsi="宋体" w:eastAsia="宋体" w:cs="宋体"/>
          <w:color w:val="auto"/>
          <w:spacing w:val="1"/>
          <w:sz w:val="24"/>
          <w:szCs w:val="24"/>
          <w:highlight w:val="none"/>
        </w:rPr>
        <w:t>（3）投标人委托造价咨询单位编制《投标总价》，但未在《投标总价》“投标人</w:t>
      </w:r>
      <w:r>
        <w:rPr>
          <w:rFonts w:hint="eastAsia" w:ascii="宋体" w:hAnsi="宋体" w:eastAsia="宋体" w:cs="宋体"/>
          <w:color w:val="auto"/>
          <w:spacing w:val="-86"/>
          <w:sz w:val="24"/>
          <w:szCs w:val="24"/>
          <w:highlight w:val="none"/>
        </w:rPr>
        <w:t xml:space="preserve"> </w:t>
      </w:r>
      <w:r>
        <w:rPr>
          <w:rFonts w:hint="eastAsia" w:ascii="宋体" w:hAnsi="宋体" w:eastAsia="宋体" w:cs="宋体"/>
          <w:color w:val="auto"/>
          <w:spacing w:val="1"/>
          <w:sz w:val="24"/>
          <w:szCs w:val="24"/>
          <w:highlight w:val="none"/>
        </w:rPr>
        <w:t>”栏目加盖造价咨询人公章的；未提</w:t>
      </w:r>
      <w:r>
        <w:rPr>
          <w:rFonts w:hint="eastAsia" w:ascii="宋体" w:hAnsi="宋体" w:eastAsia="宋体" w:cs="宋体"/>
          <w:color w:val="auto"/>
          <w:sz w:val="24"/>
          <w:szCs w:val="24"/>
          <w:highlight w:val="none"/>
        </w:rPr>
        <w:t>供造价咨询人的营业执照副本彩</w:t>
      </w:r>
      <w:r>
        <w:rPr>
          <w:rFonts w:hint="eastAsia" w:ascii="宋体" w:hAnsi="宋体" w:eastAsia="宋体" w:cs="宋体"/>
          <w:color w:val="auto"/>
          <w:spacing w:val="-3"/>
          <w:sz w:val="24"/>
          <w:szCs w:val="24"/>
          <w:highlight w:val="none"/>
        </w:rPr>
        <w:t>色扫描件；</w:t>
      </w:r>
    </w:p>
    <w:p w14:paraId="631AE3F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（4）出现两个或两个以上投标总价的（同一个投标总价大、小写不一致的除外</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2"/>
          <w:sz w:val="24"/>
          <w:szCs w:val="24"/>
          <w:highlight w:val="none"/>
        </w:rPr>
        <w:t>投标总价超出</w:t>
      </w:r>
      <w:r>
        <w:rPr>
          <w:rFonts w:hint="eastAsia" w:ascii="宋体" w:hAnsi="宋体" w:eastAsia="宋体" w:cs="宋体"/>
          <w:b/>
          <w:bCs/>
          <w:color w:val="auto"/>
          <w:spacing w:val="-2"/>
          <w:sz w:val="24"/>
          <w:szCs w:val="24"/>
          <w:highlight w:val="none"/>
          <w:lang w:val="en-US" w:eastAsia="zh-CN"/>
        </w:rPr>
        <w:t>最高投标限价</w:t>
      </w:r>
      <w:r>
        <w:rPr>
          <w:rFonts w:hint="eastAsia" w:ascii="宋体" w:hAnsi="宋体" w:eastAsia="宋体" w:cs="宋体"/>
          <w:color w:val="auto"/>
          <w:spacing w:val="-2"/>
          <w:sz w:val="24"/>
          <w:szCs w:val="24"/>
          <w:highlight w:val="none"/>
        </w:rPr>
        <w:t>的；</w:t>
      </w:r>
      <w:r>
        <w:rPr>
          <w:rFonts w:hint="eastAsia" w:ascii="宋体" w:hAnsi="宋体" w:eastAsia="宋体" w:cs="宋体"/>
          <w:color w:val="auto"/>
          <w:spacing w:val="-2"/>
          <w:sz w:val="24"/>
          <w:szCs w:val="24"/>
          <w:highlight w:val="none"/>
          <w:lang w:eastAsia="zh-CN"/>
        </w:rPr>
        <w:t>安全生产措施费</w:t>
      </w:r>
      <w:r>
        <w:rPr>
          <w:rFonts w:hint="eastAsia" w:ascii="宋体" w:hAnsi="宋体" w:eastAsia="宋体" w:cs="宋体"/>
          <w:color w:val="auto"/>
          <w:spacing w:val="-2"/>
          <w:sz w:val="24"/>
          <w:szCs w:val="24"/>
          <w:highlight w:val="none"/>
        </w:rPr>
        <w:t>少于规定的；暂列金额、暂估</w:t>
      </w:r>
      <w:r>
        <w:rPr>
          <w:rFonts w:hint="eastAsia" w:ascii="宋体" w:hAnsi="宋体" w:eastAsia="宋体" w:cs="宋体"/>
          <w:color w:val="auto"/>
          <w:spacing w:val="-3"/>
          <w:sz w:val="24"/>
          <w:szCs w:val="24"/>
          <w:highlight w:val="none"/>
        </w:rPr>
        <w:t>价未按照招标工程量清单统一报价的；投标总价下浮率超过15%，又未提供相应书面说</w:t>
      </w:r>
      <w:r>
        <w:rPr>
          <w:rFonts w:hint="eastAsia" w:ascii="宋体" w:hAnsi="宋体" w:eastAsia="宋体" w:cs="宋体"/>
          <w:color w:val="auto"/>
          <w:spacing w:val="-2"/>
          <w:sz w:val="24"/>
          <w:szCs w:val="24"/>
          <w:highlight w:val="none"/>
        </w:rPr>
        <w:t>明和佐证材料或提供的书面说明和佐证材料不能令人信服，被评标委员会认定以低于成</w:t>
      </w:r>
      <w:r>
        <w:rPr>
          <w:rFonts w:hint="eastAsia" w:ascii="宋体" w:hAnsi="宋体" w:eastAsia="宋体" w:cs="宋体"/>
          <w:color w:val="auto"/>
          <w:sz w:val="24"/>
          <w:szCs w:val="24"/>
          <w:highlight w:val="none"/>
        </w:rPr>
        <w:t>本报价竞标的；擅自修改、增减招标工程量清单</w:t>
      </w:r>
      <w:r>
        <w:rPr>
          <w:rFonts w:hint="eastAsia" w:ascii="宋体" w:hAnsi="宋体" w:eastAsia="宋体" w:cs="宋体"/>
          <w:color w:val="auto"/>
          <w:spacing w:val="-1"/>
          <w:sz w:val="24"/>
          <w:szCs w:val="24"/>
          <w:highlight w:val="none"/>
        </w:rPr>
        <w:t>项目（包括措施项目）的；</w:t>
      </w:r>
    </w:p>
    <w:p w14:paraId="048EBE0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（5）在施工组织设计评审中，评标委员会认定质量、进度保障措施与国家和省市</w:t>
      </w:r>
      <w:r>
        <w:rPr>
          <w:rFonts w:hint="eastAsia" w:ascii="宋体" w:hAnsi="宋体" w:eastAsia="宋体" w:cs="宋体"/>
          <w:color w:val="auto"/>
          <w:spacing w:val="-3"/>
          <w:sz w:val="24"/>
          <w:szCs w:val="24"/>
          <w:highlight w:val="none"/>
        </w:rPr>
        <w:t>现行有关规范、规定、标准有重大偏差，</w:t>
      </w:r>
      <w:r>
        <w:rPr>
          <w:rFonts w:hint="eastAsia" w:ascii="宋体" w:hAnsi="宋体" w:eastAsia="宋体" w:cs="宋体"/>
          <w:b/>
          <w:bCs/>
          <w:color w:val="auto"/>
          <w:spacing w:val="-3"/>
          <w:sz w:val="24"/>
          <w:szCs w:val="24"/>
          <w:highlight w:val="none"/>
        </w:rPr>
        <w:t>且该种过错将导致工程质量、进度管理目标无</w:t>
      </w:r>
      <w:r>
        <w:rPr>
          <w:rFonts w:hint="eastAsia" w:ascii="宋体" w:hAnsi="宋体" w:eastAsia="宋体" w:cs="宋体"/>
          <w:b/>
          <w:bCs/>
          <w:color w:val="auto"/>
          <w:spacing w:val="-4"/>
          <w:sz w:val="24"/>
          <w:szCs w:val="24"/>
          <w:highlight w:val="none"/>
        </w:rPr>
        <w:t>法实现的</w:t>
      </w:r>
      <w:r>
        <w:rPr>
          <w:rFonts w:hint="eastAsia" w:ascii="宋体" w:hAnsi="宋体" w:eastAsia="宋体" w:cs="宋体"/>
          <w:color w:val="auto"/>
          <w:spacing w:val="-4"/>
          <w:sz w:val="24"/>
          <w:szCs w:val="24"/>
          <w:highlight w:val="none"/>
        </w:rPr>
        <w:t>。</w:t>
      </w:r>
    </w:p>
    <w:p w14:paraId="6014273F">
      <w:pPr>
        <w:keepNext w:val="0"/>
        <w:keepLines w:val="0"/>
        <w:pageBreakBefore w:val="0"/>
        <w:widowControl w:val="0"/>
        <w:kinsoku/>
        <w:wordWrap w:val="0"/>
        <w:overflowPunct/>
        <w:topLinePunct/>
        <w:autoSpaceDE/>
        <w:autoSpaceDN/>
        <w:bidi w:val="0"/>
        <w:adjustRightInd w:val="0"/>
        <w:snapToGrid w:val="0"/>
        <w:spacing w:line="360" w:lineRule="auto"/>
        <w:ind w:left="476" w:right="84" w:rightChars="40"/>
        <w:textAlignment w:val="baseline"/>
        <w:outlineLvl w:val="2"/>
        <w:rPr>
          <w:rFonts w:hint="eastAsia" w:ascii="宋体" w:hAnsi="宋体" w:eastAsia="宋体" w:cs="宋体"/>
          <w:color w:val="auto"/>
          <w:sz w:val="24"/>
          <w:szCs w:val="24"/>
          <w:highlight w:val="none"/>
        </w:rPr>
      </w:pPr>
      <w:bookmarkStart w:id="144" w:name="_Toc23021"/>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11"/>
          <w:sz w:val="24"/>
          <w:szCs w:val="24"/>
          <w:highlight w:val="none"/>
        </w:rPr>
        <w:t>．其他</w:t>
      </w:r>
      <w:bookmarkEnd w:id="144"/>
    </w:p>
    <w:p w14:paraId="3865FA7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在任何评标环节（或阶段</w:t>
      </w:r>
      <w:r>
        <w:rPr>
          <w:rFonts w:hint="eastAsia" w:ascii="宋体" w:hAnsi="宋体" w:eastAsia="宋体" w:cs="宋体"/>
          <w:color w:val="auto"/>
          <w:spacing w:val="-36"/>
          <w:sz w:val="24"/>
          <w:szCs w:val="24"/>
          <w:highlight w:val="none"/>
        </w:rPr>
        <w:t>），</w:t>
      </w:r>
      <w:r>
        <w:rPr>
          <w:rFonts w:hint="eastAsia" w:ascii="宋体" w:hAnsi="宋体" w:eastAsia="宋体" w:cs="宋体"/>
          <w:color w:val="auto"/>
          <w:spacing w:val="-4"/>
          <w:sz w:val="24"/>
          <w:szCs w:val="24"/>
          <w:highlight w:val="none"/>
        </w:rPr>
        <w:t>投标人有下列情形之一的，评标委员会应否</w:t>
      </w:r>
      <w:r>
        <w:rPr>
          <w:rFonts w:hint="eastAsia" w:ascii="宋体" w:hAnsi="宋体" w:eastAsia="宋体" w:cs="宋体"/>
          <w:color w:val="auto"/>
          <w:spacing w:val="-5"/>
          <w:sz w:val="24"/>
          <w:szCs w:val="24"/>
          <w:highlight w:val="none"/>
        </w:rPr>
        <w:t>决其投标。</w:t>
      </w:r>
      <w:r>
        <w:rPr>
          <w:rFonts w:hint="eastAsia" w:ascii="宋体" w:hAnsi="宋体" w:eastAsia="宋体" w:cs="宋体"/>
          <w:color w:val="auto"/>
          <w:spacing w:val="-1"/>
          <w:sz w:val="24"/>
          <w:szCs w:val="24"/>
          <w:highlight w:val="none"/>
        </w:rPr>
        <w:t>被否决的投标人，不进入下一环节（或阶段）。</w:t>
      </w:r>
    </w:p>
    <w:p w14:paraId="1938581D">
      <w:pPr>
        <w:keepNext w:val="0"/>
        <w:keepLines w:val="0"/>
        <w:pageBreakBefore w:val="0"/>
        <w:widowControl w:val="0"/>
        <w:kinsoku/>
        <w:wordWrap w:val="0"/>
        <w:overflowPunct/>
        <w:topLinePunct/>
        <w:autoSpaceDE/>
        <w:autoSpaceDN/>
        <w:bidi w:val="0"/>
        <w:adjustRightInd w:val="0"/>
        <w:snapToGrid w:val="0"/>
        <w:spacing w:line="360" w:lineRule="auto"/>
        <w:ind w:left="491"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（1）不按评标委员会要求澄清、说明或补正的；</w:t>
      </w:r>
    </w:p>
    <w:p w14:paraId="5D6D1552">
      <w:pPr>
        <w:keepNext w:val="0"/>
        <w:keepLines w:val="0"/>
        <w:pageBreakBefore w:val="0"/>
        <w:widowControl w:val="0"/>
        <w:kinsoku/>
        <w:wordWrap w:val="0"/>
        <w:overflowPunct/>
        <w:topLinePunct/>
        <w:autoSpaceDE/>
        <w:autoSpaceDN/>
        <w:bidi w:val="0"/>
        <w:adjustRightInd w:val="0"/>
        <w:snapToGrid w:val="0"/>
        <w:spacing w:line="360" w:lineRule="auto"/>
        <w:ind w:left="491"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（2）有下列情形之一，被评标委员会认定属于串通投标的：</w:t>
      </w:r>
    </w:p>
    <w:p w14:paraId="785E9E8A">
      <w:pPr>
        <w:keepNext w:val="0"/>
        <w:keepLines w:val="0"/>
        <w:pageBreakBefore w:val="0"/>
        <w:widowControl w:val="0"/>
        <w:kinsoku/>
        <w:wordWrap w:val="0"/>
        <w:overflowPunct/>
        <w:topLinePunct/>
        <w:autoSpaceDE/>
        <w:autoSpaceDN/>
        <w:bidi w:val="0"/>
        <w:adjustRightInd w:val="0"/>
        <w:snapToGrid w:val="0"/>
        <w:spacing w:line="360" w:lineRule="auto"/>
        <w:ind w:left="479"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①不同投标人的投标文件两处以上（含两处）错、漏一致；</w:t>
      </w:r>
    </w:p>
    <w:p w14:paraId="17DFFFE8">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②不同投标人的投标总价相近且各分项报价、综合单价分析表内容混乱不能相互对</w:t>
      </w:r>
      <w:r>
        <w:rPr>
          <w:rFonts w:hint="eastAsia" w:ascii="宋体" w:hAnsi="宋体" w:eastAsia="宋体" w:cs="宋体"/>
          <w:color w:val="auto"/>
          <w:spacing w:val="-6"/>
          <w:sz w:val="24"/>
          <w:szCs w:val="24"/>
          <w:highlight w:val="none"/>
        </w:rPr>
        <w:t>应、乱调乱压或乱抬的，而在询标时没有合理的解释或者不能提供计算依据和</w:t>
      </w:r>
      <w:r>
        <w:rPr>
          <w:rFonts w:hint="eastAsia" w:ascii="宋体" w:hAnsi="宋体" w:eastAsia="宋体" w:cs="宋体"/>
          <w:color w:val="auto"/>
          <w:spacing w:val="-7"/>
          <w:sz w:val="24"/>
          <w:szCs w:val="24"/>
          <w:highlight w:val="none"/>
        </w:rPr>
        <w:t>报价依据；</w:t>
      </w:r>
    </w:p>
    <w:p w14:paraId="4641AC89">
      <w:pPr>
        <w:keepNext w:val="0"/>
        <w:keepLines w:val="0"/>
        <w:pageBreakBefore w:val="0"/>
        <w:widowControl w:val="0"/>
        <w:kinsoku/>
        <w:wordWrap w:val="0"/>
        <w:overflowPunct/>
        <w:topLinePunct/>
        <w:autoSpaceDE/>
        <w:autoSpaceDN/>
        <w:bidi w:val="0"/>
        <w:adjustRightInd w:val="0"/>
        <w:snapToGrid w:val="0"/>
        <w:spacing w:line="360" w:lineRule="auto"/>
        <w:ind w:left="47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③不同投标人的投标各项报价存在异常一致</w:t>
      </w:r>
      <w:r>
        <w:rPr>
          <w:rFonts w:hint="eastAsia" w:ascii="宋体" w:hAnsi="宋体" w:eastAsia="宋体" w:cs="宋体"/>
          <w:color w:val="auto"/>
          <w:spacing w:val="-1"/>
          <w:sz w:val="24"/>
          <w:szCs w:val="24"/>
          <w:highlight w:val="none"/>
        </w:rPr>
        <w:t>或者呈规律性变化；</w:t>
      </w:r>
    </w:p>
    <w:p w14:paraId="72937E6F">
      <w:pPr>
        <w:keepNext w:val="0"/>
        <w:keepLines w:val="0"/>
        <w:pageBreakBefore w:val="0"/>
        <w:widowControl w:val="0"/>
        <w:kinsoku/>
        <w:wordWrap w:val="0"/>
        <w:overflowPunct/>
        <w:topLinePunct/>
        <w:autoSpaceDE/>
        <w:autoSpaceDN/>
        <w:bidi w:val="0"/>
        <w:adjustRightInd w:val="0"/>
        <w:snapToGrid w:val="0"/>
        <w:spacing w:line="360" w:lineRule="auto"/>
        <w:ind w:left="47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④不同投标人的投标文件由同一单位或者同一个人编制；</w:t>
      </w:r>
    </w:p>
    <w:p w14:paraId="069538DF">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⑤不同投标人的投标文件中投标资料（包括电子资料）相互混装或项目班子成员出</w:t>
      </w:r>
      <w:r>
        <w:rPr>
          <w:rFonts w:hint="eastAsia" w:ascii="宋体" w:hAnsi="宋体" w:eastAsia="宋体" w:cs="宋体"/>
          <w:color w:val="auto"/>
          <w:spacing w:val="-3"/>
          <w:sz w:val="24"/>
          <w:szCs w:val="24"/>
          <w:highlight w:val="none"/>
        </w:rPr>
        <w:t>现同一人；</w:t>
      </w:r>
    </w:p>
    <w:p w14:paraId="7110CF5D">
      <w:pPr>
        <w:keepNext w:val="0"/>
        <w:keepLines w:val="0"/>
        <w:pageBreakBefore w:val="0"/>
        <w:widowControl w:val="0"/>
        <w:kinsoku/>
        <w:wordWrap w:val="0"/>
        <w:overflowPunct/>
        <w:topLinePunct/>
        <w:autoSpaceDE/>
        <w:autoSpaceDN/>
        <w:bidi w:val="0"/>
        <w:adjustRightInd w:val="0"/>
        <w:snapToGrid w:val="0"/>
        <w:spacing w:line="360" w:lineRule="auto"/>
        <w:ind w:left="3"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⑥不同投标人的投标文件由同一电脑编制或同一台附属设备打印，或投标报价用同</w:t>
      </w:r>
      <w:r>
        <w:rPr>
          <w:rFonts w:hint="eastAsia" w:ascii="宋体" w:hAnsi="宋体" w:eastAsia="宋体" w:cs="宋体"/>
          <w:color w:val="auto"/>
          <w:spacing w:val="-1"/>
          <w:sz w:val="24"/>
          <w:szCs w:val="24"/>
          <w:highlight w:val="none"/>
        </w:rPr>
        <w:t>一个预算编制软件密码锁制作或出自同一电子文档；</w:t>
      </w:r>
    </w:p>
    <w:p w14:paraId="3C56F78F">
      <w:pPr>
        <w:keepNext w:val="0"/>
        <w:keepLines w:val="0"/>
        <w:pageBreakBefore w:val="0"/>
        <w:widowControl w:val="0"/>
        <w:kinsoku/>
        <w:wordWrap w:val="0"/>
        <w:overflowPunct/>
        <w:topLinePunct/>
        <w:autoSpaceDE/>
        <w:autoSpaceDN/>
        <w:bidi w:val="0"/>
        <w:adjustRightInd w:val="0"/>
        <w:snapToGrid w:val="0"/>
        <w:spacing w:line="360" w:lineRule="auto"/>
        <w:ind w:left="47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⑦不同投标人的投标保证由同一企业或同一账户资金缴纳；</w:t>
      </w:r>
    </w:p>
    <w:p w14:paraId="7832FF2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⑧不同投标人委托同一个人或注册在同一家企业的注册人员或同一家企业为其投</w:t>
      </w:r>
      <w:r>
        <w:rPr>
          <w:rFonts w:hint="eastAsia" w:ascii="宋体" w:hAnsi="宋体" w:eastAsia="宋体" w:cs="宋体"/>
          <w:color w:val="auto"/>
          <w:spacing w:val="-2"/>
          <w:sz w:val="24"/>
          <w:szCs w:val="24"/>
          <w:highlight w:val="none"/>
        </w:rPr>
        <w:t>标提供投标咨询、商务报价、技术咨询（招标项目本身要求采用专有技术的除外）等服</w:t>
      </w:r>
      <w:r>
        <w:rPr>
          <w:rFonts w:hint="eastAsia" w:ascii="宋体" w:hAnsi="宋体" w:eastAsia="宋体" w:cs="宋体"/>
          <w:color w:val="auto"/>
          <w:spacing w:val="-6"/>
          <w:sz w:val="24"/>
          <w:szCs w:val="24"/>
          <w:highlight w:val="none"/>
        </w:rPr>
        <w:t>务。</w:t>
      </w:r>
    </w:p>
    <w:p w14:paraId="2747928F">
      <w:pPr>
        <w:keepNext w:val="0"/>
        <w:keepLines w:val="0"/>
        <w:pageBreakBefore w:val="0"/>
        <w:widowControl w:val="0"/>
        <w:kinsoku/>
        <w:wordWrap w:val="0"/>
        <w:overflowPunct/>
        <w:topLinePunct/>
        <w:autoSpaceDE/>
        <w:autoSpaceDN/>
        <w:bidi w:val="0"/>
        <w:adjustRightInd w:val="0"/>
        <w:snapToGrid w:val="0"/>
        <w:spacing w:line="360" w:lineRule="auto"/>
        <w:ind w:right="84" w:rightChars="40"/>
        <w:textAlignment w:val="baseline"/>
        <w:rPr>
          <w:rFonts w:hint="eastAsia" w:ascii="宋体" w:hAnsi="宋体" w:eastAsia="宋体" w:cs="宋体"/>
          <w:color w:val="auto"/>
          <w:sz w:val="24"/>
          <w:szCs w:val="24"/>
          <w:highlight w:val="none"/>
        </w:rPr>
        <w:sectPr>
          <w:footerReference r:id="rId10" w:type="default"/>
          <w:pgSz w:w="11906" w:h="16839"/>
          <w:pgMar w:top="1440" w:right="946" w:bottom="1440" w:left="1080" w:header="0" w:footer="1023" w:gutter="0"/>
          <w:pgBorders>
            <w:top w:val="none" w:sz="0" w:space="0"/>
            <w:left w:val="none" w:sz="0" w:space="0"/>
            <w:bottom w:val="none" w:sz="0" w:space="0"/>
            <w:right w:val="none" w:sz="0" w:space="0"/>
          </w:pgBorders>
          <w:cols w:space="720" w:num="1"/>
        </w:sectPr>
      </w:pPr>
    </w:p>
    <w:p w14:paraId="01697762">
      <w:pPr>
        <w:keepNext w:val="0"/>
        <w:keepLines w:val="0"/>
        <w:pageBreakBefore w:val="0"/>
        <w:widowControl w:val="0"/>
        <w:kinsoku/>
        <w:wordWrap w:val="0"/>
        <w:overflowPunct/>
        <w:topLinePunct/>
        <w:autoSpaceDE/>
        <w:autoSpaceDN/>
        <w:bidi w:val="0"/>
        <w:adjustRightInd w:val="0"/>
        <w:snapToGrid w:val="0"/>
        <w:spacing w:line="360" w:lineRule="auto"/>
        <w:ind w:left="3525" w:right="84" w:rightChars="40"/>
        <w:textAlignment w:val="baseline"/>
        <w:outlineLvl w:val="0"/>
        <w:rPr>
          <w:rFonts w:hint="eastAsia" w:ascii="宋体" w:hAnsi="宋体" w:eastAsia="宋体" w:cs="宋体"/>
          <w:color w:val="auto"/>
          <w:sz w:val="24"/>
          <w:szCs w:val="24"/>
          <w:highlight w:val="none"/>
        </w:rPr>
      </w:pPr>
      <w:bookmarkStart w:id="145" w:name="bookmark57"/>
      <w:bookmarkEnd w:id="145"/>
      <w:bookmarkStart w:id="146" w:name="_Toc16250"/>
      <w:r>
        <w:rPr>
          <w:rFonts w:hint="eastAsia" w:ascii="宋体" w:hAnsi="宋体" w:eastAsia="宋体" w:cs="宋体"/>
          <w:b/>
          <w:bCs/>
          <w:color w:val="auto"/>
          <w:spacing w:val="-7"/>
          <w:sz w:val="24"/>
          <w:szCs w:val="24"/>
          <w:highlight w:val="none"/>
        </w:rPr>
        <w:t>第二章</w:t>
      </w:r>
      <w:r>
        <w:rPr>
          <w:rFonts w:hint="eastAsia" w:ascii="宋体" w:hAnsi="宋体" w:eastAsia="宋体" w:cs="宋体"/>
          <w:color w:val="auto"/>
          <w:spacing w:val="32"/>
          <w:sz w:val="24"/>
          <w:szCs w:val="24"/>
          <w:highlight w:val="none"/>
        </w:rPr>
        <w:t xml:space="preserve"> </w:t>
      </w:r>
      <w:r>
        <w:rPr>
          <w:rFonts w:hint="eastAsia" w:ascii="宋体" w:hAnsi="宋体" w:eastAsia="宋体" w:cs="宋体"/>
          <w:b/>
          <w:bCs/>
          <w:color w:val="auto"/>
          <w:spacing w:val="-7"/>
          <w:sz w:val="24"/>
          <w:szCs w:val="24"/>
          <w:highlight w:val="none"/>
        </w:rPr>
        <w:t>中标人须知</w:t>
      </w:r>
      <w:bookmarkEnd w:id="146"/>
    </w:p>
    <w:p w14:paraId="32764E95">
      <w:pPr>
        <w:keepNext w:val="0"/>
        <w:keepLines w:val="0"/>
        <w:pageBreakBefore w:val="0"/>
        <w:widowControl w:val="0"/>
        <w:kinsoku/>
        <w:wordWrap w:val="0"/>
        <w:overflowPunct/>
        <w:topLinePunct/>
        <w:autoSpaceDE/>
        <w:autoSpaceDN/>
        <w:bidi w:val="0"/>
        <w:adjustRightInd w:val="0"/>
        <w:snapToGrid w:val="0"/>
        <w:spacing w:line="360" w:lineRule="auto"/>
        <w:ind w:left="582" w:right="84" w:rightChars="40"/>
        <w:textAlignment w:val="baseline"/>
        <w:outlineLvl w:val="2"/>
        <w:rPr>
          <w:rFonts w:hint="eastAsia" w:ascii="宋体" w:hAnsi="宋体" w:eastAsia="宋体" w:cs="宋体"/>
          <w:color w:val="auto"/>
          <w:sz w:val="24"/>
          <w:szCs w:val="24"/>
          <w:highlight w:val="none"/>
        </w:rPr>
      </w:pPr>
      <w:bookmarkStart w:id="147" w:name="_Toc8118"/>
      <w:r>
        <w:rPr>
          <w:rFonts w:hint="eastAsia" w:ascii="宋体" w:hAnsi="宋体" w:eastAsia="宋体" w:cs="宋体"/>
          <w:b/>
          <w:bCs/>
          <w:color w:val="auto"/>
          <w:spacing w:val="-9"/>
          <w:sz w:val="24"/>
          <w:szCs w:val="24"/>
          <w:highlight w:val="none"/>
        </w:rPr>
        <w:t>1</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9"/>
          <w:sz w:val="24"/>
          <w:szCs w:val="24"/>
          <w:highlight w:val="none"/>
        </w:rPr>
        <w:t>．中标通知书</w:t>
      </w:r>
      <w:bookmarkEnd w:id="147"/>
    </w:p>
    <w:p w14:paraId="3C904830">
      <w:pPr>
        <w:keepNext w:val="0"/>
        <w:keepLines w:val="0"/>
        <w:pageBreakBefore w:val="0"/>
        <w:widowControl w:val="0"/>
        <w:kinsoku/>
        <w:wordWrap w:val="0"/>
        <w:overflowPunct/>
        <w:topLinePunct/>
        <w:autoSpaceDE/>
        <w:autoSpaceDN/>
        <w:bidi w:val="0"/>
        <w:adjustRightInd w:val="0"/>
        <w:snapToGrid w:val="0"/>
        <w:spacing w:line="360" w:lineRule="auto"/>
        <w:ind w:left="17" w:right="84" w:rightChars="40" w:firstLine="559"/>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招标人确定第一中标候选人为中标人，并在中标人确定之日起</w:t>
      </w:r>
      <w:r>
        <w:rPr>
          <w:rFonts w:hint="eastAsia" w:ascii="宋体" w:hAnsi="宋体" w:eastAsia="宋体" w:cs="宋体"/>
          <w:color w:val="auto"/>
          <w:spacing w:val="-49"/>
          <w:sz w:val="24"/>
          <w:szCs w:val="24"/>
          <w:highlight w:val="none"/>
        </w:rPr>
        <w:t xml:space="preserve"> </w:t>
      </w:r>
      <w:r>
        <w:rPr>
          <w:rFonts w:hint="eastAsia" w:ascii="宋体" w:hAnsi="宋体" w:eastAsia="宋体" w:cs="宋体"/>
          <w:color w:val="auto"/>
          <w:spacing w:val="1"/>
          <w:sz w:val="24"/>
          <w:szCs w:val="24"/>
          <w:highlight w:val="none"/>
        </w:rPr>
        <w:t>7日内向中</w:t>
      </w:r>
      <w:r>
        <w:rPr>
          <w:rFonts w:hint="eastAsia" w:ascii="宋体" w:hAnsi="宋体" w:eastAsia="宋体" w:cs="宋体"/>
          <w:color w:val="auto"/>
          <w:sz w:val="24"/>
          <w:szCs w:val="24"/>
          <w:highlight w:val="none"/>
        </w:rPr>
        <w:t>标人发</w:t>
      </w:r>
      <w:r>
        <w:rPr>
          <w:rFonts w:hint="eastAsia" w:ascii="宋体" w:hAnsi="宋体" w:eastAsia="宋体" w:cs="宋体"/>
          <w:color w:val="auto"/>
          <w:spacing w:val="-3"/>
          <w:sz w:val="24"/>
          <w:szCs w:val="24"/>
          <w:highlight w:val="none"/>
        </w:rPr>
        <w:t>出中标通知书，中标人必须按韶关市公共资源交易中心的规定办理相关手续后方可领取。</w:t>
      </w:r>
      <w:r>
        <w:rPr>
          <w:rFonts w:hint="eastAsia" w:ascii="宋体" w:hAnsi="宋体" w:eastAsia="宋体" w:cs="宋体"/>
          <w:color w:val="auto"/>
          <w:spacing w:val="-2"/>
          <w:sz w:val="24"/>
          <w:szCs w:val="24"/>
          <w:highlight w:val="none"/>
        </w:rPr>
        <w:t>中标通知书对招标人和中标人均具有法律约束力。中标通知书发出后，招标人改变中标</w:t>
      </w:r>
      <w:r>
        <w:rPr>
          <w:rFonts w:hint="eastAsia" w:ascii="宋体" w:hAnsi="宋体" w:eastAsia="宋体" w:cs="宋体"/>
          <w:color w:val="auto"/>
          <w:spacing w:val="-1"/>
          <w:sz w:val="24"/>
          <w:szCs w:val="24"/>
          <w:highlight w:val="none"/>
        </w:rPr>
        <w:t>结果和中标人放弃中标的，应当承担法律责任。</w:t>
      </w:r>
    </w:p>
    <w:p w14:paraId="473F5174">
      <w:pPr>
        <w:pStyle w:val="6"/>
        <w:keepNext w:val="0"/>
        <w:keepLines w:val="0"/>
        <w:pageBreakBefore w:val="0"/>
        <w:widowControl w:val="0"/>
        <w:kinsoku/>
        <w:wordWrap w:val="0"/>
        <w:overflowPunct/>
        <w:topLinePunct/>
        <w:autoSpaceDE/>
        <w:autoSpaceDN/>
        <w:bidi w:val="0"/>
        <w:adjustRightInd w:val="0"/>
        <w:snapToGrid w:val="0"/>
        <w:spacing w:line="360" w:lineRule="auto"/>
        <w:ind w:right="84" w:rightChars="40"/>
        <w:textAlignment w:val="baseline"/>
        <w:rPr>
          <w:rFonts w:hint="eastAsia" w:ascii="宋体" w:hAnsi="宋体" w:eastAsia="宋体" w:cs="宋体"/>
          <w:color w:val="auto"/>
          <w:highlight w:val="none"/>
        </w:rPr>
      </w:pPr>
    </w:p>
    <w:p w14:paraId="07848F9F">
      <w:pPr>
        <w:keepNext w:val="0"/>
        <w:keepLines w:val="0"/>
        <w:pageBreakBefore w:val="0"/>
        <w:widowControl w:val="0"/>
        <w:kinsoku/>
        <w:wordWrap w:val="0"/>
        <w:overflowPunct/>
        <w:topLinePunct/>
        <w:autoSpaceDE/>
        <w:autoSpaceDN/>
        <w:bidi w:val="0"/>
        <w:adjustRightInd w:val="0"/>
        <w:snapToGrid w:val="0"/>
        <w:spacing w:line="360" w:lineRule="auto"/>
        <w:ind w:left="572" w:right="84" w:rightChars="40"/>
        <w:textAlignment w:val="baseline"/>
        <w:outlineLvl w:val="2"/>
        <w:rPr>
          <w:rFonts w:hint="eastAsia" w:ascii="宋体" w:hAnsi="宋体" w:eastAsia="宋体" w:cs="宋体"/>
          <w:color w:val="auto"/>
          <w:sz w:val="24"/>
          <w:szCs w:val="24"/>
          <w:highlight w:val="none"/>
        </w:rPr>
      </w:pPr>
      <w:bookmarkStart w:id="148" w:name="_Toc6918"/>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．中标结果公示</w:t>
      </w:r>
      <w:bookmarkEnd w:id="148"/>
    </w:p>
    <w:p w14:paraId="75EC938A">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中标通知书发出后</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2"/>
          <w:sz w:val="24"/>
          <w:szCs w:val="24"/>
          <w:highlight w:val="none"/>
        </w:rPr>
        <w:t>15日内，招标人应将中标结果在广东省招标投标</w:t>
      </w:r>
      <w:r>
        <w:rPr>
          <w:rFonts w:hint="eastAsia" w:ascii="宋体" w:hAnsi="宋体" w:eastAsia="宋体" w:cs="宋体"/>
          <w:color w:val="auto"/>
          <w:spacing w:val="-3"/>
          <w:sz w:val="24"/>
          <w:szCs w:val="24"/>
          <w:highlight w:val="none"/>
        </w:rPr>
        <w:t xml:space="preserve">监管网（http: </w:t>
      </w:r>
      <w:r>
        <w:rPr>
          <w:rFonts w:hint="eastAsia" w:ascii="宋体" w:hAnsi="宋体" w:eastAsia="宋体" w:cs="宋体"/>
          <w:color w:val="auto"/>
          <w:spacing w:val="-2"/>
          <w:sz w:val="24"/>
          <w:szCs w:val="24"/>
          <w:highlight w:val="none"/>
        </w:rPr>
        <w:t>//zbtb.gd.gov.cn）、全国公共资源交易平台（广东省·韶关市</w:t>
      </w:r>
      <w:r>
        <w:rPr>
          <w:rFonts w:hint="eastAsia" w:ascii="宋体" w:hAnsi="宋体" w:eastAsia="宋体" w:cs="宋体"/>
          <w:color w:val="auto"/>
          <w:spacing w:val="-34"/>
          <w:sz w:val="24"/>
          <w:szCs w:val="24"/>
          <w:highlight w:val="none"/>
        </w:rPr>
        <w:t>）（</w:t>
      </w:r>
      <w:r>
        <w:rPr>
          <w:rFonts w:hint="eastAsia" w:ascii="宋体" w:hAnsi="宋体" w:eastAsia="宋体" w:cs="宋体"/>
          <w:color w:val="auto"/>
          <w:spacing w:val="-2"/>
          <w:sz w:val="24"/>
          <w:szCs w:val="24"/>
          <w:highlight w:val="none"/>
        </w:rPr>
        <w:t>https://ygp.</w:t>
      </w:r>
      <w:r>
        <w:rPr>
          <w:rFonts w:hint="eastAsia" w:ascii="宋体" w:hAnsi="宋体" w:eastAsia="宋体" w:cs="宋体"/>
          <w:color w:val="auto"/>
          <w:spacing w:val="-3"/>
          <w:sz w:val="24"/>
          <w:szCs w:val="24"/>
          <w:highlight w:val="none"/>
        </w:rPr>
        <w:t>gdzwfw.gov.</w:t>
      </w:r>
      <w:r>
        <w:rPr>
          <w:rFonts w:hint="eastAsia" w:ascii="宋体" w:hAnsi="宋体" w:eastAsia="宋体" w:cs="宋体"/>
          <w:color w:val="auto"/>
          <w:sz w:val="24"/>
          <w:szCs w:val="24"/>
          <w:highlight w:val="none"/>
        </w:rPr>
        <w:t xml:space="preserve"> cn/ggzy-portal/#/440200/index）进行公示。</w:t>
      </w:r>
    </w:p>
    <w:p w14:paraId="342FFFAF">
      <w:pPr>
        <w:pStyle w:val="6"/>
        <w:keepNext w:val="0"/>
        <w:keepLines w:val="0"/>
        <w:pageBreakBefore w:val="0"/>
        <w:widowControl w:val="0"/>
        <w:kinsoku/>
        <w:wordWrap w:val="0"/>
        <w:overflowPunct/>
        <w:topLinePunct/>
        <w:autoSpaceDE/>
        <w:autoSpaceDN/>
        <w:bidi w:val="0"/>
        <w:adjustRightInd w:val="0"/>
        <w:snapToGrid w:val="0"/>
        <w:spacing w:line="360" w:lineRule="auto"/>
        <w:ind w:right="84" w:rightChars="40"/>
        <w:textAlignment w:val="baseline"/>
        <w:rPr>
          <w:rFonts w:hint="eastAsia" w:ascii="宋体" w:hAnsi="宋体" w:eastAsia="宋体" w:cs="宋体"/>
          <w:color w:val="auto"/>
          <w:highlight w:val="none"/>
        </w:rPr>
      </w:pPr>
    </w:p>
    <w:p w14:paraId="62CB1FED">
      <w:pPr>
        <w:keepNext w:val="0"/>
        <w:keepLines w:val="0"/>
        <w:pageBreakBefore w:val="0"/>
        <w:widowControl w:val="0"/>
        <w:kinsoku/>
        <w:wordWrap w:val="0"/>
        <w:overflowPunct/>
        <w:topLinePunct/>
        <w:autoSpaceDE/>
        <w:autoSpaceDN/>
        <w:bidi w:val="0"/>
        <w:adjustRightInd w:val="0"/>
        <w:snapToGrid w:val="0"/>
        <w:spacing w:line="360" w:lineRule="auto"/>
        <w:ind w:left="570" w:right="84" w:rightChars="40"/>
        <w:textAlignment w:val="baseline"/>
        <w:outlineLvl w:val="2"/>
        <w:rPr>
          <w:rFonts w:hint="eastAsia" w:ascii="宋体" w:hAnsi="宋体" w:eastAsia="宋体" w:cs="宋体"/>
          <w:color w:val="auto"/>
          <w:sz w:val="24"/>
          <w:szCs w:val="24"/>
          <w:highlight w:val="none"/>
        </w:rPr>
      </w:pPr>
      <w:bookmarkStart w:id="149" w:name="_Toc10491"/>
      <w:r>
        <w:rPr>
          <w:rFonts w:hint="eastAsia" w:ascii="宋体" w:hAnsi="宋体" w:eastAsia="宋体" w:cs="宋体"/>
          <w:b/>
          <w:bCs/>
          <w:color w:val="auto"/>
          <w:spacing w:val="-8"/>
          <w:sz w:val="24"/>
          <w:szCs w:val="24"/>
          <w:highlight w:val="none"/>
        </w:rPr>
        <w:t>3</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8"/>
          <w:sz w:val="24"/>
          <w:szCs w:val="24"/>
          <w:highlight w:val="none"/>
        </w:rPr>
        <w:t>．履约保证</w:t>
      </w:r>
      <w:bookmarkEnd w:id="149"/>
    </w:p>
    <w:p w14:paraId="3990754C">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3.1</w:t>
      </w:r>
      <w:r>
        <w:rPr>
          <w:rFonts w:hint="eastAsia" w:ascii="宋体" w:hAnsi="宋体" w:eastAsia="宋体" w:cs="宋体"/>
          <w:b/>
          <w:bCs/>
          <w:color w:val="auto"/>
          <w:spacing w:val="17"/>
          <w:sz w:val="24"/>
          <w:szCs w:val="24"/>
          <w:highlight w:val="none"/>
        </w:rPr>
        <w:t xml:space="preserve"> </w:t>
      </w:r>
      <w:r>
        <w:rPr>
          <w:rFonts w:hint="eastAsia" w:ascii="宋体" w:hAnsi="宋体" w:eastAsia="宋体" w:cs="宋体"/>
          <w:color w:val="auto"/>
          <w:spacing w:val="-3"/>
          <w:sz w:val="24"/>
          <w:szCs w:val="24"/>
          <w:highlight w:val="none"/>
        </w:rPr>
        <w:t>中标人须在领取中标通知书之日起</w:t>
      </w:r>
      <w:r>
        <w:rPr>
          <w:rFonts w:hint="eastAsia" w:ascii="宋体" w:hAnsi="宋体" w:eastAsia="宋体" w:cs="宋体"/>
          <w:color w:val="auto"/>
          <w:spacing w:val="-3"/>
          <w:sz w:val="24"/>
          <w:szCs w:val="24"/>
          <w:highlight w:val="none"/>
          <w:u w:val="single"/>
          <w:lang w:val="en-US" w:eastAsia="zh-CN"/>
        </w:rPr>
        <w:t xml:space="preserve"> 10 </w:t>
      </w:r>
      <w:r>
        <w:rPr>
          <w:rFonts w:hint="eastAsia" w:ascii="宋体" w:hAnsi="宋体" w:eastAsia="宋体" w:cs="宋体"/>
          <w:color w:val="auto"/>
          <w:spacing w:val="-3"/>
          <w:sz w:val="24"/>
          <w:szCs w:val="24"/>
          <w:highlight w:val="none"/>
        </w:rPr>
        <w:t>个工作日内、签订合同前向招标人提交金额</w:t>
      </w:r>
      <w:r>
        <w:rPr>
          <w:rFonts w:hint="eastAsia" w:ascii="宋体" w:hAnsi="宋体" w:eastAsia="宋体" w:cs="宋体"/>
          <w:color w:val="auto"/>
          <w:spacing w:val="-1"/>
          <w:position w:val="2"/>
          <w:sz w:val="24"/>
          <w:szCs w:val="24"/>
          <w:highlight w:val="none"/>
        </w:rPr>
        <w:t>为中标价</w:t>
      </w:r>
      <w:r>
        <w:rPr>
          <w:rFonts w:hint="eastAsia" w:ascii="宋体" w:hAnsi="宋体" w:eastAsia="宋体" w:cs="宋体"/>
          <w:color w:val="auto"/>
          <w:spacing w:val="-1"/>
          <w:position w:val="2"/>
          <w:sz w:val="24"/>
          <w:szCs w:val="24"/>
          <w:highlight w:val="none"/>
          <w:u w:val="single"/>
          <w:lang w:val="en-US" w:eastAsia="zh-CN"/>
        </w:rPr>
        <w:t xml:space="preserve"> 5</w:t>
      </w:r>
      <w:r>
        <w:rPr>
          <w:rFonts w:hint="eastAsia" w:ascii="宋体" w:hAnsi="宋体" w:eastAsia="宋体" w:cs="宋体"/>
          <w:color w:val="auto"/>
          <w:spacing w:val="-1"/>
          <w:position w:val="2"/>
          <w:sz w:val="24"/>
          <w:szCs w:val="24"/>
          <w:highlight w:val="none"/>
          <w:u w:val="single"/>
        </w:rPr>
        <w:t xml:space="preserve">% </w:t>
      </w:r>
      <w:r>
        <w:rPr>
          <w:rFonts w:hint="eastAsia" w:ascii="宋体" w:hAnsi="宋体" w:eastAsia="宋体" w:cs="宋体"/>
          <w:color w:val="auto"/>
          <w:spacing w:val="-1"/>
          <w:position w:val="2"/>
          <w:sz w:val="24"/>
          <w:szCs w:val="24"/>
          <w:highlight w:val="none"/>
        </w:rPr>
        <w:t>的履约保证。联合体中标的，由联合体牵头人提交。</w:t>
      </w:r>
    </w:p>
    <w:p w14:paraId="0B20862C">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3.2</w:t>
      </w:r>
      <w:r>
        <w:rPr>
          <w:rFonts w:hint="eastAsia" w:ascii="宋体" w:hAnsi="宋体" w:eastAsia="宋体" w:cs="宋体"/>
          <w:b/>
          <w:bCs/>
          <w:color w:val="auto"/>
          <w:spacing w:val="34"/>
          <w:w w:val="101"/>
          <w:sz w:val="24"/>
          <w:szCs w:val="24"/>
          <w:highlight w:val="none"/>
        </w:rPr>
        <w:t xml:space="preserve"> </w:t>
      </w:r>
      <w:r>
        <w:rPr>
          <w:rFonts w:hint="eastAsia" w:ascii="宋体" w:hAnsi="宋体" w:eastAsia="宋体" w:cs="宋体"/>
          <w:color w:val="auto"/>
          <w:spacing w:val="-1"/>
          <w:position w:val="2"/>
          <w:sz w:val="24"/>
          <w:szCs w:val="24"/>
          <w:highlight w:val="none"/>
        </w:rPr>
        <w:t>中标人根据《关于统一在市公共资源交易一体化服务平台缴退工程建设项目履约</w:t>
      </w:r>
      <w:r>
        <w:rPr>
          <w:rFonts w:hint="eastAsia" w:ascii="宋体" w:hAnsi="宋体" w:eastAsia="宋体" w:cs="宋体"/>
          <w:color w:val="auto"/>
          <w:spacing w:val="-3"/>
          <w:sz w:val="24"/>
          <w:szCs w:val="24"/>
          <w:highlight w:val="none"/>
        </w:rPr>
        <w:t>保证金</w:t>
      </w:r>
      <w:r>
        <w:rPr>
          <w:rFonts w:hint="eastAsia" w:ascii="宋体" w:hAnsi="宋体" w:eastAsia="宋体" w:cs="宋体"/>
          <w:color w:val="auto"/>
          <w:spacing w:val="-1"/>
          <w:position w:val="2"/>
          <w:sz w:val="24"/>
          <w:szCs w:val="24"/>
          <w:highlight w:val="none"/>
        </w:rPr>
        <w:t>的通知》办理相关手续，履约保证的形式包括履约保证金、履约保证担保、履约保证保险三种，由中标人自主选择</w:t>
      </w:r>
      <w:r>
        <w:rPr>
          <w:rFonts w:hint="eastAsia" w:ascii="宋体" w:hAnsi="宋体" w:eastAsia="宋体" w:cs="宋体"/>
          <w:color w:val="auto"/>
          <w:spacing w:val="-2"/>
          <w:sz w:val="24"/>
          <w:szCs w:val="24"/>
          <w:highlight w:val="none"/>
        </w:rPr>
        <w:t>。商业保函、银行保函或保险合同（或保险单）的</w:t>
      </w:r>
      <w:r>
        <w:rPr>
          <w:rFonts w:hint="eastAsia" w:ascii="宋体" w:hAnsi="宋体" w:eastAsia="宋体" w:cs="宋体"/>
          <w:color w:val="auto"/>
          <w:spacing w:val="-1"/>
          <w:sz w:val="24"/>
          <w:szCs w:val="24"/>
          <w:highlight w:val="none"/>
        </w:rPr>
        <w:t>有效期应当自</w:t>
      </w:r>
      <w:r>
        <w:rPr>
          <w:rFonts w:hint="eastAsia" w:ascii="宋体" w:hAnsi="宋体" w:eastAsia="宋体" w:cs="宋体"/>
          <w:color w:val="auto"/>
          <w:spacing w:val="-3"/>
          <w:sz w:val="24"/>
          <w:szCs w:val="24"/>
          <w:highlight w:val="none"/>
        </w:rPr>
        <w:t>合同</w:t>
      </w:r>
      <w:r>
        <w:rPr>
          <w:rFonts w:hint="eastAsia" w:ascii="宋体" w:hAnsi="宋体" w:eastAsia="宋体" w:cs="宋体"/>
          <w:color w:val="auto"/>
          <w:spacing w:val="-1"/>
          <w:sz w:val="24"/>
          <w:szCs w:val="24"/>
          <w:highlight w:val="none"/>
        </w:rPr>
        <w:t>生效之日起至项目通过竣工验收之日后</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
          <w:sz w:val="24"/>
          <w:szCs w:val="24"/>
          <w:highlight w:val="none"/>
        </w:rPr>
        <w:t>28天止。</w:t>
      </w:r>
    </w:p>
    <w:p w14:paraId="20C13633">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position w:val="2"/>
          <w:sz w:val="24"/>
          <w:szCs w:val="24"/>
          <w:highlight w:val="none"/>
          <w:lang w:eastAsia="zh-CN"/>
        </w:rPr>
        <w:t>注：中标通知书发出时，招标人发起收缴履约保证金并填写保证金金额、缴交时限和</w:t>
      </w:r>
      <w:r>
        <w:rPr>
          <w:rFonts w:hint="eastAsia" w:ascii="宋体" w:hAnsi="宋体" w:eastAsia="宋体" w:cs="宋体"/>
          <w:color w:val="auto"/>
          <w:spacing w:val="-3"/>
          <w:sz w:val="24"/>
          <w:szCs w:val="24"/>
          <w:highlight w:val="none"/>
          <w:lang w:eastAsia="zh-CN"/>
        </w:rPr>
        <w:t>项目</w:t>
      </w:r>
      <w:r>
        <w:rPr>
          <w:rFonts w:hint="eastAsia" w:ascii="宋体" w:hAnsi="宋体" w:eastAsia="宋体" w:cs="宋体"/>
          <w:color w:val="auto"/>
          <w:spacing w:val="-1"/>
          <w:position w:val="2"/>
          <w:sz w:val="24"/>
          <w:szCs w:val="24"/>
          <w:highlight w:val="none"/>
          <w:lang w:eastAsia="zh-CN"/>
        </w:rPr>
        <w:t>工期；由中标人在建设工程交易系统中自主选择一种进行缴交。项目竣工后，由招标人发起退保。）</w:t>
      </w:r>
    </w:p>
    <w:p w14:paraId="6B521E32">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1"/>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3.3</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4"/>
          <w:sz w:val="24"/>
          <w:szCs w:val="24"/>
          <w:highlight w:val="none"/>
        </w:rPr>
        <w:t>中标人在领取中标通知书之日起10个工</w:t>
      </w:r>
      <w:r>
        <w:rPr>
          <w:rFonts w:hint="eastAsia" w:ascii="宋体" w:hAnsi="宋体" w:eastAsia="宋体" w:cs="宋体"/>
          <w:color w:val="auto"/>
          <w:spacing w:val="-5"/>
          <w:sz w:val="24"/>
          <w:szCs w:val="24"/>
          <w:highlight w:val="none"/>
        </w:rPr>
        <w:t>作日内仍未提交履约保证的，招标人发</w:t>
      </w:r>
      <w:r>
        <w:rPr>
          <w:rFonts w:hint="eastAsia" w:ascii="宋体" w:hAnsi="宋体" w:eastAsia="宋体" w:cs="宋体"/>
          <w:color w:val="auto"/>
          <w:spacing w:val="1"/>
          <w:sz w:val="24"/>
          <w:szCs w:val="24"/>
          <w:highlight w:val="none"/>
        </w:rPr>
        <w:t>出第一次提醒函；在领取中标通知书之日起15个工作日内仍未提交的</w:t>
      </w:r>
      <w:r>
        <w:rPr>
          <w:rFonts w:hint="eastAsia" w:ascii="宋体" w:hAnsi="宋体" w:eastAsia="宋体" w:cs="宋体"/>
          <w:color w:val="auto"/>
          <w:sz w:val="24"/>
          <w:szCs w:val="24"/>
          <w:highlight w:val="none"/>
        </w:rPr>
        <w:t>，招标人发出第</w:t>
      </w:r>
      <w:r>
        <w:rPr>
          <w:rFonts w:hint="eastAsia" w:ascii="宋体" w:hAnsi="宋体" w:eastAsia="宋体" w:cs="宋体"/>
          <w:color w:val="auto"/>
          <w:spacing w:val="1"/>
          <w:sz w:val="24"/>
          <w:szCs w:val="24"/>
          <w:highlight w:val="none"/>
        </w:rPr>
        <w:t>二次提醒函；在领取中标通知书之日起</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1"/>
          <w:sz w:val="24"/>
          <w:szCs w:val="24"/>
          <w:highlight w:val="none"/>
        </w:rPr>
        <w:t>20个工作日内仍未提交的，视其放弃中标。并</w:t>
      </w:r>
      <w:r>
        <w:rPr>
          <w:rFonts w:hint="eastAsia" w:ascii="宋体" w:hAnsi="宋体" w:eastAsia="宋体" w:cs="宋体"/>
          <w:color w:val="auto"/>
          <w:spacing w:val="-2"/>
          <w:sz w:val="24"/>
          <w:szCs w:val="24"/>
          <w:highlight w:val="none"/>
        </w:rPr>
        <w:t>由招标人通报建设行政管理部门。如采用商业保函、银行保函或保险合同方式缴纳履约保证金，在保函或保险合同到期前一个月，中标人须主动办理续期手续或提交新的商业</w:t>
      </w:r>
      <w:r>
        <w:rPr>
          <w:rFonts w:hint="eastAsia" w:ascii="宋体" w:hAnsi="宋体" w:eastAsia="宋体" w:cs="宋体"/>
          <w:color w:val="auto"/>
          <w:spacing w:val="-1"/>
          <w:sz w:val="24"/>
          <w:szCs w:val="24"/>
          <w:highlight w:val="none"/>
        </w:rPr>
        <w:t>保函、银行保函或保险合同。</w:t>
      </w:r>
    </w:p>
    <w:p w14:paraId="1B3964CA">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3.4  </w:t>
      </w:r>
      <w:r>
        <w:rPr>
          <w:rFonts w:hint="eastAsia" w:ascii="宋体" w:hAnsi="宋体" w:eastAsia="宋体" w:cs="宋体"/>
          <w:color w:val="auto"/>
          <w:sz w:val="24"/>
          <w:szCs w:val="24"/>
          <w:highlight w:val="none"/>
        </w:rPr>
        <w:t>在工程实施过程中，如果承包人（即招标阶段的中标人，下同）由于自身的资</w:t>
      </w:r>
      <w:r>
        <w:rPr>
          <w:rFonts w:hint="eastAsia" w:ascii="宋体" w:hAnsi="宋体" w:eastAsia="宋体" w:cs="宋体"/>
          <w:color w:val="auto"/>
          <w:spacing w:val="-2"/>
          <w:sz w:val="24"/>
          <w:szCs w:val="24"/>
          <w:highlight w:val="none"/>
        </w:rPr>
        <w:t>金、技术、质量、非不可抗力等原因给发包人（即招标阶段的招标人，下同）造成经济</w:t>
      </w:r>
      <w:r>
        <w:rPr>
          <w:rFonts w:hint="eastAsia" w:ascii="宋体" w:hAnsi="宋体" w:eastAsia="宋体" w:cs="宋体"/>
          <w:color w:val="auto"/>
          <w:spacing w:val="-1"/>
          <w:sz w:val="24"/>
          <w:szCs w:val="24"/>
          <w:highlight w:val="none"/>
        </w:rPr>
        <w:t>损失，发包人有权扣划相应金额的履约保证。</w:t>
      </w:r>
    </w:p>
    <w:p w14:paraId="0721FF55">
      <w:pPr>
        <w:keepNext w:val="0"/>
        <w:keepLines w:val="0"/>
        <w:pageBreakBefore w:val="0"/>
        <w:widowControl w:val="0"/>
        <w:kinsoku/>
        <w:wordWrap w:val="0"/>
        <w:overflowPunct/>
        <w:topLinePunct/>
        <w:autoSpaceDE/>
        <w:autoSpaceDN/>
        <w:bidi w:val="0"/>
        <w:adjustRightInd w:val="0"/>
        <w:snapToGrid w:val="0"/>
        <w:spacing w:line="360" w:lineRule="auto"/>
        <w:ind w:left="486"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3.5  </w:t>
      </w:r>
      <w:r>
        <w:rPr>
          <w:rFonts w:hint="eastAsia" w:ascii="宋体" w:hAnsi="宋体" w:eastAsia="宋体" w:cs="宋体"/>
          <w:color w:val="auto"/>
          <w:sz w:val="24"/>
          <w:szCs w:val="24"/>
          <w:highlight w:val="none"/>
        </w:rPr>
        <w:t>项目通过竣工验收之日后</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28天内，发包人将履</w:t>
      </w:r>
      <w:r>
        <w:rPr>
          <w:rFonts w:hint="eastAsia" w:ascii="宋体" w:hAnsi="宋体" w:eastAsia="宋体" w:cs="宋体"/>
          <w:color w:val="auto"/>
          <w:spacing w:val="-1"/>
          <w:sz w:val="24"/>
          <w:szCs w:val="24"/>
          <w:highlight w:val="none"/>
        </w:rPr>
        <w:t>约保证退还给承包人。</w:t>
      </w:r>
    </w:p>
    <w:p w14:paraId="231B4758">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textAlignment w:val="baseline"/>
        <w:outlineLvl w:val="2"/>
        <w:rPr>
          <w:rFonts w:hint="eastAsia" w:ascii="宋体" w:hAnsi="宋体" w:eastAsia="宋体" w:cs="宋体"/>
          <w:color w:val="auto"/>
          <w:sz w:val="24"/>
          <w:szCs w:val="24"/>
          <w:highlight w:val="none"/>
        </w:rPr>
      </w:pPr>
      <w:bookmarkStart w:id="150" w:name="_Toc17312"/>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．合同订立</w:t>
      </w:r>
      <w:bookmarkEnd w:id="150"/>
    </w:p>
    <w:p w14:paraId="0031D6AE">
      <w:pPr>
        <w:keepNext w:val="0"/>
        <w:keepLines w:val="0"/>
        <w:pageBreakBefore w:val="0"/>
        <w:widowControl w:val="0"/>
        <w:kinsoku/>
        <w:wordWrap w:val="0"/>
        <w:overflowPunct/>
        <w:topLinePunct/>
        <w:autoSpaceDE/>
        <w:autoSpaceDN/>
        <w:bidi w:val="0"/>
        <w:adjustRightInd w:val="0"/>
        <w:snapToGrid w:val="0"/>
        <w:spacing w:line="360" w:lineRule="auto"/>
        <w:ind w:left="13"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4.1  </w:t>
      </w:r>
      <w:r>
        <w:rPr>
          <w:rFonts w:hint="eastAsia" w:ascii="宋体" w:hAnsi="宋体" w:eastAsia="宋体" w:cs="宋体"/>
          <w:color w:val="auto"/>
          <w:sz w:val="24"/>
          <w:szCs w:val="24"/>
          <w:highlight w:val="none"/>
        </w:rPr>
        <w:t>招标人应当自中标通知书发出之日起</w:t>
      </w:r>
      <w:r>
        <w:rPr>
          <w:rFonts w:hint="eastAsia" w:ascii="宋体" w:hAnsi="宋体" w:eastAsia="宋体" w:cs="宋体"/>
          <w:color w:val="auto"/>
          <w:sz w:val="24"/>
          <w:szCs w:val="24"/>
          <w:highlight w:val="none"/>
          <w:u w:val="single"/>
          <w:lang w:val="en-US" w:eastAsia="zh-CN"/>
        </w:rPr>
        <w:t xml:space="preserve"> 三十 </w:t>
      </w:r>
      <w:r>
        <w:rPr>
          <w:rFonts w:hint="eastAsia" w:ascii="宋体" w:hAnsi="宋体" w:eastAsia="宋体" w:cs="宋体"/>
          <w:color w:val="auto"/>
          <w:sz w:val="24"/>
          <w:szCs w:val="24"/>
          <w:highlight w:val="none"/>
        </w:rPr>
        <w:t>日内，按照招标文件、中标人的投标</w:t>
      </w:r>
      <w:r>
        <w:rPr>
          <w:rFonts w:hint="eastAsia" w:ascii="宋体" w:hAnsi="宋体" w:eastAsia="宋体" w:cs="宋体"/>
          <w:color w:val="auto"/>
          <w:spacing w:val="-1"/>
          <w:sz w:val="24"/>
          <w:szCs w:val="24"/>
          <w:highlight w:val="none"/>
        </w:rPr>
        <w:t>文件与中标人订立书面合同。</w:t>
      </w:r>
    </w:p>
    <w:p w14:paraId="5AB9E7A4">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4.2  </w:t>
      </w:r>
      <w:r>
        <w:rPr>
          <w:rFonts w:hint="eastAsia" w:ascii="宋体" w:hAnsi="宋体" w:eastAsia="宋体" w:cs="宋体"/>
          <w:color w:val="auto"/>
          <w:spacing w:val="-1"/>
          <w:sz w:val="24"/>
          <w:szCs w:val="24"/>
          <w:highlight w:val="none"/>
        </w:rPr>
        <w:t>不正常报价的梳理和确认</w:t>
      </w:r>
    </w:p>
    <w:p w14:paraId="548EDCF8">
      <w:pPr>
        <w:keepNext w:val="0"/>
        <w:keepLines w:val="0"/>
        <w:pageBreakBefore w:val="0"/>
        <w:widowControl w:val="0"/>
        <w:kinsoku/>
        <w:wordWrap w:val="0"/>
        <w:overflowPunct/>
        <w:topLinePunct/>
        <w:autoSpaceDE/>
        <w:autoSpaceDN/>
        <w:bidi w:val="0"/>
        <w:adjustRightInd w:val="0"/>
        <w:snapToGrid w:val="0"/>
        <w:spacing w:line="360" w:lineRule="auto"/>
        <w:ind w:left="14" w:right="84" w:rightChars="40" w:firstLine="47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4.2.1 合同订立期间，在不改变中标人的投标总价的前提下，招标人应对中标人的</w:t>
      </w:r>
      <w:r>
        <w:rPr>
          <w:rFonts w:hint="eastAsia" w:ascii="宋体" w:hAnsi="宋体" w:eastAsia="宋体" w:cs="宋体"/>
          <w:b/>
          <w:bCs/>
          <w:color w:val="auto"/>
          <w:spacing w:val="-3"/>
          <w:sz w:val="24"/>
          <w:szCs w:val="24"/>
          <w:highlight w:val="none"/>
        </w:rPr>
        <w:t>投标报价进行全面分析和整理，从而发现并提取其中可能存在的算术性错误、错漏项、不平衡报价等不正常报价，并修正其中的算术性错误。</w:t>
      </w:r>
      <w:r>
        <w:rPr>
          <w:rFonts w:hint="eastAsia" w:ascii="宋体" w:hAnsi="宋体" w:eastAsia="宋体" w:cs="宋体"/>
          <w:color w:val="auto"/>
          <w:spacing w:val="-3"/>
          <w:sz w:val="24"/>
          <w:szCs w:val="24"/>
          <w:highlight w:val="none"/>
        </w:rPr>
        <w:t>招标人不具备</w:t>
      </w:r>
      <w:r>
        <w:rPr>
          <w:rFonts w:hint="eastAsia" w:ascii="宋体" w:hAnsi="宋体" w:eastAsia="宋体" w:cs="宋体"/>
          <w:color w:val="auto"/>
          <w:spacing w:val="-4"/>
          <w:sz w:val="24"/>
          <w:szCs w:val="24"/>
          <w:highlight w:val="none"/>
        </w:rPr>
        <w:t>以上能力的，可授</w:t>
      </w:r>
      <w:r>
        <w:rPr>
          <w:rFonts w:hint="eastAsia" w:ascii="宋体" w:hAnsi="宋体" w:eastAsia="宋体" w:cs="宋体"/>
          <w:color w:val="auto"/>
          <w:spacing w:val="-1"/>
          <w:sz w:val="24"/>
          <w:szCs w:val="24"/>
          <w:highlight w:val="none"/>
        </w:rPr>
        <w:t>权编制本项目</w:t>
      </w:r>
      <w:r>
        <w:rPr>
          <w:rFonts w:hint="eastAsia" w:ascii="宋体" w:hAnsi="宋体" w:eastAsia="宋体" w:cs="宋体"/>
          <w:color w:val="auto"/>
          <w:spacing w:val="-1"/>
          <w:sz w:val="24"/>
          <w:szCs w:val="24"/>
          <w:highlight w:val="none"/>
          <w:lang w:val="en-US" w:eastAsia="zh-CN"/>
        </w:rPr>
        <w:t>最高投标限价</w:t>
      </w:r>
      <w:r>
        <w:rPr>
          <w:rFonts w:hint="eastAsia" w:ascii="宋体" w:hAnsi="宋体" w:eastAsia="宋体" w:cs="宋体"/>
          <w:color w:val="auto"/>
          <w:spacing w:val="-1"/>
          <w:sz w:val="24"/>
          <w:szCs w:val="24"/>
          <w:highlight w:val="none"/>
        </w:rPr>
        <w:t>的造价咨询单位实施。</w:t>
      </w:r>
    </w:p>
    <w:p w14:paraId="5279FC1F">
      <w:pPr>
        <w:keepNext w:val="0"/>
        <w:keepLines w:val="0"/>
        <w:pageBreakBefore w:val="0"/>
        <w:widowControl w:val="0"/>
        <w:kinsoku/>
        <w:wordWrap w:val="0"/>
        <w:overflowPunct/>
        <w:topLinePunct/>
        <w:autoSpaceDE/>
        <w:autoSpaceDN/>
        <w:bidi w:val="0"/>
        <w:adjustRightInd w:val="0"/>
        <w:snapToGrid w:val="0"/>
        <w:spacing w:line="360" w:lineRule="auto"/>
        <w:ind w:left="14" w:right="84" w:rightChars="40" w:firstLine="47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4.2.2  </w:t>
      </w:r>
      <w:r>
        <w:rPr>
          <w:rFonts w:hint="eastAsia" w:ascii="宋体" w:hAnsi="宋体" w:eastAsia="宋体" w:cs="宋体"/>
          <w:color w:val="auto"/>
          <w:spacing w:val="2"/>
          <w:sz w:val="24"/>
          <w:szCs w:val="24"/>
          <w:highlight w:val="none"/>
        </w:rPr>
        <w:t>算术性错误的分析和修正。投标报价汇</w:t>
      </w:r>
      <w:r>
        <w:rPr>
          <w:rFonts w:hint="eastAsia" w:ascii="宋体" w:hAnsi="宋体" w:eastAsia="宋体" w:cs="宋体"/>
          <w:color w:val="auto"/>
          <w:spacing w:val="1"/>
          <w:sz w:val="24"/>
          <w:szCs w:val="24"/>
          <w:highlight w:val="none"/>
        </w:rPr>
        <w:t>总表中，投标总价与各分项费用之和</w:t>
      </w:r>
      <w:r>
        <w:rPr>
          <w:rFonts w:hint="eastAsia" w:ascii="宋体" w:hAnsi="宋体" w:eastAsia="宋体" w:cs="宋体"/>
          <w:color w:val="auto"/>
          <w:spacing w:val="-2"/>
          <w:sz w:val="24"/>
          <w:szCs w:val="24"/>
          <w:highlight w:val="none"/>
        </w:rPr>
        <w:t>不一致的，以投标总价为准修正分项费用；投标报价汇总表的各分项费用与对应分项表中的费用不一致的，以投标报价汇总表中的分项费用为准修正对应分项表中的费用；各</w:t>
      </w:r>
      <w:r>
        <w:rPr>
          <w:rFonts w:hint="eastAsia" w:ascii="宋体" w:hAnsi="宋体" w:eastAsia="宋体" w:cs="宋体"/>
          <w:color w:val="auto"/>
          <w:sz w:val="24"/>
          <w:szCs w:val="24"/>
          <w:highlight w:val="none"/>
        </w:rPr>
        <w:t>分项表中总价金额与依据单价计算出的结果不</w:t>
      </w:r>
      <w:r>
        <w:rPr>
          <w:rFonts w:hint="eastAsia" w:ascii="宋体" w:hAnsi="宋体" w:eastAsia="宋体" w:cs="宋体"/>
          <w:color w:val="auto"/>
          <w:spacing w:val="-1"/>
          <w:sz w:val="24"/>
          <w:szCs w:val="24"/>
          <w:highlight w:val="none"/>
        </w:rPr>
        <w:t>一致的，以总价为准修正单价。</w:t>
      </w:r>
    </w:p>
    <w:p w14:paraId="374F49A1">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4.2.3  </w:t>
      </w:r>
      <w:r>
        <w:rPr>
          <w:rFonts w:hint="eastAsia" w:ascii="宋体" w:hAnsi="宋体" w:eastAsia="宋体" w:cs="宋体"/>
          <w:color w:val="auto"/>
          <w:spacing w:val="2"/>
          <w:sz w:val="24"/>
          <w:szCs w:val="24"/>
          <w:highlight w:val="none"/>
        </w:rPr>
        <w:t>错漏项的认定。中标人已标价工程量清</w:t>
      </w:r>
      <w:r>
        <w:rPr>
          <w:rFonts w:hint="eastAsia" w:ascii="宋体" w:hAnsi="宋体" w:eastAsia="宋体" w:cs="宋体"/>
          <w:color w:val="auto"/>
          <w:spacing w:val="1"/>
          <w:sz w:val="24"/>
          <w:szCs w:val="24"/>
          <w:highlight w:val="none"/>
        </w:rPr>
        <w:t>单中，任一清单项目未填报价格或价</w:t>
      </w:r>
      <w:r>
        <w:rPr>
          <w:rFonts w:hint="eastAsia" w:ascii="宋体" w:hAnsi="宋体" w:eastAsia="宋体" w:cs="宋体"/>
          <w:color w:val="auto"/>
          <w:spacing w:val="-1"/>
          <w:sz w:val="24"/>
          <w:szCs w:val="24"/>
          <w:highlight w:val="none"/>
        </w:rPr>
        <w:t>格为零的，视为错漏项。</w:t>
      </w:r>
    </w:p>
    <w:p w14:paraId="0A0F8E0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90" w:firstLineChars="200"/>
        <w:textAlignment w:val="baseline"/>
        <w:rPr>
          <w:rFonts w:hint="eastAsia" w:ascii="宋体" w:hAnsi="宋体" w:eastAsia="宋体" w:cs="宋体"/>
          <w:color w:val="auto"/>
          <w:spacing w:val="-3"/>
          <w:sz w:val="24"/>
          <w:szCs w:val="24"/>
          <w:highlight w:val="none"/>
        </w:rPr>
      </w:pPr>
      <w:r>
        <w:rPr>
          <w:rFonts w:hint="eastAsia" w:ascii="宋体" w:hAnsi="宋体" w:eastAsia="宋体" w:cs="宋体"/>
          <w:b/>
          <w:bCs/>
          <w:color w:val="auto"/>
          <w:spacing w:val="2"/>
          <w:sz w:val="24"/>
          <w:szCs w:val="24"/>
          <w:highlight w:val="none"/>
        </w:rPr>
        <w:t xml:space="preserve">4.2.4  </w:t>
      </w:r>
      <w:r>
        <w:rPr>
          <w:rFonts w:hint="eastAsia" w:ascii="宋体" w:hAnsi="宋体" w:eastAsia="宋体" w:cs="宋体"/>
          <w:color w:val="auto"/>
          <w:spacing w:val="2"/>
          <w:sz w:val="24"/>
          <w:szCs w:val="24"/>
          <w:highlight w:val="none"/>
        </w:rPr>
        <w:t>不平衡报价的认定。经修正算术性错误后的中标人已标价工程量清单中，</w:t>
      </w:r>
      <w:r>
        <w:rPr>
          <w:rFonts w:hint="eastAsia" w:ascii="宋体" w:hAnsi="宋体" w:eastAsia="宋体" w:cs="宋体"/>
          <w:color w:val="auto"/>
          <w:spacing w:val="2"/>
          <w:sz w:val="24"/>
          <w:szCs w:val="24"/>
          <w:highlight w:val="none"/>
          <w:u w:val="single"/>
        </w:rPr>
        <w:t>对于投标报价中综合单价相对</w:t>
      </w:r>
      <w:r>
        <w:rPr>
          <w:rFonts w:hint="eastAsia" w:ascii="宋体" w:hAnsi="宋体" w:eastAsia="宋体" w:cs="宋体"/>
          <w:color w:val="auto"/>
          <w:spacing w:val="2"/>
          <w:sz w:val="24"/>
          <w:szCs w:val="24"/>
          <w:highlight w:val="none"/>
          <w:u w:val="single"/>
          <w:lang w:val="en-US" w:eastAsia="zh-CN"/>
        </w:rPr>
        <w:t>最高投标限价</w:t>
      </w:r>
      <w:r>
        <w:rPr>
          <w:rFonts w:hint="eastAsia" w:ascii="宋体" w:hAnsi="宋体" w:eastAsia="宋体" w:cs="宋体"/>
          <w:color w:val="auto"/>
          <w:spacing w:val="2"/>
          <w:sz w:val="24"/>
          <w:szCs w:val="24"/>
          <w:highlight w:val="none"/>
          <w:u w:val="single"/>
        </w:rPr>
        <w:t>《</w:t>
      </w:r>
      <w:r>
        <w:rPr>
          <w:rFonts w:hint="eastAsia" w:ascii="宋体" w:hAnsi="宋体" w:eastAsia="宋体" w:cs="宋体"/>
          <w:color w:val="auto"/>
          <w:spacing w:val="2"/>
          <w:sz w:val="24"/>
          <w:szCs w:val="24"/>
          <w:highlight w:val="none"/>
          <w:u w:val="single"/>
          <w:lang w:eastAsia="zh-CN"/>
        </w:rPr>
        <w:t>分部分项工程项目清单计价表</w:t>
      </w:r>
      <w:r>
        <w:rPr>
          <w:rFonts w:hint="eastAsia" w:ascii="宋体" w:hAnsi="宋体" w:eastAsia="宋体" w:cs="宋体"/>
          <w:color w:val="auto"/>
          <w:spacing w:val="2"/>
          <w:sz w:val="24"/>
          <w:szCs w:val="24"/>
          <w:highlight w:val="none"/>
          <w:u w:val="single"/>
        </w:rPr>
        <w:t xml:space="preserve">》中对应综合单价的偏差大于±15% </w:t>
      </w:r>
      <w:r>
        <w:rPr>
          <w:rFonts w:hint="eastAsia" w:ascii="宋体" w:hAnsi="宋体" w:eastAsia="宋体" w:cs="宋体"/>
          <w:color w:val="auto"/>
          <w:spacing w:val="2"/>
          <w:sz w:val="24"/>
          <w:szCs w:val="24"/>
          <w:highlight w:val="none"/>
          <w:u w:val="none"/>
        </w:rPr>
        <w:t>的清</w:t>
      </w:r>
      <w:r>
        <w:rPr>
          <w:rFonts w:hint="eastAsia" w:ascii="宋体" w:hAnsi="宋体" w:eastAsia="宋体" w:cs="宋体"/>
          <w:color w:val="auto"/>
          <w:spacing w:val="-3"/>
          <w:sz w:val="24"/>
          <w:szCs w:val="24"/>
          <w:highlight w:val="none"/>
          <w:u w:val="none"/>
        </w:rPr>
        <w:t>单项目</w:t>
      </w:r>
      <w:r>
        <w:rPr>
          <w:rFonts w:hint="eastAsia" w:ascii="宋体" w:hAnsi="宋体" w:eastAsia="宋体" w:cs="宋体"/>
          <w:color w:val="auto"/>
          <w:spacing w:val="-3"/>
          <w:sz w:val="24"/>
          <w:szCs w:val="24"/>
          <w:highlight w:val="none"/>
        </w:rPr>
        <w:t>，视为不平衡报价项目。</w:t>
      </w:r>
    </w:p>
    <w:p w14:paraId="0FC57F42">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78"/>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4.2.</w:t>
      </w:r>
      <w:r>
        <w:rPr>
          <w:rFonts w:hint="eastAsia" w:ascii="宋体" w:hAnsi="宋体" w:eastAsia="宋体" w:cs="宋体"/>
          <w:b/>
          <w:bCs/>
          <w:color w:val="auto"/>
          <w:spacing w:val="-3"/>
          <w:sz w:val="24"/>
          <w:szCs w:val="24"/>
          <w:highlight w:val="none"/>
          <w:lang w:val="en-US" w:eastAsia="zh-CN"/>
        </w:rPr>
        <w:t>5</w:t>
      </w:r>
      <w:r>
        <w:rPr>
          <w:rFonts w:hint="eastAsia" w:ascii="宋体" w:hAnsi="宋体" w:eastAsia="宋体" w:cs="宋体"/>
          <w:color w:val="auto"/>
          <w:spacing w:val="-3"/>
          <w:sz w:val="24"/>
          <w:szCs w:val="24"/>
          <w:highlight w:val="none"/>
        </w:rPr>
        <w:t>施工合同签订前，招标人或其授权的造价咨询单位应就发现的以上所有不平衡报价进行修正，形成《不平衡报价修正报告》，并由招标人和中标人共同签章确认，构成施工合同的组成部分。</w:t>
      </w:r>
    </w:p>
    <w:p w14:paraId="18666E84">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w:t>
      </w:r>
      <w:r>
        <w:rPr>
          <w:rFonts w:hint="eastAsia" w:ascii="宋体" w:hAnsi="宋体" w:eastAsia="宋体" w:cs="宋体"/>
          <w:b/>
          <w:bCs/>
          <w:color w:val="auto"/>
          <w:spacing w:val="1"/>
          <w:sz w:val="24"/>
          <w:szCs w:val="24"/>
          <w:highlight w:val="none"/>
          <w:lang w:val="en-US" w:eastAsia="zh-CN"/>
        </w:rPr>
        <w:t>6</w:t>
      </w:r>
      <w:r>
        <w:rPr>
          <w:rFonts w:hint="eastAsia" w:ascii="宋体" w:hAnsi="宋体" w:eastAsia="宋体" w:cs="宋体"/>
          <w:b/>
          <w:bCs/>
          <w:color w:val="auto"/>
          <w:spacing w:val="1"/>
          <w:sz w:val="24"/>
          <w:szCs w:val="24"/>
          <w:highlight w:val="none"/>
        </w:rPr>
        <w:t xml:space="preserve"> 合同履行过程中，被认定为错漏项的清单项目，结算时按照第三章“拟签订</w:t>
      </w:r>
      <w:r>
        <w:rPr>
          <w:rFonts w:hint="eastAsia" w:ascii="宋体" w:hAnsi="宋体" w:eastAsia="宋体" w:cs="宋体"/>
          <w:b/>
          <w:bCs/>
          <w:color w:val="auto"/>
          <w:spacing w:val="-6"/>
          <w:sz w:val="24"/>
          <w:szCs w:val="24"/>
          <w:highlight w:val="none"/>
        </w:rPr>
        <w:t>合同的主要条款</w:t>
      </w:r>
      <w:r>
        <w:rPr>
          <w:rFonts w:hint="eastAsia" w:ascii="宋体" w:hAnsi="宋体" w:eastAsia="宋体" w:cs="宋体"/>
          <w:color w:val="auto"/>
          <w:spacing w:val="-77"/>
          <w:sz w:val="24"/>
          <w:szCs w:val="24"/>
          <w:highlight w:val="none"/>
        </w:rPr>
        <w:t xml:space="preserve"> </w:t>
      </w:r>
      <w:r>
        <w:rPr>
          <w:rFonts w:hint="eastAsia" w:ascii="宋体" w:hAnsi="宋体" w:eastAsia="宋体" w:cs="宋体"/>
          <w:b/>
          <w:bCs/>
          <w:color w:val="auto"/>
          <w:spacing w:val="-6"/>
          <w:sz w:val="24"/>
          <w:szCs w:val="24"/>
          <w:highlight w:val="none"/>
        </w:rPr>
        <w:t>”规定处理。</w:t>
      </w:r>
    </w:p>
    <w:p w14:paraId="574A363C">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4.2.</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合同履行过程中，合同约定的调</w:t>
      </w:r>
      <w:r>
        <w:rPr>
          <w:rFonts w:hint="eastAsia" w:ascii="宋体" w:hAnsi="宋体" w:eastAsia="宋体" w:cs="宋体"/>
          <w:b/>
          <w:bCs/>
          <w:color w:val="auto"/>
          <w:spacing w:val="-1"/>
          <w:sz w:val="24"/>
          <w:szCs w:val="24"/>
          <w:highlight w:val="none"/>
        </w:rPr>
        <w:t>整因素（如工程量偏差、工程变更、项目特</w:t>
      </w:r>
      <w:r>
        <w:rPr>
          <w:rFonts w:hint="eastAsia" w:ascii="宋体" w:hAnsi="宋体" w:eastAsia="宋体" w:cs="宋体"/>
          <w:b/>
          <w:bCs/>
          <w:color w:val="auto"/>
          <w:spacing w:val="-4"/>
          <w:sz w:val="24"/>
          <w:szCs w:val="24"/>
          <w:highlight w:val="none"/>
        </w:rPr>
        <w:t>征不符、招标工程量清单缺项等）出现时，被认定为不平衡报价的清单项目以及</w:t>
      </w:r>
      <w:r>
        <w:rPr>
          <w:rFonts w:hint="eastAsia" w:ascii="宋体" w:hAnsi="宋体" w:eastAsia="宋体" w:cs="宋体"/>
          <w:b/>
          <w:bCs/>
          <w:color w:val="auto"/>
          <w:spacing w:val="-5"/>
          <w:sz w:val="24"/>
          <w:szCs w:val="24"/>
          <w:highlight w:val="none"/>
        </w:rPr>
        <w:t>采用被</w:t>
      </w:r>
      <w:r>
        <w:rPr>
          <w:rFonts w:hint="eastAsia" w:ascii="宋体" w:hAnsi="宋体" w:eastAsia="宋体" w:cs="宋体"/>
          <w:b/>
          <w:bCs/>
          <w:color w:val="auto"/>
          <w:spacing w:val="-3"/>
          <w:sz w:val="24"/>
          <w:szCs w:val="24"/>
          <w:highlight w:val="none"/>
        </w:rPr>
        <w:t>认定为不平衡报价的清单项目的价格作为取价（或参照取</w:t>
      </w:r>
      <w:r>
        <w:rPr>
          <w:rFonts w:hint="eastAsia" w:ascii="宋体" w:hAnsi="宋体" w:eastAsia="宋体" w:cs="宋体"/>
          <w:b/>
          <w:bCs/>
          <w:color w:val="auto"/>
          <w:spacing w:val="-4"/>
          <w:sz w:val="24"/>
          <w:szCs w:val="24"/>
          <w:highlight w:val="none"/>
        </w:rPr>
        <w:t>价）依据的变更、新增项目</w:t>
      </w:r>
      <w:r>
        <w:rPr>
          <w:rFonts w:hint="eastAsia" w:ascii="宋体" w:hAnsi="宋体" w:eastAsia="宋体" w:cs="宋体"/>
          <w:b/>
          <w:bCs/>
          <w:color w:val="auto"/>
          <w:spacing w:val="-4"/>
          <w:sz w:val="24"/>
          <w:szCs w:val="24"/>
          <w:highlight w:val="none"/>
          <w:lang w:eastAsia="zh-CN"/>
        </w:rPr>
        <w:t>，</w:t>
      </w:r>
      <w:r>
        <w:rPr>
          <w:rFonts w:hint="eastAsia" w:ascii="宋体" w:hAnsi="宋体" w:eastAsia="宋体" w:cs="宋体"/>
          <w:b/>
          <w:bCs/>
          <w:color w:val="auto"/>
          <w:spacing w:val="-3"/>
          <w:sz w:val="24"/>
          <w:szCs w:val="24"/>
          <w:highlight w:val="none"/>
        </w:rPr>
        <w:t>按照第三章“拟签订合同的主要条款</w:t>
      </w:r>
      <w:r>
        <w:rPr>
          <w:rFonts w:hint="eastAsia" w:ascii="宋体" w:hAnsi="宋体" w:eastAsia="宋体" w:cs="宋体"/>
          <w:color w:val="auto"/>
          <w:spacing w:val="-86"/>
          <w:sz w:val="24"/>
          <w:szCs w:val="24"/>
          <w:highlight w:val="none"/>
        </w:rPr>
        <w:t xml:space="preserve"> </w:t>
      </w:r>
      <w:r>
        <w:rPr>
          <w:rFonts w:hint="eastAsia" w:ascii="宋体" w:hAnsi="宋体" w:eastAsia="宋体" w:cs="宋体"/>
          <w:b/>
          <w:bCs/>
          <w:color w:val="auto"/>
          <w:spacing w:val="-3"/>
          <w:sz w:val="24"/>
          <w:szCs w:val="24"/>
          <w:highlight w:val="none"/>
        </w:rPr>
        <w:t>”有关规定调整</w:t>
      </w:r>
      <w:r>
        <w:rPr>
          <w:rFonts w:hint="eastAsia" w:ascii="宋体" w:hAnsi="宋体" w:eastAsia="宋体" w:cs="宋体"/>
          <w:b/>
          <w:bCs/>
          <w:color w:val="auto"/>
          <w:spacing w:val="-4"/>
          <w:sz w:val="24"/>
          <w:szCs w:val="24"/>
          <w:highlight w:val="none"/>
        </w:rPr>
        <w:t>合同价款。</w:t>
      </w:r>
    </w:p>
    <w:p w14:paraId="4BBD102D">
      <w:pPr>
        <w:keepNext w:val="0"/>
        <w:keepLines w:val="0"/>
        <w:pageBreakBefore w:val="0"/>
        <w:widowControl w:val="0"/>
        <w:kinsoku/>
        <w:wordWrap w:val="0"/>
        <w:overflowPunct/>
        <w:topLinePunct/>
        <w:autoSpaceDE/>
        <w:autoSpaceDN/>
        <w:bidi w:val="0"/>
        <w:adjustRightInd w:val="0"/>
        <w:snapToGrid w:val="0"/>
        <w:spacing w:line="360" w:lineRule="auto"/>
        <w:ind w:left="48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4.3  </w:t>
      </w:r>
      <w:r>
        <w:rPr>
          <w:rFonts w:hint="eastAsia" w:ascii="宋体" w:hAnsi="宋体" w:eastAsia="宋体" w:cs="宋体"/>
          <w:color w:val="auto"/>
          <w:sz w:val="24"/>
          <w:szCs w:val="24"/>
          <w:highlight w:val="none"/>
        </w:rPr>
        <w:t>本招标项目合同计价方式为：</w:t>
      </w:r>
      <w:r>
        <w:rPr>
          <w:rFonts w:hint="eastAsia" w:ascii="宋体" w:hAnsi="宋体" w:eastAsia="宋体" w:cs="宋体"/>
          <w:color w:val="auto"/>
          <w:sz w:val="24"/>
          <w:szCs w:val="24"/>
          <w:highlight w:val="none"/>
          <w:u w:val="single"/>
        </w:rPr>
        <w:t xml:space="preserve"> 单价 </w:t>
      </w:r>
      <w:r>
        <w:rPr>
          <w:rFonts w:hint="eastAsia" w:ascii="宋体" w:hAnsi="宋体" w:eastAsia="宋体" w:cs="宋体"/>
          <w:color w:val="auto"/>
          <w:spacing w:val="-1"/>
          <w:sz w:val="24"/>
          <w:szCs w:val="24"/>
          <w:highlight w:val="none"/>
        </w:rPr>
        <w:t>合同。</w:t>
      </w:r>
    </w:p>
    <w:p w14:paraId="54F026FC">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 xml:space="preserve">4.4  </w:t>
      </w:r>
      <w:r>
        <w:rPr>
          <w:rFonts w:hint="eastAsia" w:ascii="宋体" w:hAnsi="宋体" w:eastAsia="宋体" w:cs="宋体"/>
          <w:color w:val="auto"/>
          <w:spacing w:val="-4"/>
          <w:sz w:val="24"/>
          <w:szCs w:val="24"/>
          <w:highlight w:val="none"/>
        </w:rPr>
        <w:t>合同的标的、质量、履行期限条款和合同的价款、单</w:t>
      </w:r>
      <w:r>
        <w:rPr>
          <w:rFonts w:hint="eastAsia" w:ascii="宋体" w:hAnsi="宋体" w:eastAsia="宋体" w:cs="宋体"/>
          <w:color w:val="auto"/>
          <w:spacing w:val="-5"/>
          <w:sz w:val="24"/>
          <w:szCs w:val="24"/>
          <w:highlight w:val="none"/>
        </w:rPr>
        <w:t>价、比例条款等主要条款，</w:t>
      </w:r>
      <w:r>
        <w:rPr>
          <w:rFonts w:hint="eastAsia" w:ascii="宋体" w:hAnsi="宋体" w:eastAsia="宋体" w:cs="宋体"/>
          <w:color w:val="auto"/>
          <w:spacing w:val="-2"/>
          <w:sz w:val="24"/>
          <w:szCs w:val="24"/>
          <w:highlight w:val="none"/>
        </w:rPr>
        <w:t>应当与招标文件、中标人的投标文件的内容一致。中标人在签订合同时不得向招标人提出附加条件。</w:t>
      </w:r>
    </w:p>
    <w:p w14:paraId="6B908AB7">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4.5  </w:t>
      </w:r>
      <w:r>
        <w:rPr>
          <w:rFonts w:hint="eastAsia" w:ascii="宋体" w:hAnsi="宋体" w:eastAsia="宋体" w:cs="宋体"/>
          <w:color w:val="auto"/>
          <w:spacing w:val="-3"/>
          <w:sz w:val="24"/>
          <w:szCs w:val="24"/>
          <w:highlight w:val="none"/>
        </w:rPr>
        <w:t>若中标人在领取中标通知书之日起</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4"/>
          <w:sz w:val="24"/>
          <w:szCs w:val="24"/>
          <w:highlight w:val="none"/>
        </w:rPr>
        <w:t>30天内仍未签订合同，招标人发出第一次提</w:t>
      </w:r>
      <w:r>
        <w:rPr>
          <w:rFonts w:hint="eastAsia" w:ascii="宋体" w:hAnsi="宋体" w:eastAsia="宋体" w:cs="宋体"/>
          <w:color w:val="auto"/>
          <w:spacing w:val="1"/>
          <w:sz w:val="24"/>
          <w:szCs w:val="24"/>
          <w:highlight w:val="none"/>
        </w:rPr>
        <w:t>醒函；在领取中标通知书之日起</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40天内仍未签订，招标人发出第二次提醒函；在</w:t>
      </w:r>
      <w:r>
        <w:rPr>
          <w:rFonts w:hint="eastAsia" w:ascii="宋体" w:hAnsi="宋体" w:eastAsia="宋体" w:cs="宋体"/>
          <w:color w:val="auto"/>
          <w:sz w:val="24"/>
          <w:szCs w:val="24"/>
          <w:highlight w:val="none"/>
        </w:rPr>
        <w:t>领取</w:t>
      </w:r>
      <w:r>
        <w:rPr>
          <w:rFonts w:hint="eastAsia" w:ascii="宋体" w:hAnsi="宋体" w:eastAsia="宋体" w:cs="宋体"/>
          <w:color w:val="auto"/>
          <w:spacing w:val="-1"/>
          <w:sz w:val="24"/>
          <w:szCs w:val="24"/>
          <w:highlight w:val="none"/>
        </w:rPr>
        <w:t>中标通知书之日起</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
          <w:sz w:val="24"/>
          <w:szCs w:val="24"/>
          <w:highlight w:val="none"/>
        </w:rPr>
        <w:t>45天内仍未签订，视其放弃中标。</w:t>
      </w:r>
    </w:p>
    <w:p w14:paraId="663A2400">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4.6  </w:t>
      </w:r>
      <w:r>
        <w:rPr>
          <w:rFonts w:hint="eastAsia" w:ascii="宋体" w:hAnsi="宋体" w:eastAsia="宋体" w:cs="宋体"/>
          <w:color w:val="auto"/>
          <w:sz w:val="24"/>
          <w:szCs w:val="24"/>
          <w:highlight w:val="none"/>
        </w:rPr>
        <w:t>在书面合同订立之日起</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2个工作日内，由中标人或招标代理机构将合同上传至</w:t>
      </w:r>
      <w:r>
        <w:rPr>
          <w:rFonts w:hint="eastAsia" w:ascii="宋体" w:hAnsi="宋体" w:eastAsia="宋体" w:cs="宋体"/>
          <w:color w:val="auto"/>
          <w:spacing w:val="-2"/>
          <w:sz w:val="24"/>
          <w:szCs w:val="24"/>
          <w:highlight w:val="none"/>
        </w:rPr>
        <w:t>建设工程交易系统，并发起退还投标保证的申请。韶关市公共资源交易中心在收到申请之日起</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2"/>
          <w:sz w:val="24"/>
          <w:szCs w:val="24"/>
          <w:highlight w:val="none"/>
        </w:rPr>
        <w:t>3个工作日内，将投标保证金（或银行保函）退还给中标人和其他中标候选人。</w:t>
      </w:r>
    </w:p>
    <w:p w14:paraId="105249E6">
      <w:pPr>
        <w:keepNext w:val="0"/>
        <w:keepLines w:val="0"/>
        <w:pageBreakBefore w:val="0"/>
        <w:widowControl w:val="0"/>
        <w:kinsoku/>
        <w:wordWrap w:val="0"/>
        <w:overflowPunct/>
        <w:topLinePunct/>
        <w:autoSpaceDE/>
        <w:autoSpaceDN/>
        <w:bidi w:val="0"/>
        <w:adjustRightInd w:val="0"/>
        <w:snapToGrid w:val="0"/>
        <w:spacing w:line="360" w:lineRule="auto"/>
        <w:ind w:left="489" w:right="84" w:rightChars="40"/>
        <w:textAlignment w:val="baseline"/>
        <w:outlineLvl w:val="2"/>
        <w:rPr>
          <w:rFonts w:hint="eastAsia" w:ascii="宋体" w:hAnsi="宋体" w:eastAsia="宋体" w:cs="宋体"/>
          <w:color w:val="auto"/>
          <w:sz w:val="24"/>
          <w:szCs w:val="24"/>
          <w:highlight w:val="none"/>
        </w:rPr>
      </w:pPr>
      <w:bookmarkStart w:id="151" w:name="_Toc6544"/>
      <w:r>
        <w:rPr>
          <w:rFonts w:hint="eastAsia" w:ascii="宋体" w:hAnsi="宋体" w:eastAsia="宋体" w:cs="宋体"/>
          <w:b/>
          <w:bCs/>
          <w:color w:val="auto"/>
          <w:spacing w:val="-6"/>
          <w:sz w:val="24"/>
          <w:szCs w:val="24"/>
          <w:highlight w:val="none"/>
        </w:rPr>
        <w:t>5</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6"/>
          <w:sz w:val="24"/>
          <w:szCs w:val="24"/>
          <w:highlight w:val="none"/>
        </w:rPr>
        <w:t>．放弃中标的处理</w:t>
      </w:r>
      <w:bookmarkEnd w:id="151"/>
    </w:p>
    <w:p w14:paraId="2C737B2D">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5.1</w:t>
      </w:r>
      <w:r>
        <w:rPr>
          <w:rFonts w:hint="eastAsia" w:ascii="宋体" w:hAnsi="宋体" w:eastAsia="宋体" w:cs="宋体"/>
          <w:b/>
          <w:bCs/>
          <w:color w:val="auto"/>
          <w:spacing w:val="19"/>
          <w:w w:val="101"/>
          <w:sz w:val="24"/>
          <w:szCs w:val="24"/>
          <w:highlight w:val="none"/>
        </w:rPr>
        <w:t xml:space="preserve">  </w:t>
      </w:r>
      <w:r>
        <w:rPr>
          <w:rFonts w:hint="eastAsia" w:ascii="宋体" w:hAnsi="宋体" w:eastAsia="宋体" w:cs="宋体"/>
          <w:color w:val="auto"/>
          <w:spacing w:val="-1"/>
          <w:sz w:val="24"/>
          <w:szCs w:val="24"/>
          <w:highlight w:val="none"/>
        </w:rPr>
        <w:t>中标人无正当理由放弃中标的，取消其中标资格，其投标保证不予退还，给招</w:t>
      </w:r>
      <w:r>
        <w:rPr>
          <w:rFonts w:hint="eastAsia" w:ascii="宋体" w:hAnsi="宋体" w:eastAsia="宋体" w:cs="宋体"/>
          <w:color w:val="auto"/>
          <w:spacing w:val="-2"/>
          <w:sz w:val="24"/>
          <w:szCs w:val="24"/>
          <w:highlight w:val="none"/>
        </w:rPr>
        <w:t>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招标人重新招标的，</w:t>
      </w:r>
      <w:r>
        <w:rPr>
          <w:rFonts w:hint="eastAsia" w:ascii="宋体" w:hAnsi="宋体" w:eastAsia="宋体" w:cs="宋体"/>
          <w:b w:val="0"/>
          <w:bCs w:val="0"/>
          <w:color w:val="auto"/>
          <w:spacing w:val="-3"/>
          <w:sz w:val="24"/>
          <w:szCs w:val="24"/>
          <w:highlight w:val="none"/>
        </w:rPr>
        <w:t>招标</w:t>
      </w:r>
      <w:r>
        <w:rPr>
          <w:rFonts w:hint="eastAsia" w:ascii="宋体" w:hAnsi="宋体" w:eastAsia="宋体" w:cs="宋体"/>
          <w:b w:val="0"/>
          <w:bCs w:val="0"/>
          <w:color w:val="auto"/>
          <w:spacing w:val="-2"/>
          <w:sz w:val="24"/>
          <w:szCs w:val="24"/>
          <w:highlight w:val="none"/>
        </w:rPr>
        <w:t>人</w:t>
      </w:r>
      <w:r>
        <w:rPr>
          <w:rFonts w:hint="eastAsia" w:ascii="宋体" w:hAnsi="宋体" w:eastAsia="宋体" w:cs="宋体"/>
          <w:color w:val="auto"/>
          <w:spacing w:val="-2"/>
          <w:sz w:val="24"/>
          <w:szCs w:val="24"/>
          <w:highlight w:val="none"/>
        </w:rPr>
        <w:t>可不接受该弃标人再次投标。同时，</w:t>
      </w:r>
      <w:r>
        <w:rPr>
          <w:rFonts w:hint="eastAsia" w:ascii="宋体" w:hAnsi="宋体" w:eastAsia="宋体" w:cs="宋体"/>
          <w:b/>
          <w:bCs/>
          <w:color w:val="auto"/>
          <w:spacing w:val="-2"/>
          <w:sz w:val="24"/>
          <w:szCs w:val="24"/>
          <w:highlight w:val="none"/>
        </w:rPr>
        <w:t>招</w:t>
      </w:r>
      <w:r>
        <w:rPr>
          <w:rFonts w:hint="eastAsia" w:ascii="宋体" w:hAnsi="宋体" w:eastAsia="宋体" w:cs="宋体"/>
          <w:b/>
          <w:bCs/>
          <w:color w:val="auto"/>
          <w:spacing w:val="-3"/>
          <w:sz w:val="24"/>
          <w:szCs w:val="24"/>
          <w:highlight w:val="none"/>
        </w:rPr>
        <w:t>标人应将该弃标人的失信行为向行政监督部门报告。</w:t>
      </w:r>
    </w:p>
    <w:p w14:paraId="59CE6EDE">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5.2</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5"/>
          <w:sz w:val="24"/>
          <w:szCs w:val="24"/>
          <w:highlight w:val="none"/>
        </w:rPr>
        <w:t>中标人因不可抗力提出不能履行合同的，须在领取中标通知书之日起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5"/>
          <w:sz w:val="24"/>
          <w:szCs w:val="24"/>
          <w:highlight w:val="none"/>
        </w:rPr>
        <w:t>10天</w:t>
      </w:r>
      <w:r>
        <w:rPr>
          <w:rFonts w:hint="eastAsia" w:ascii="宋体" w:hAnsi="宋体" w:eastAsia="宋体" w:cs="宋体"/>
          <w:color w:val="auto"/>
          <w:spacing w:val="-6"/>
          <w:sz w:val="24"/>
          <w:szCs w:val="24"/>
          <w:highlight w:val="none"/>
        </w:rPr>
        <w:t>内提</w:t>
      </w:r>
      <w:r>
        <w:rPr>
          <w:rFonts w:hint="eastAsia" w:ascii="宋体" w:hAnsi="宋体" w:eastAsia="宋体" w:cs="宋体"/>
          <w:color w:val="auto"/>
          <w:spacing w:val="-2"/>
          <w:sz w:val="24"/>
          <w:szCs w:val="24"/>
          <w:highlight w:val="none"/>
        </w:rPr>
        <w:t>供有关证明文件或资料，其投标保证予以退还，招标人可按照评标委员会提出的中标候选人名单排序依次确定其他中标候选人为中标人。如果招标人认为其他中标候选人的条</w:t>
      </w:r>
      <w:bookmarkStart w:id="152" w:name="bookmark84"/>
      <w:bookmarkEnd w:id="152"/>
      <w:r>
        <w:rPr>
          <w:rFonts w:hint="eastAsia" w:ascii="宋体" w:hAnsi="宋体" w:eastAsia="宋体" w:cs="宋体"/>
          <w:color w:val="auto"/>
          <w:spacing w:val="-2"/>
          <w:sz w:val="24"/>
          <w:szCs w:val="24"/>
          <w:highlight w:val="none"/>
        </w:rPr>
        <w:t>件明显不利于招标人的，也可以重新招标</w:t>
      </w:r>
      <w:r>
        <w:rPr>
          <w:rFonts w:hint="eastAsia" w:ascii="宋体" w:hAnsi="宋体" w:eastAsia="宋体" w:cs="宋体"/>
          <w:color w:val="auto"/>
          <w:spacing w:val="-1"/>
          <w:sz w:val="24"/>
          <w:szCs w:val="24"/>
          <w:highlight w:val="none"/>
        </w:rPr>
        <w:t>。</w:t>
      </w:r>
    </w:p>
    <w:p w14:paraId="4877989F">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highlight w:val="none"/>
        </w:rPr>
        <w:sectPr>
          <w:footerReference r:id="rId11"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37821566">
      <w:pPr>
        <w:keepNext w:val="0"/>
        <w:keepLines w:val="0"/>
        <w:pageBreakBefore w:val="0"/>
        <w:widowControl w:val="0"/>
        <w:kinsoku/>
        <w:wordWrap w:val="0"/>
        <w:overflowPunct/>
        <w:topLinePunct/>
        <w:autoSpaceDE/>
        <w:autoSpaceDN/>
        <w:bidi w:val="0"/>
        <w:adjustRightInd w:val="0"/>
        <w:snapToGrid w:val="0"/>
        <w:spacing w:before="78" w:line="219" w:lineRule="auto"/>
        <w:ind w:left="2923" w:right="84" w:rightChars="40"/>
        <w:outlineLvl w:val="0"/>
        <w:rPr>
          <w:rFonts w:hint="eastAsia" w:ascii="宋体" w:hAnsi="宋体" w:eastAsia="宋体" w:cs="宋体"/>
          <w:color w:val="auto"/>
          <w:sz w:val="24"/>
          <w:szCs w:val="24"/>
          <w:highlight w:val="none"/>
        </w:rPr>
      </w:pPr>
      <w:bookmarkStart w:id="153" w:name="bookmark86"/>
      <w:bookmarkEnd w:id="153"/>
      <w:bookmarkStart w:id="154" w:name="_Toc3032"/>
      <w:r>
        <w:rPr>
          <w:rFonts w:hint="eastAsia" w:ascii="宋体" w:hAnsi="宋体" w:eastAsia="宋体" w:cs="宋体"/>
          <w:b/>
          <w:bCs/>
          <w:color w:val="auto"/>
          <w:spacing w:val="-3"/>
          <w:sz w:val="24"/>
          <w:szCs w:val="24"/>
          <w:highlight w:val="none"/>
        </w:rPr>
        <w:t>第三章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拟签订合同的主要条款</w:t>
      </w:r>
      <w:bookmarkEnd w:id="154"/>
    </w:p>
    <w:p w14:paraId="2643B754">
      <w:pPr>
        <w:pStyle w:val="6"/>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22A0CEDF">
      <w:pPr>
        <w:pStyle w:val="6"/>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39E48CD3">
      <w:pPr>
        <w:keepNext w:val="0"/>
        <w:keepLines w:val="0"/>
        <w:pageBreakBefore w:val="0"/>
        <w:widowControl w:val="0"/>
        <w:kinsoku/>
        <w:wordWrap w:val="0"/>
        <w:overflowPunct/>
        <w:topLinePunct/>
        <w:autoSpaceDE/>
        <w:autoSpaceDN/>
        <w:bidi w:val="0"/>
        <w:adjustRightInd w:val="0"/>
        <w:snapToGrid w:val="0"/>
        <w:spacing w:line="360" w:lineRule="auto"/>
        <w:ind w:left="498" w:right="84" w:rightChars="40"/>
        <w:textAlignment w:val="baseline"/>
        <w:outlineLvl w:val="2"/>
        <w:rPr>
          <w:rFonts w:hint="eastAsia" w:ascii="宋体" w:hAnsi="宋体" w:eastAsia="宋体" w:cs="宋体"/>
          <w:color w:val="auto"/>
          <w:sz w:val="24"/>
          <w:szCs w:val="24"/>
          <w:highlight w:val="none"/>
        </w:rPr>
      </w:pPr>
      <w:bookmarkStart w:id="155" w:name="_Toc26539"/>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8"/>
          <w:sz w:val="24"/>
          <w:szCs w:val="24"/>
          <w:highlight w:val="none"/>
        </w:rPr>
        <w:t>．工程承包方式</w:t>
      </w:r>
      <w:bookmarkEnd w:id="155"/>
    </w:p>
    <w:p w14:paraId="1136890B">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1.1  </w:t>
      </w:r>
      <w:r>
        <w:rPr>
          <w:rFonts w:hint="eastAsia" w:ascii="宋体" w:hAnsi="宋体" w:eastAsia="宋体" w:cs="宋体"/>
          <w:color w:val="auto"/>
          <w:sz w:val="24"/>
          <w:szCs w:val="24"/>
          <w:highlight w:val="none"/>
        </w:rPr>
        <w:t>承包人以中标价按包工包料、包质量、包安全包文明施工、包工期</w:t>
      </w:r>
      <w:r>
        <w:rPr>
          <w:rFonts w:hint="eastAsia" w:ascii="宋体" w:hAnsi="宋体" w:eastAsia="宋体" w:cs="宋体"/>
          <w:color w:val="auto"/>
          <w:spacing w:val="-1"/>
          <w:sz w:val="24"/>
          <w:szCs w:val="24"/>
          <w:highlight w:val="none"/>
        </w:rPr>
        <w:t>方式总承包</w:t>
      </w:r>
      <w:r>
        <w:rPr>
          <w:rFonts w:hint="eastAsia" w:ascii="宋体" w:hAnsi="宋体" w:eastAsia="宋体" w:cs="宋体"/>
          <w:color w:val="auto"/>
          <w:spacing w:val="-2"/>
          <w:sz w:val="24"/>
          <w:szCs w:val="24"/>
          <w:highlight w:val="none"/>
        </w:rPr>
        <w:t>施工，不允许转包和违法分包，如果确需分包须与发包人协商，在得到发包人和监理单</w:t>
      </w:r>
      <w:r>
        <w:rPr>
          <w:rFonts w:hint="eastAsia" w:ascii="宋体" w:hAnsi="宋体" w:eastAsia="宋体" w:cs="宋体"/>
          <w:color w:val="auto"/>
          <w:spacing w:val="-1"/>
          <w:sz w:val="24"/>
          <w:szCs w:val="24"/>
          <w:highlight w:val="none"/>
        </w:rPr>
        <w:t>位同意后报建设行政主管部门备案。</w:t>
      </w:r>
    </w:p>
    <w:p w14:paraId="19B2DB02">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1.1.1  </w:t>
      </w:r>
      <w:r>
        <w:rPr>
          <w:rFonts w:hint="eastAsia" w:ascii="宋体" w:hAnsi="宋体" w:eastAsia="宋体" w:cs="宋体"/>
          <w:color w:val="auto"/>
          <w:spacing w:val="-1"/>
          <w:sz w:val="24"/>
          <w:szCs w:val="24"/>
          <w:highlight w:val="none"/>
        </w:rPr>
        <w:t>包工包料：材料符合招标文件要求并报验使用；办理用工保险。</w:t>
      </w:r>
    </w:p>
    <w:p w14:paraId="43D5FC7D">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1.1.2  </w:t>
      </w:r>
      <w:r>
        <w:rPr>
          <w:rFonts w:hint="eastAsia" w:ascii="宋体" w:hAnsi="宋体" w:eastAsia="宋体" w:cs="宋体"/>
          <w:color w:val="auto"/>
          <w:spacing w:val="-1"/>
          <w:sz w:val="24"/>
          <w:szCs w:val="24"/>
          <w:highlight w:val="none"/>
        </w:rPr>
        <w:t>包质量：符合招标文件要求。</w:t>
      </w:r>
    </w:p>
    <w:p w14:paraId="1104D958">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1.1.3  </w:t>
      </w:r>
      <w:r>
        <w:rPr>
          <w:rFonts w:hint="eastAsia" w:ascii="宋体" w:hAnsi="宋体" w:eastAsia="宋体" w:cs="宋体"/>
          <w:color w:val="auto"/>
          <w:spacing w:val="-1"/>
          <w:sz w:val="24"/>
          <w:szCs w:val="24"/>
          <w:highlight w:val="none"/>
        </w:rPr>
        <w:t>包安全包文明施工：符合招标文件要求。</w:t>
      </w:r>
    </w:p>
    <w:p w14:paraId="31BBA689">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1.1.4  </w:t>
      </w:r>
      <w:r>
        <w:rPr>
          <w:rFonts w:hint="eastAsia" w:ascii="宋体" w:hAnsi="宋体" w:eastAsia="宋体" w:cs="宋体"/>
          <w:color w:val="auto"/>
          <w:spacing w:val="-1"/>
          <w:sz w:val="24"/>
          <w:szCs w:val="24"/>
          <w:highlight w:val="none"/>
        </w:rPr>
        <w:t>包工期：本招标项目施工必须在招标工期内完成。</w:t>
      </w:r>
    </w:p>
    <w:p w14:paraId="23C0FB90">
      <w:pPr>
        <w:pStyle w:val="6"/>
        <w:keepNext w:val="0"/>
        <w:keepLines w:val="0"/>
        <w:pageBreakBefore w:val="0"/>
        <w:widowControl w:val="0"/>
        <w:kinsoku/>
        <w:wordWrap w:val="0"/>
        <w:overflowPunct/>
        <w:topLinePunct/>
        <w:autoSpaceDE/>
        <w:autoSpaceDN/>
        <w:bidi w:val="0"/>
        <w:adjustRightInd w:val="0"/>
        <w:snapToGrid w:val="0"/>
        <w:spacing w:line="360" w:lineRule="auto"/>
        <w:ind w:right="84" w:rightChars="40"/>
        <w:textAlignment w:val="baseline"/>
        <w:rPr>
          <w:rFonts w:hint="eastAsia" w:ascii="宋体" w:hAnsi="宋体" w:eastAsia="宋体" w:cs="宋体"/>
          <w:color w:val="auto"/>
          <w:highlight w:val="none"/>
        </w:rPr>
      </w:pPr>
    </w:p>
    <w:p w14:paraId="37199613">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textAlignment w:val="baseline"/>
        <w:outlineLvl w:val="2"/>
        <w:rPr>
          <w:rFonts w:hint="eastAsia" w:ascii="宋体" w:hAnsi="宋体" w:eastAsia="宋体" w:cs="宋体"/>
          <w:color w:val="auto"/>
          <w:sz w:val="24"/>
          <w:szCs w:val="24"/>
          <w:highlight w:val="none"/>
        </w:rPr>
      </w:pPr>
      <w:bookmarkStart w:id="156" w:name="bookmark88"/>
      <w:bookmarkEnd w:id="156"/>
      <w:bookmarkStart w:id="157" w:name="_Toc20319"/>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．工程结算原则</w:t>
      </w:r>
      <w:bookmarkEnd w:id="157"/>
    </w:p>
    <w:p w14:paraId="2C14C5EF">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2.1 </w:t>
      </w:r>
      <w:r>
        <w:rPr>
          <w:rFonts w:hint="eastAsia" w:ascii="宋体" w:hAnsi="宋体" w:eastAsia="宋体" w:cs="宋体"/>
          <w:color w:val="auto"/>
          <w:spacing w:val="-1"/>
          <w:sz w:val="24"/>
          <w:szCs w:val="24"/>
          <w:highlight w:val="none"/>
        </w:rPr>
        <w:t>承包人的投标总价为中标价，即为签约合同价。</w:t>
      </w:r>
    </w:p>
    <w:p w14:paraId="2A031BA0">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2.2 </w:t>
      </w:r>
      <w:r>
        <w:rPr>
          <w:rFonts w:hint="eastAsia" w:ascii="宋体" w:hAnsi="宋体" w:eastAsia="宋体" w:cs="宋体"/>
          <w:color w:val="auto"/>
          <w:spacing w:val="2"/>
          <w:sz w:val="24"/>
          <w:szCs w:val="24"/>
          <w:highlight w:val="none"/>
        </w:rPr>
        <w:t>招标工程量清单标明的工程量是投标人投标报价的</w:t>
      </w:r>
      <w:r>
        <w:rPr>
          <w:rFonts w:hint="eastAsia" w:ascii="宋体" w:hAnsi="宋体" w:eastAsia="宋体" w:cs="宋体"/>
          <w:color w:val="auto"/>
          <w:spacing w:val="1"/>
          <w:sz w:val="24"/>
          <w:szCs w:val="24"/>
          <w:highlight w:val="none"/>
        </w:rPr>
        <w:t>共同基础，竣工结算的工程</w:t>
      </w:r>
      <w:r>
        <w:rPr>
          <w:rFonts w:hint="eastAsia" w:ascii="宋体" w:hAnsi="宋体" w:eastAsia="宋体" w:cs="宋体"/>
          <w:color w:val="auto"/>
          <w:spacing w:val="-5"/>
          <w:sz w:val="24"/>
          <w:szCs w:val="24"/>
          <w:highlight w:val="none"/>
        </w:rPr>
        <w:t>量按</w:t>
      </w:r>
      <w:bookmarkStart w:id="158" w:name="OLE_LINK28"/>
      <w:r>
        <w:rPr>
          <w:rFonts w:hint="eastAsia" w:ascii="宋体" w:hAnsi="宋体" w:eastAsia="宋体" w:cs="宋体"/>
          <w:color w:val="auto"/>
          <w:spacing w:val="-5"/>
          <w:sz w:val="24"/>
          <w:szCs w:val="24"/>
          <w:highlight w:val="none"/>
          <w:lang w:eastAsia="zh-CN"/>
        </w:rPr>
        <w:t>《建设工程工程量清单计价标准》（GB/T50500-2024）</w:t>
      </w:r>
      <w:r>
        <w:rPr>
          <w:rFonts w:hint="eastAsia" w:ascii="宋体" w:hAnsi="宋体" w:eastAsia="宋体" w:cs="宋体"/>
          <w:color w:val="auto"/>
          <w:spacing w:val="-5"/>
          <w:sz w:val="24"/>
          <w:szCs w:val="24"/>
          <w:highlight w:val="none"/>
        </w:rPr>
        <w:t>对工程计量的规定进行计量，</w:t>
      </w:r>
      <w:r>
        <w:rPr>
          <w:rFonts w:hint="eastAsia" w:ascii="宋体" w:hAnsi="宋体" w:eastAsia="宋体" w:cs="宋体"/>
          <w:color w:val="auto"/>
          <w:spacing w:val="-2"/>
          <w:sz w:val="24"/>
          <w:szCs w:val="24"/>
          <w:highlight w:val="none"/>
        </w:rPr>
        <w:t>必须以承包人完成合同工程应予计量的工程量确定。施</w:t>
      </w:r>
      <w:bookmarkEnd w:id="158"/>
      <w:r>
        <w:rPr>
          <w:rFonts w:hint="eastAsia" w:ascii="宋体" w:hAnsi="宋体" w:eastAsia="宋体" w:cs="宋体"/>
          <w:color w:val="auto"/>
          <w:spacing w:val="-2"/>
          <w:sz w:val="24"/>
          <w:szCs w:val="24"/>
          <w:highlight w:val="none"/>
        </w:rPr>
        <w:t>工中进行工程计量，当发现招标工程量清单中出现缺项、工程量偏差</w:t>
      </w:r>
      <w:r>
        <w:rPr>
          <w:rFonts w:hint="eastAsia" w:ascii="宋体" w:hAnsi="宋体" w:eastAsia="宋体" w:cs="宋体"/>
          <w:color w:val="auto"/>
          <w:spacing w:val="-2"/>
          <w:sz w:val="24"/>
          <w:szCs w:val="24"/>
          <w:highlight w:val="none"/>
          <w:lang w:eastAsia="zh-CN"/>
        </w:rPr>
        <w:t>或</w:t>
      </w:r>
      <w:r>
        <w:rPr>
          <w:rFonts w:hint="eastAsia" w:ascii="宋体" w:hAnsi="宋体" w:eastAsia="宋体" w:cs="宋体"/>
          <w:color w:val="auto"/>
          <w:spacing w:val="-2"/>
          <w:sz w:val="24"/>
          <w:szCs w:val="24"/>
          <w:highlight w:val="none"/>
        </w:rPr>
        <w:t>因工程变更引起工程量增减时，应按承包人在履行合同义务中完成的工程量计算。因承包人原因造成的超出合同工程范围施工或返工</w:t>
      </w:r>
      <w:r>
        <w:rPr>
          <w:rFonts w:hint="eastAsia" w:ascii="宋体" w:hAnsi="宋体" w:eastAsia="宋体" w:cs="宋体"/>
          <w:color w:val="auto"/>
          <w:spacing w:val="-1"/>
          <w:sz w:val="24"/>
          <w:szCs w:val="24"/>
          <w:highlight w:val="none"/>
        </w:rPr>
        <w:t>的工程量，发包人不予计量。</w:t>
      </w:r>
    </w:p>
    <w:p w14:paraId="66099059">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2.3  </w:t>
      </w:r>
      <w:r>
        <w:rPr>
          <w:rFonts w:hint="eastAsia" w:ascii="宋体" w:hAnsi="宋体" w:eastAsia="宋体" w:cs="宋体"/>
          <w:color w:val="auto"/>
          <w:sz w:val="24"/>
          <w:szCs w:val="24"/>
          <w:highlight w:val="none"/>
        </w:rPr>
        <w:t>施工合同履行期间，若出现下列情形的，发、承包双方应当按照以下规定调整</w:t>
      </w:r>
      <w:r>
        <w:rPr>
          <w:rFonts w:hint="eastAsia" w:ascii="宋体" w:hAnsi="宋体" w:eastAsia="宋体" w:cs="宋体"/>
          <w:color w:val="auto"/>
          <w:spacing w:val="-3"/>
          <w:sz w:val="24"/>
          <w:szCs w:val="24"/>
          <w:highlight w:val="none"/>
        </w:rPr>
        <w:t>合同价款：</w:t>
      </w:r>
    </w:p>
    <w:p w14:paraId="76BE7625">
      <w:pPr>
        <w:keepNext w:val="0"/>
        <w:keepLines w:val="0"/>
        <w:pageBreakBefore w:val="0"/>
        <w:widowControl w:val="0"/>
        <w:kinsoku/>
        <w:wordWrap w:val="0"/>
        <w:overflowPunct/>
        <w:topLinePunct/>
        <w:autoSpaceDE/>
        <w:autoSpaceDN/>
        <w:bidi w:val="0"/>
        <w:adjustRightInd w:val="0"/>
        <w:snapToGrid w:val="0"/>
        <w:spacing w:line="360" w:lineRule="auto"/>
        <w:ind w:left="48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2.3.1 </w:t>
      </w:r>
      <w:r>
        <w:rPr>
          <w:rFonts w:hint="eastAsia" w:ascii="宋体" w:hAnsi="宋体" w:eastAsia="宋体" w:cs="宋体"/>
          <w:color w:val="auto"/>
          <w:spacing w:val="-1"/>
          <w:sz w:val="24"/>
          <w:szCs w:val="24"/>
          <w:highlight w:val="none"/>
        </w:rPr>
        <w:t>法律法规变化</w:t>
      </w:r>
    </w:p>
    <w:p w14:paraId="1F98A26A">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2.3.1.1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基准日之后，因国家</w:t>
      </w:r>
      <w:r>
        <w:rPr>
          <w:rFonts w:hint="eastAsia" w:ascii="宋体" w:hAnsi="宋体" w:eastAsia="宋体" w:cs="宋体"/>
          <w:color w:val="auto"/>
          <w:spacing w:val="-3"/>
          <w:sz w:val="24"/>
          <w:szCs w:val="24"/>
          <w:highlight w:val="none"/>
          <w:lang w:eastAsia="zh-CN"/>
        </w:rPr>
        <w:t>法律法规</w:t>
      </w:r>
      <w:r>
        <w:rPr>
          <w:rFonts w:hint="eastAsia" w:ascii="宋体" w:hAnsi="宋体" w:eastAsia="宋体" w:cs="宋体"/>
          <w:color w:val="auto"/>
          <w:spacing w:val="-3"/>
          <w:sz w:val="24"/>
          <w:szCs w:val="24"/>
          <w:highlight w:val="none"/>
        </w:rPr>
        <w:t>、规章和政策发生变化引起工程造价增减变</w:t>
      </w:r>
      <w:r>
        <w:rPr>
          <w:rFonts w:hint="eastAsia" w:ascii="宋体" w:hAnsi="宋体" w:eastAsia="宋体" w:cs="宋体"/>
          <w:color w:val="auto"/>
          <w:spacing w:val="-2"/>
          <w:sz w:val="24"/>
          <w:szCs w:val="24"/>
          <w:highlight w:val="none"/>
        </w:rPr>
        <w:t>化时，发、承包双方应按照省级建设主管部门（或省级行业主管部门）或其授权的工程</w:t>
      </w:r>
      <w:r>
        <w:rPr>
          <w:rFonts w:hint="eastAsia" w:ascii="宋体" w:hAnsi="宋体" w:eastAsia="宋体" w:cs="宋体"/>
          <w:color w:val="auto"/>
          <w:spacing w:val="-1"/>
          <w:sz w:val="24"/>
          <w:szCs w:val="24"/>
          <w:highlight w:val="none"/>
        </w:rPr>
        <w:t>造价管理机构据此发布的最新规定调整合同价款。</w:t>
      </w:r>
    </w:p>
    <w:p w14:paraId="76190C32">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9"/>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注：本招标文件所称“基准日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11"/>
          <w:sz w:val="24"/>
          <w:szCs w:val="24"/>
          <w:highlight w:val="none"/>
        </w:rPr>
        <w:t>”，均指投标文</w:t>
      </w:r>
      <w:r>
        <w:rPr>
          <w:rFonts w:hint="eastAsia" w:ascii="宋体" w:hAnsi="宋体" w:eastAsia="宋体" w:cs="宋体"/>
          <w:b/>
          <w:bCs/>
          <w:color w:val="auto"/>
          <w:spacing w:val="-12"/>
          <w:sz w:val="24"/>
          <w:szCs w:val="24"/>
          <w:highlight w:val="none"/>
        </w:rPr>
        <w:t>件递交截止时间（见第一章第二节“重</w:t>
      </w:r>
      <w:r>
        <w:rPr>
          <w:rFonts w:hint="eastAsia" w:ascii="宋体" w:hAnsi="宋体" w:eastAsia="宋体" w:cs="宋体"/>
          <w:b/>
          <w:bCs/>
          <w:color w:val="auto"/>
          <w:spacing w:val="-5"/>
          <w:sz w:val="24"/>
          <w:szCs w:val="24"/>
          <w:highlight w:val="none"/>
        </w:rPr>
        <w:t>要事项时间地点一览表</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5"/>
          <w:sz w:val="24"/>
          <w:szCs w:val="24"/>
          <w:highlight w:val="none"/>
        </w:rPr>
        <w:t>”）前</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5"/>
          <w:sz w:val="24"/>
          <w:szCs w:val="24"/>
          <w:highlight w:val="none"/>
        </w:rPr>
        <w:t>28天。</w:t>
      </w:r>
    </w:p>
    <w:p w14:paraId="18ED46C9">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2.3.1.2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1"/>
          <w:sz w:val="24"/>
          <w:szCs w:val="24"/>
          <w:highlight w:val="none"/>
        </w:rPr>
        <w:t>因承包人原因导致工程延误，本章第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1"/>
          <w:sz w:val="24"/>
          <w:szCs w:val="24"/>
          <w:highlight w:val="none"/>
        </w:rPr>
        <w:t>2</w:t>
      </w:r>
      <w:r>
        <w:rPr>
          <w:rFonts w:hint="eastAsia" w:ascii="宋体" w:hAnsi="宋体" w:eastAsia="宋体" w:cs="宋体"/>
          <w:b/>
          <w:bCs/>
          <w:color w:val="auto"/>
          <w:sz w:val="24"/>
          <w:szCs w:val="24"/>
          <w:highlight w:val="none"/>
        </w:rPr>
        <w:t>.3.1.1</w:t>
      </w:r>
      <w:r>
        <w:rPr>
          <w:rFonts w:hint="eastAsia" w:ascii="宋体" w:hAnsi="宋体" w:eastAsia="宋体" w:cs="宋体"/>
          <w:color w:val="auto"/>
          <w:sz w:val="24"/>
          <w:szCs w:val="24"/>
          <w:highlight w:val="none"/>
        </w:rPr>
        <w:t>子目中的法定机构根据国家法</w:t>
      </w:r>
      <w:r>
        <w:rPr>
          <w:rFonts w:hint="eastAsia" w:ascii="宋体" w:hAnsi="宋体" w:eastAsia="宋体" w:cs="宋体"/>
          <w:color w:val="auto"/>
          <w:spacing w:val="-3"/>
          <w:sz w:val="24"/>
          <w:szCs w:val="24"/>
          <w:highlight w:val="none"/>
        </w:rPr>
        <w:t>律法规变化发布新规的时间在合同工程原定竣工时间之后的，合同价款调增的不予调整，</w:t>
      </w:r>
      <w:r>
        <w:rPr>
          <w:rFonts w:hint="eastAsia" w:ascii="宋体" w:hAnsi="宋体" w:eastAsia="宋体" w:cs="宋体"/>
          <w:color w:val="auto"/>
          <w:spacing w:val="-1"/>
          <w:sz w:val="24"/>
          <w:szCs w:val="24"/>
          <w:highlight w:val="none"/>
        </w:rPr>
        <w:t>合同价款调减的予以调整。</w:t>
      </w:r>
    </w:p>
    <w:p w14:paraId="391FD7A4">
      <w:pPr>
        <w:keepNext w:val="0"/>
        <w:keepLines w:val="0"/>
        <w:pageBreakBefore w:val="0"/>
        <w:widowControl w:val="0"/>
        <w:kinsoku/>
        <w:wordWrap w:val="0"/>
        <w:overflowPunct/>
        <w:topLinePunct/>
        <w:autoSpaceDE/>
        <w:autoSpaceDN/>
        <w:bidi w:val="0"/>
        <w:adjustRightInd w:val="0"/>
        <w:snapToGrid w:val="0"/>
        <w:spacing w:line="360" w:lineRule="auto"/>
        <w:ind w:left="48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2.3.2 </w:t>
      </w:r>
      <w:r>
        <w:rPr>
          <w:rFonts w:hint="eastAsia" w:ascii="宋体" w:hAnsi="宋体" w:eastAsia="宋体" w:cs="宋体"/>
          <w:color w:val="auto"/>
          <w:spacing w:val="-1"/>
          <w:sz w:val="24"/>
          <w:szCs w:val="24"/>
          <w:highlight w:val="none"/>
        </w:rPr>
        <w:t>工程量偏差或变化</w:t>
      </w:r>
    </w:p>
    <w:p w14:paraId="4CFA23BC">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2.3.2.1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合同履行期间，当应予计算的实际工程量与招标工程量清单出现偏差或因工程变更引起已标价工程量清单项目的工程数量发生变化时，工程量偏差或变化在15%以</w:t>
      </w:r>
      <w:r>
        <w:rPr>
          <w:rFonts w:hint="eastAsia" w:ascii="宋体" w:hAnsi="宋体" w:eastAsia="宋体" w:cs="宋体"/>
          <w:color w:val="auto"/>
          <w:spacing w:val="-4"/>
          <w:sz w:val="24"/>
          <w:szCs w:val="24"/>
          <w:highlight w:val="none"/>
        </w:rPr>
        <w:t>内（含15%）的，其综合单价不予调整；工程量偏差或变化超过15%的，按照以下规定</w:t>
      </w:r>
      <w:r>
        <w:rPr>
          <w:rFonts w:hint="eastAsia" w:ascii="宋体" w:hAnsi="宋体" w:eastAsia="宋体" w:cs="宋体"/>
          <w:color w:val="auto"/>
          <w:spacing w:val="-3"/>
          <w:sz w:val="24"/>
          <w:szCs w:val="24"/>
          <w:highlight w:val="none"/>
        </w:rPr>
        <w:t>调整：</w:t>
      </w:r>
    </w:p>
    <w:p w14:paraId="054D9F0E">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bookmarkStart w:id="159" w:name="bookmark142"/>
      <w:bookmarkEnd w:id="159"/>
      <w:r>
        <w:rPr>
          <w:rFonts w:hint="eastAsia" w:ascii="宋体" w:hAnsi="宋体" w:eastAsia="宋体" w:cs="宋体"/>
          <w:color w:val="auto"/>
          <w:spacing w:val="-3"/>
          <w:sz w:val="24"/>
          <w:szCs w:val="24"/>
          <w:highlight w:val="none"/>
        </w:rPr>
        <w:t>对于合理报价的清单项目，当工程量增加超过15%时，增加部分的工程量的综合单</w:t>
      </w:r>
      <w:r>
        <w:rPr>
          <w:rFonts w:hint="eastAsia" w:ascii="宋体" w:hAnsi="宋体" w:eastAsia="宋体" w:cs="宋体"/>
          <w:color w:val="auto"/>
          <w:spacing w:val="-7"/>
          <w:sz w:val="24"/>
          <w:szCs w:val="24"/>
          <w:highlight w:val="none"/>
        </w:rPr>
        <w:t>价以</w:t>
      </w:r>
      <w:r>
        <w:rPr>
          <w:rFonts w:hint="eastAsia" w:ascii="宋体" w:hAnsi="宋体" w:eastAsia="宋体" w:cs="宋体"/>
          <w:color w:val="auto"/>
          <w:spacing w:val="-3"/>
          <w:sz w:val="24"/>
          <w:szCs w:val="24"/>
          <w:highlight w:val="none"/>
        </w:rPr>
        <w:t>投标报价《</w:t>
      </w:r>
      <w:r>
        <w:rPr>
          <w:rFonts w:hint="eastAsia" w:ascii="宋体" w:hAnsi="宋体" w:eastAsia="宋体" w:cs="宋体"/>
          <w:color w:val="auto"/>
          <w:spacing w:val="-3"/>
          <w:sz w:val="24"/>
          <w:szCs w:val="24"/>
          <w:highlight w:val="none"/>
          <w:lang w:eastAsia="zh-CN"/>
        </w:rPr>
        <w:t>分部分项工程项目清单计价表</w:t>
      </w:r>
      <w:r>
        <w:rPr>
          <w:rFonts w:hint="eastAsia" w:ascii="宋体" w:hAnsi="宋体" w:eastAsia="宋体" w:cs="宋体"/>
          <w:color w:val="auto"/>
          <w:spacing w:val="-3"/>
          <w:sz w:val="24"/>
          <w:szCs w:val="24"/>
          <w:highlight w:val="none"/>
        </w:rPr>
        <w:t>》中综合单价为基价调低</w:t>
      </w:r>
      <w:r>
        <w:rPr>
          <w:rFonts w:hint="eastAsia" w:ascii="宋体" w:hAnsi="宋体" w:eastAsia="宋体" w:cs="宋体"/>
          <w:color w:val="auto"/>
          <w:spacing w:val="-3"/>
          <w:sz w:val="24"/>
          <w:szCs w:val="24"/>
          <w:highlight w:val="none"/>
          <w:u w:val="single"/>
        </w:rPr>
        <w:t xml:space="preserve"> 3</w:t>
      </w:r>
      <w:r>
        <w:rPr>
          <w:rFonts w:hint="eastAsia" w:ascii="宋体" w:hAnsi="宋体" w:eastAsia="宋体" w:cs="宋体"/>
          <w:color w:val="auto"/>
          <w:spacing w:val="-3"/>
          <w:sz w:val="24"/>
          <w:szCs w:val="24"/>
          <w:highlight w:val="none"/>
          <w:u w:val="single"/>
          <w:lang w:val="en-US" w:eastAsia="zh-CN"/>
        </w:rPr>
        <w:t xml:space="preserve"> </w:t>
      </w:r>
      <w:r>
        <w:rPr>
          <w:rFonts w:hint="eastAsia" w:ascii="宋体" w:hAnsi="宋体" w:eastAsia="宋体" w:cs="宋体"/>
          <w:color w:val="auto"/>
          <w:spacing w:val="-3"/>
          <w:sz w:val="24"/>
          <w:szCs w:val="24"/>
          <w:highlight w:val="none"/>
        </w:rPr>
        <w:t>%；当工程量减少超过15%时，减少后剩余部分的工程量的综合单价以投标报价《</w:t>
      </w:r>
      <w:r>
        <w:rPr>
          <w:rFonts w:hint="eastAsia" w:ascii="宋体" w:hAnsi="宋体" w:eastAsia="宋体" w:cs="宋体"/>
          <w:color w:val="auto"/>
          <w:spacing w:val="-3"/>
          <w:sz w:val="24"/>
          <w:szCs w:val="24"/>
          <w:highlight w:val="none"/>
          <w:lang w:eastAsia="zh-CN"/>
        </w:rPr>
        <w:t>分部分项工程项目清单计价表</w:t>
      </w:r>
      <w:r>
        <w:rPr>
          <w:rFonts w:hint="eastAsia" w:ascii="宋体" w:hAnsi="宋体" w:eastAsia="宋体" w:cs="宋体"/>
          <w:color w:val="auto"/>
          <w:spacing w:val="-3"/>
          <w:sz w:val="24"/>
          <w:szCs w:val="24"/>
          <w:highlight w:val="none"/>
        </w:rPr>
        <w:t>》中综合单价为基价调高</w:t>
      </w:r>
      <w:r>
        <w:rPr>
          <w:rFonts w:hint="eastAsia" w:ascii="宋体" w:hAnsi="宋体" w:eastAsia="宋体" w:cs="宋体"/>
          <w:color w:val="auto"/>
          <w:spacing w:val="-3"/>
          <w:sz w:val="24"/>
          <w:szCs w:val="24"/>
          <w:highlight w:val="none"/>
          <w:u w:val="single"/>
        </w:rPr>
        <w:t xml:space="preserve"> 3</w:t>
      </w:r>
      <w:r>
        <w:rPr>
          <w:rFonts w:hint="eastAsia" w:ascii="宋体" w:hAnsi="宋体" w:eastAsia="宋体" w:cs="宋体"/>
          <w:color w:val="auto"/>
          <w:spacing w:val="-3"/>
          <w:sz w:val="24"/>
          <w:szCs w:val="24"/>
          <w:highlight w:val="none"/>
          <w:u w:val="single"/>
          <w:lang w:val="en-US" w:eastAsia="zh-CN"/>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1"/>
          <w:sz w:val="24"/>
          <w:szCs w:val="24"/>
          <w:highlight w:val="none"/>
        </w:rPr>
        <w:t>。</w:t>
      </w:r>
    </w:p>
    <w:p w14:paraId="6C69D3CC">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对于按照第二章“</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 条被认定为不平衡报价的清单项目，其综合</w:t>
      </w:r>
      <w:r>
        <w:rPr>
          <w:rFonts w:hint="eastAsia" w:ascii="宋体" w:hAnsi="宋体" w:eastAsia="宋体" w:cs="宋体"/>
          <w:b/>
          <w:bCs/>
          <w:color w:val="auto"/>
          <w:spacing w:val="-3"/>
          <w:sz w:val="24"/>
          <w:szCs w:val="24"/>
          <w:highlight w:val="none"/>
        </w:rPr>
        <w:t>单价</w:t>
      </w:r>
      <w:r>
        <w:rPr>
          <w:rFonts w:hint="eastAsia" w:ascii="宋体" w:hAnsi="宋体" w:eastAsia="宋体" w:cs="宋体"/>
          <w:color w:val="auto"/>
          <w:spacing w:val="-3"/>
          <w:sz w:val="24"/>
          <w:szCs w:val="24"/>
          <w:highlight w:val="none"/>
        </w:rPr>
        <w:t>按照</w:t>
      </w:r>
      <w:r>
        <w:rPr>
          <w:rFonts w:hint="eastAsia" w:ascii="宋体" w:hAnsi="宋体" w:eastAsia="宋体" w:cs="宋体"/>
          <w:b/>
          <w:bCs/>
          <w:color w:val="auto"/>
          <w:spacing w:val="-3"/>
          <w:sz w:val="24"/>
          <w:szCs w:val="24"/>
          <w:highlight w:val="none"/>
        </w:rPr>
        <w:t>以下方法调整：</w:t>
      </w:r>
    </w:p>
    <w:p w14:paraId="28DDBD2F">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t>以</w:t>
      </w:r>
      <w:r>
        <w:rPr>
          <w:rFonts w:hint="eastAsia" w:ascii="宋体" w:hAnsi="宋体" w:eastAsia="宋体" w:cs="宋体"/>
          <w:b/>
          <w:bCs/>
          <w:color w:val="auto"/>
          <w:spacing w:val="-4"/>
          <w:sz w:val="24"/>
          <w:szCs w:val="24"/>
          <w:highlight w:val="none"/>
          <w:lang w:val="en-US" w:eastAsia="zh-CN"/>
        </w:rPr>
        <w:t>最高投标限价</w:t>
      </w:r>
      <w:r>
        <w:rPr>
          <w:rFonts w:hint="eastAsia" w:ascii="宋体" w:hAnsi="宋体" w:eastAsia="宋体" w:cs="宋体"/>
          <w:b/>
          <w:bCs/>
          <w:color w:val="auto"/>
          <w:spacing w:val="-4"/>
          <w:sz w:val="24"/>
          <w:szCs w:val="24"/>
          <w:highlight w:val="none"/>
        </w:rPr>
        <w:t>中《</w:t>
      </w:r>
      <w:r>
        <w:rPr>
          <w:rFonts w:hint="eastAsia" w:ascii="宋体" w:hAnsi="宋体" w:eastAsia="宋体" w:cs="宋体"/>
          <w:b/>
          <w:bCs/>
          <w:color w:val="auto"/>
          <w:spacing w:val="-4"/>
          <w:sz w:val="24"/>
          <w:szCs w:val="24"/>
          <w:highlight w:val="none"/>
          <w:lang w:eastAsia="zh-CN"/>
        </w:rPr>
        <w:t>分部分项工程项目清单计价表</w:t>
      </w:r>
      <w:r>
        <w:rPr>
          <w:rFonts w:hint="eastAsia" w:ascii="宋体" w:hAnsi="宋体" w:eastAsia="宋体" w:cs="宋体"/>
          <w:b/>
          <w:bCs/>
          <w:color w:val="auto"/>
          <w:spacing w:val="-4"/>
          <w:sz w:val="24"/>
          <w:szCs w:val="24"/>
          <w:highlight w:val="none"/>
        </w:rPr>
        <w:t>》子目相对应综合单价×（1</w:t>
      </w:r>
      <w:r>
        <w:rPr>
          <w:rFonts w:hint="eastAsia" w:ascii="宋体" w:hAnsi="宋体" w:eastAsia="宋体" w:cs="宋体"/>
          <w:b/>
          <w:bCs/>
          <w:color w:val="auto"/>
          <w:spacing w:val="-4"/>
          <w:sz w:val="24"/>
          <w:szCs w:val="24"/>
          <w:highlight w:val="none"/>
          <w:lang w:eastAsia="zh-CN"/>
        </w:rPr>
        <w:t>－</w:t>
      </w:r>
      <w:r>
        <w:rPr>
          <w:rFonts w:hint="eastAsia" w:ascii="宋体" w:hAnsi="宋体" w:eastAsia="宋体" w:cs="宋体"/>
          <w:b/>
          <w:bCs/>
          <w:color w:val="auto"/>
          <w:spacing w:val="-4"/>
          <w:sz w:val="24"/>
          <w:szCs w:val="24"/>
          <w:highlight w:val="none"/>
        </w:rPr>
        <w:t>中标下浮率）。</w:t>
      </w:r>
    </w:p>
    <w:p w14:paraId="3B03C11E">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
          <w:bCs/>
          <w:color w:val="auto"/>
          <w:spacing w:val="-4"/>
          <w:sz w:val="24"/>
          <w:szCs w:val="24"/>
          <w:highlight w:val="none"/>
        </w:rPr>
      </w:pPr>
      <w:bookmarkStart w:id="160" w:name="_Toc18478"/>
      <w:bookmarkStart w:id="161" w:name="_Toc12035"/>
      <w:bookmarkStart w:id="162" w:name="_Toc30068"/>
      <w:r>
        <w:rPr>
          <w:rFonts w:hint="eastAsia" w:ascii="宋体" w:hAnsi="宋体" w:eastAsia="宋体" w:cs="宋体"/>
          <w:b/>
          <w:bCs/>
          <w:color w:val="auto"/>
          <w:spacing w:val="-4"/>
          <w:sz w:val="24"/>
          <w:szCs w:val="24"/>
          <w:highlight w:val="none"/>
        </w:rPr>
        <w:t>中标下浮率=[1-（中标价-中标</w:t>
      </w:r>
      <w:r>
        <w:rPr>
          <w:rFonts w:hint="eastAsia" w:ascii="宋体" w:hAnsi="宋体" w:eastAsia="宋体" w:cs="宋体"/>
          <w:b/>
          <w:bCs/>
          <w:color w:val="auto"/>
          <w:spacing w:val="-4"/>
          <w:sz w:val="24"/>
          <w:szCs w:val="24"/>
          <w:highlight w:val="none"/>
          <w:lang w:eastAsia="zh-CN"/>
        </w:rPr>
        <w:t>安全生产措施费</w:t>
      </w:r>
      <w:r>
        <w:rPr>
          <w:rFonts w:hint="eastAsia" w:ascii="宋体" w:hAnsi="宋体" w:eastAsia="宋体" w:cs="宋体"/>
          <w:b/>
          <w:bCs/>
          <w:color w:val="auto"/>
          <w:spacing w:val="-4"/>
          <w:sz w:val="24"/>
          <w:szCs w:val="24"/>
          <w:highlight w:val="none"/>
        </w:rPr>
        <w:t>-暂列金额-暂估价）/（</w:t>
      </w:r>
      <w:bookmarkEnd w:id="160"/>
      <w:bookmarkEnd w:id="161"/>
      <w:bookmarkStart w:id="163" w:name="_Toc15512"/>
      <w:bookmarkStart w:id="164" w:name="_Toc13602"/>
      <w:r>
        <w:rPr>
          <w:rFonts w:hint="eastAsia" w:ascii="宋体" w:hAnsi="宋体" w:eastAsia="宋体" w:cs="宋体"/>
          <w:b/>
          <w:bCs/>
          <w:color w:val="auto"/>
          <w:spacing w:val="-4"/>
          <w:sz w:val="24"/>
          <w:szCs w:val="24"/>
          <w:highlight w:val="none"/>
          <w:lang w:val="en-US" w:eastAsia="zh-CN"/>
        </w:rPr>
        <w:t>最高投标限价</w:t>
      </w:r>
      <w:r>
        <w:rPr>
          <w:rFonts w:hint="eastAsia" w:ascii="宋体" w:hAnsi="宋体" w:eastAsia="宋体" w:cs="宋体"/>
          <w:b/>
          <w:bCs/>
          <w:color w:val="auto"/>
          <w:spacing w:val="-4"/>
          <w:sz w:val="24"/>
          <w:szCs w:val="24"/>
          <w:highlight w:val="none"/>
        </w:rPr>
        <w:t>-</w:t>
      </w:r>
      <w:r>
        <w:rPr>
          <w:rFonts w:hint="eastAsia" w:ascii="宋体" w:hAnsi="宋体" w:eastAsia="宋体" w:cs="宋体"/>
          <w:b/>
          <w:bCs/>
          <w:color w:val="auto"/>
          <w:spacing w:val="-3"/>
          <w:sz w:val="24"/>
          <w:szCs w:val="24"/>
          <w:highlight w:val="none"/>
          <w:lang w:val="en-US" w:eastAsia="zh-CN"/>
        </w:rPr>
        <w:t>投标</w:t>
      </w:r>
      <w:r>
        <w:rPr>
          <w:rFonts w:hint="eastAsia" w:ascii="宋体" w:hAnsi="宋体" w:eastAsia="宋体" w:cs="宋体"/>
          <w:b/>
          <w:bCs/>
          <w:color w:val="auto"/>
          <w:spacing w:val="-4"/>
          <w:sz w:val="24"/>
          <w:szCs w:val="24"/>
          <w:highlight w:val="none"/>
          <w:lang w:val="en-US" w:eastAsia="zh-CN"/>
        </w:rPr>
        <w:t>限价</w:t>
      </w:r>
      <w:r>
        <w:rPr>
          <w:rFonts w:hint="eastAsia" w:ascii="宋体" w:hAnsi="宋体" w:eastAsia="宋体" w:cs="宋体"/>
          <w:b/>
          <w:bCs/>
          <w:color w:val="auto"/>
          <w:spacing w:val="-4"/>
          <w:sz w:val="24"/>
          <w:szCs w:val="24"/>
          <w:highlight w:val="none"/>
          <w:lang w:eastAsia="zh-CN"/>
        </w:rPr>
        <w:t>安全生产措施费</w:t>
      </w:r>
      <w:r>
        <w:rPr>
          <w:rFonts w:hint="eastAsia" w:ascii="宋体" w:hAnsi="宋体" w:eastAsia="宋体" w:cs="宋体"/>
          <w:b/>
          <w:bCs/>
          <w:color w:val="auto"/>
          <w:spacing w:val="-4"/>
          <w:sz w:val="24"/>
          <w:szCs w:val="24"/>
          <w:highlight w:val="none"/>
        </w:rPr>
        <w:t>-暂列金额-暂估价）]×100%</w:t>
      </w:r>
      <w:bookmarkEnd w:id="162"/>
      <w:bookmarkEnd w:id="163"/>
      <w:bookmarkEnd w:id="164"/>
    </w:p>
    <w:p w14:paraId="05B64ABA">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2.3.2.2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3"/>
          <w:sz w:val="24"/>
          <w:szCs w:val="24"/>
          <w:highlight w:val="none"/>
        </w:rPr>
        <w:t>如果工程量出现本章第2.3.2.1子目的变化，且该变化引起相关措施项目相应发生变化时，按系数计价的，工程量增加的措施项目费调增，工程量减少的措施项目费调减。单一总价方式计价的，</w:t>
      </w:r>
      <w:r>
        <w:rPr>
          <w:rFonts w:hint="eastAsia" w:ascii="宋体" w:hAnsi="宋体" w:eastAsia="宋体" w:cs="宋体"/>
          <w:color w:val="auto"/>
          <w:spacing w:val="-3"/>
          <w:sz w:val="24"/>
          <w:szCs w:val="24"/>
          <w:highlight w:val="none"/>
          <w:lang w:val="en-US" w:eastAsia="zh-CN"/>
        </w:rPr>
        <w:t>不调整价格。</w:t>
      </w:r>
    </w:p>
    <w:p w14:paraId="3903FF35">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2.3.3  </w:t>
      </w:r>
      <w:r>
        <w:rPr>
          <w:rFonts w:hint="eastAsia" w:ascii="宋体" w:hAnsi="宋体" w:eastAsia="宋体" w:cs="宋体"/>
          <w:color w:val="auto"/>
          <w:spacing w:val="-1"/>
          <w:sz w:val="24"/>
          <w:szCs w:val="24"/>
          <w:highlight w:val="none"/>
        </w:rPr>
        <w:t>工程变更</w:t>
      </w:r>
    </w:p>
    <w:p w14:paraId="08941D59">
      <w:pPr>
        <w:keepNext w:val="0"/>
        <w:keepLines w:val="0"/>
        <w:pageBreakBefore w:val="0"/>
        <w:widowControl w:val="0"/>
        <w:kinsoku/>
        <w:wordWrap w:val="0"/>
        <w:overflowPunct/>
        <w:topLinePunct/>
        <w:autoSpaceDE/>
        <w:autoSpaceDN/>
        <w:bidi w:val="0"/>
        <w:adjustRightInd w:val="0"/>
        <w:snapToGrid w:val="0"/>
        <w:spacing w:line="360" w:lineRule="auto"/>
        <w:ind w:left="19" w:right="84" w:rightChars="40" w:firstLine="468"/>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合同履行期间，因工程变更引起已标价工程量清单项目发生变化时，按照以下规定调整：</w:t>
      </w:r>
    </w:p>
    <w:p w14:paraId="53DE7068">
      <w:pPr>
        <w:keepNext w:val="0"/>
        <w:keepLines w:val="0"/>
        <w:pageBreakBefore w:val="0"/>
        <w:widowControl w:val="0"/>
        <w:numPr>
          <w:ilvl w:val="0"/>
          <w:numId w:val="3"/>
        </w:numPr>
        <w:kinsoku/>
        <w:wordWrap w:val="0"/>
        <w:overflowPunct/>
        <w:topLinePunct/>
        <w:autoSpaceDE/>
        <w:autoSpaceDN/>
        <w:bidi w:val="0"/>
        <w:adjustRightInd w:val="0"/>
        <w:snapToGrid w:val="0"/>
        <w:spacing w:line="360" w:lineRule="auto"/>
        <w:ind w:right="84" w:rightChars="40" w:firstLine="242" w:firstLineChars="100"/>
        <w:textAlignment w:val="baseline"/>
        <w:rPr>
          <w:rFonts w:hint="eastAsia" w:ascii="宋体" w:hAnsi="宋体" w:eastAsia="宋体" w:cs="宋体"/>
          <w:b/>
          <w:bCs/>
          <w:color w:val="auto"/>
          <w:spacing w:val="-2"/>
          <w:sz w:val="24"/>
          <w:szCs w:val="24"/>
          <w:highlight w:val="none"/>
        </w:rPr>
      </w:pPr>
      <w:r>
        <w:rPr>
          <w:rFonts w:hint="eastAsia" w:ascii="宋体" w:hAnsi="宋体" w:eastAsia="宋体" w:cs="宋体"/>
          <w:color w:val="auto"/>
          <w:spacing w:val="1"/>
          <w:sz w:val="24"/>
          <w:szCs w:val="24"/>
          <w:highlight w:val="none"/>
        </w:rPr>
        <w:t>已标价工程量清单中有适用于变更工程项目的，采用该项目的单价。</w:t>
      </w:r>
      <w:r>
        <w:rPr>
          <w:rFonts w:hint="eastAsia" w:ascii="宋体" w:hAnsi="宋体" w:eastAsia="宋体" w:cs="宋体"/>
          <w:b/>
          <w:bCs/>
          <w:color w:val="auto"/>
          <w:spacing w:val="1"/>
          <w:sz w:val="24"/>
          <w:szCs w:val="24"/>
          <w:highlight w:val="none"/>
        </w:rPr>
        <w:t>但如果</w:t>
      </w:r>
      <w:bookmarkStart w:id="165" w:name="bookmark143"/>
      <w:bookmarkEnd w:id="165"/>
      <w:r>
        <w:rPr>
          <w:rFonts w:hint="eastAsia" w:ascii="宋体" w:hAnsi="宋体" w:eastAsia="宋体" w:cs="宋体"/>
          <w:b/>
          <w:bCs/>
          <w:color w:val="auto"/>
          <w:spacing w:val="-7"/>
          <w:sz w:val="24"/>
          <w:szCs w:val="24"/>
          <w:highlight w:val="none"/>
        </w:rPr>
        <w:t>被采用的项目属于按照第二章“中标人须知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7"/>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8"/>
          <w:sz w:val="24"/>
          <w:szCs w:val="24"/>
          <w:highlight w:val="none"/>
        </w:rPr>
        <w:t>4.2条被认定为不平衡报价的清单项目，</w:t>
      </w:r>
      <w:r>
        <w:rPr>
          <w:rFonts w:hint="eastAsia" w:ascii="宋体" w:hAnsi="宋体" w:eastAsia="宋体" w:cs="宋体"/>
          <w:b/>
          <w:bCs/>
          <w:color w:val="auto"/>
          <w:spacing w:val="-2"/>
          <w:sz w:val="24"/>
          <w:szCs w:val="24"/>
          <w:highlight w:val="none"/>
        </w:rPr>
        <w:t>变更工程项目的单价按照</w:t>
      </w:r>
      <w:r>
        <w:rPr>
          <w:rFonts w:hint="eastAsia" w:ascii="宋体" w:hAnsi="宋体" w:eastAsia="宋体" w:cs="宋体"/>
          <w:b/>
          <w:bCs/>
          <w:color w:val="auto"/>
          <w:spacing w:val="-7"/>
          <w:sz w:val="24"/>
          <w:szCs w:val="24"/>
          <w:highlight w:val="none"/>
        </w:rPr>
        <w:t>本章2.3.2.1的</w:t>
      </w:r>
      <w:r>
        <w:rPr>
          <w:rFonts w:hint="eastAsia" w:ascii="宋体" w:hAnsi="宋体" w:eastAsia="宋体" w:cs="宋体"/>
          <w:b/>
          <w:bCs/>
          <w:color w:val="auto"/>
          <w:spacing w:val="-2"/>
          <w:sz w:val="24"/>
          <w:szCs w:val="24"/>
          <w:highlight w:val="none"/>
        </w:rPr>
        <w:t>方法调整</w:t>
      </w:r>
      <w:r>
        <w:rPr>
          <w:rFonts w:hint="eastAsia" w:ascii="宋体" w:hAnsi="宋体" w:eastAsia="宋体" w:cs="宋体"/>
          <w:b/>
          <w:bCs/>
          <w:color w:val="auto"/>
          <w:spacing w:val="-2"/>
          <w:sz w:val="24"/>
          <w:szCs w:val="24"/>
          <w:highlight w:val="none"/>
          <w:lang w:eastAsia="zh-CN"/>
        </w:rPr>
        <w:t>。</w:t>
      </w:r>
    </w:p>
    <w:p w14:paraId="25440E9F">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auto"/>
        <w:ind w:right="84" w:rightChars="40" w:firstLine="237" w:firstLineChars="1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b/>
          <w:bCs/>
          <w:color w:val="auto"/>
          <w:spacing w:val="-2"/>
          <w:sz w:val="24"/>
          <w:szCs w:val="24"/>
          <w:highlight w:val="none"/>
          <w:lang w:val="en-US" w:eastAsia="zh-CN"/>
        </w:rPr>
        <w:t>2</w:t>
      </w: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已标价工程量清单中没有适用但有类似于变更工程项目的，可在合理范围内</w:t>
      </w:r>
      <w:r>
        <w:rPr>
          <w:rFonts w:hint="eastAsia" w:ascii="宋体" w:hAnsi="宋体" w:eastAsia="宋体" w:cs="宋体"/>
          <w:color w:val="auto"/>
          <w:spacing w:val="-3"/>
          <w:sz w:val="24"/>
          <w:szCs w:val="24"/>
          <w:highlight w:val="none"/>
        </w:rPr>
        <w:t>参照类似项目的单价。</w:t>
      </w:r>
      <w:r>
        <w:rPr>
          <w:rFonts w:hint="eastAsia" w:ascii="宋体" w:hAnsi="宋体" w:eastAsia="宋体" w:cs="宋体"/>
          <w:b/>
          <w:bCs/>
          <w:color w:val="auto"/>
          <w:spacing w:val="-3"/>
          <w:sz w:val="24"/>
          <w:szCs w:val="24"/>
          <w:highlight w:val="none"/>
        </w:rPr>
        <w:t>但如果被参考的类似项目属于按照第二章“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5"/>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4.2条被认定为不平衡报价的清单项目，变更工程项目的单价按照本章2.3.2.1的方法调整。</w:t>
      </w:r>
    </w:p>
    <w:p w14:paraId="22E22B1A">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auto"/>
        <w:ind w:right="84" w:rightChars="40" w:firstLine="242" w:firstLineChars="100"/>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已标价工程量清单中没有适用也没有类似于变更工程项目的，由承包人根据</w:t>
      </w:r>
      <w:r>
        <w:rPr>
          <w:rFonts w:hint="eastAsia" w:ascii="宋体" w:hAnsi="宋体" w:eastAsia="宋体" w:cs="宋体"/>
          <w:color w:val="auto"/>
          <w:spacing w:val="-2"/>
          <w:sz w:val="24"/>
          <w:szCs w:val="24"/>
          <w:highlight w:val="none"/>
        </w:rPr>
        <w:t>变更工程资料、计量规则、计价办法、施工当月项目所在地工程造价管理机构发布的价格信息和中标下浮率提出变更工程项目的单价，报发包人确认后调整。中标下浮率的计算公式如下：</w:t>
      </w:r>
    </w:p>
    <w:p w14:paraId="2E6C82D5">
      <w:pPr>
        <w:keepNext w:val="0"/>
        <w:keepLines w:val="0"/>
        <w:pageBreakBefore w:val="0"/>
        <w:widowControl w:val="0"/>
        <w:kinsoku/>
        <w:wordWrap w:val="0"/>
        <w:overflowPunct/>
        <w:topLinePunct/>
        <w:autoSpaceDE/>
        <w:autoSpaceDN/>
        <w:bidi w:val="0"/>
        <w:adjustRightInd w:val="0"/>
        <w:snapToGrid w:val="0"/>
        <w:spacing w:line="360" w:lineRule="auto"/>
        <w:ind w:left="28" w:right="84" w:rightChars="40" w:firstLine="50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中标下浮率=[1-（中标价-中标</w:t>
      </w:r>
      <w:r>
        <w:rPr>
          <w:rFonts w:hint="eastAsia" w:ascii="宋体" w:hAnsi="宋体" w:eastAsia="宋体" w:cs="宋体"/>
          <w:b/>
          <w:bCs/>
          <w:color w:val="auto"/>
          <w:spacing w:val="-2"/>
          <w:sz w:val="24"/>
          <w:szCs w:val="24"/>
          <w:highlight w:val="none"/>
          <w:lang w:eastAsia="zh-CN"/>
        </w:rPr>
        <w:t>安全生产措施费</w:t>
      </w:r>
      <w:r>
        <w:rPr>
          <w:rFonts w:hint="eastAsia" w:ascii="宋体" w:hAnsi="宋体" w:eastAsia="宋体" w:cs="宋体"/>
          <w:b/>
          <w:bCs/>
          <w:color w:val="auto"/>
          <w:spacing w:val="-2"/>
          <w:sz w:val="24"/>
          <w:szCs w:val="24"/>
          <w:highlight w:val="none"/>
        </w:rPr>
        <w:t>-暂列</w:t>
      </w:r>
      <w:r>
        <w:rPr>
          <w:rFonts w:hint="eastAsia" w:ascii="宋体" w:hAnsi="宋体" w:eastAsia="宋体" w:cs="宋体"/>
          <w:b/>
          <w:bCs/>
          <w:color w:val="auto"/>
          <w:spacing w:val="-3"/>
          <w:sz w:val="24"/>
          <w:szCs w:val="24"/>
          <w:highlight w:val="none"/>
        </w:rPr>
        <w:t>金额-暂估价）/（</w:t>
      </w:r>
      <w:r>
        <w:rPr>
          <w:rFonts w:hint="eastAsia" w:ascii="宋体" w:hAnsi="宋体" w:eastAsia="宋体" w:cs="宋体"/>
          <w:b/>
          <w:bCs/>
          <w:color w:val="auto"/>
          <w:spacing w:val="-3"/>
          <w:sz w:val="24"/>
          <w:szCs w:val="24"/>
          <w:highlight w:val="none"/>
          <w:lang w:val="en-US" w:eastAsia="zh-CN"/>
        </w:rPr>
        <w:t>最高投标限价</w:t>
      </w:r>
      <w:r>
        <w:rPr>
          <w:rFonts w:hint="eastAsia" w:ascii="宋体" w:hAnsi="宋体" w:eastAsia="宋体" w:cs="宋体"/>
          <w:b/>
          <w:bCs/>
          <w:color w:val="auto"/>
          <w:spacing w:val="-3"/>
          <w:sz w:val="24"/>
          <w:szCs w:val="24"/>
          <w:highlight w:val="none"/>
        </w:rPr>
        <w:t>-</w:t>
      </w:r>
      <w:r>
        <w:rPr>
          <w:rFonts w:hint="eastAsia" w:ascii="宋体" w:hAnsi="宋体" w:eastAsia="宋体" w:cs="宋体"/>
          <w:b/>
          <w:bCs/>
          <w:color w:val="auto"/>
          <w:spacing w:val="-3"/>
          <w:sz w:val="24"/>
          <w:szCs w:val="24"/>
          <w:highlight w:val="none"/>
          <w:lang w:val="en-US" w:eastAsia="zh-CN"/>
        </w:rPr>
        <w:t>投标限价</w:t>
      </w:r>
      <w:r>
        <w:rPr>
          <w:rFonts w:hint="eastAsia" w:ascii="宋体" w:hAnsi="宋体" w:eastAsia="宋体" w:cs="宋体"/>
          <w:b/>
          <w:bCs/>
          <w:color w:val="auto"/>
          <w:spacing w:val="-3"/>
          <w:sz w:val="24"/>
          <w:szCs w:val="24"/>
          <w:highlight w:val="none"/>
          <w:lang w:eastAsia="zh-CN"/>
        </w:rPr>
        <w:t>安全生产措施费</w:t>
      </w:r>
      <w:r>
        <w:rPr>
          <w:rFonts w:hint="eastAsia" w:ascii="宋体" w:hAnsi="宋体" w:eastAsia="宋体" w:cs="宋体"/>
          <w:b/>
          <w:bCs/>
          <w:color w:val="auto"/>
          <w:spacing w:val="-3"/>
          <w:sz w:val="24"/>
          <w:szCs w:val="24"/>
          <w:highlight w:val="none"/>
        </w:rPr>
        <w:t>-暂列金额-暂估价）]</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3"/>
          <w:sz w:val="24"/>
          <w:szCs w:val="24"/>
          <w:highlight w:val="none"/>
        </w:rPr>
        <w:t>×100%</w:t>
      </w:r>
    </w:p>
    <w:p w14:paraId="4A8B331F">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242" w:firstLineChars="100"/>
        <w:textAlignment w:val="baseline"/>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lang w:eastAsia="zh-CN"/>
        </w:rPr>
        <w:t>）</w:t>
      </w:r>
      <w:r>
        <w:rPr>
          <w:rFonts w:hint="eastAsia" w:ascii="宋体" w:hAnsi="宋体" w:eastAsia="宋体" w:cs="宋体"/>
          <w:snapToGrid w:val="0"/>
          <w:color w:val="auto"/>
          <w:kern w:val="0"/>
          <w:sz w:val="24"/>
          <w:szCs w:val="24"/>
          <w:highlight w:val="none"/>
          <w:lang w:eastAsia="zh-CN"/>
        </w:rPr>
        <w:t>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35A40550">
      <w:pPr>
        <w:keepNext w:val="0"/>
        <w:keepLines w:val="0"/>
        <w:pageBreakBefore w:val="0"/>
        <w:widowControl w:val="0"/>
        <w:kinsoku/>
        <w:wordWrap w:val="0"/>
        <w:overflowPunct/>
        <w:topLinePunct/>
        <w:autoSpaceDE/>
        <w:autoSpaceDN/>
        <w:bidi w:val="0"/>
        <w:adjustRightInd w:val="0"/>
        <w:snapToGrid w:val="0"/>
        <w:spacing w:line="360" w:lineRule="auto"/>
        <w:ind w:left="7" w:right="84" w:rightChars="40"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2.3.3.2</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工程变更引起施工方案改变并使措施项目发生变化时，承包人提出调整措施</w:t>
      </w:r>
      <w:r>
        <w:rPr>
          <w:rFonts w:hint="eastAsia" w:ascii="宋体" w:hAnsi="宋体" w:eastAsia="宋体" w:cs="宋体"/>
          <w:color w:val="auto"/>
          <w:spacing w:val="-2"/>
          <w:sz w:val="24"/>
          <w:szCs w:val="24"/>
          <w:highlight w:val="none"/>
        </w:rPr>
        <w:t>项目费的，应事先将拟实施的方案提交发包人确认，并应详细说明与原方案措施项目相比的变化情况。拟实施的方案经发、承包双方确认后执行，并按照本章下列规定调整措施项目费：</w:t>
      </w:r>
    </w:p>
    <w:p w14:paraId="073D28CA">
      <w:pPr>
        <w:keepNext w:val="0"/>
        <w:keepLines w:val="0"/>
        <w:pageBreakBefore w:val="0"/>
        <w:widowControl w:val="0"/>
        <w:kinsoku/>
        <w:wordWrap w:val="0"/>
        <w:overflowPunct/>
        <w:topLinePunct/>
        <w:autoSpaceDE/>
        <w:autoSpaceDN/>
        <w:bidi w:val="0"/>
        <w:adjustRightInd w:val="0"/>
        <w:snapToGrid w:val="0"/>
        <w:spacing w:line="360" w:lineRule="auto"/>
        <w:ind w:left="499"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color w:val="auto"/>
          <w:spacing w:val="-1"/>
          <w:sz w:val="24"/>
          <w:szCs w:val="24"/>
          <w:highlight w:val="none"/>
          <w:lang w:eastAsia="zh-CN"/>
        </w:rPr>
        <w:t>安全生产措施费</w:t>
      </w:r>
      <w:r>
        <w:rPr>
          <w:rFonts w:hint="eastAsia" w:ascii="宋体" w:hAnsi="宋体" w:eastAsia="宋体" w:cs="宋体"/>
          <w:color w:val="auto"/>
          <w:spacing w:val="-1"/>
          <w:sz w:val="24"/>
          <w:szCs w:val="24"/>
          <w:highlight w:val="none"/>
        </w:rPr>
        <w:t>应按照实际发生变化的措施项目计算。</w:t>
      </w:r>
    </w:p>
    <w:p w14:paraId="378C20E8">
      <w:pPr>
        <w:keepNext w:val="0"/>
        <w:keepLines w:val="0"/>
        <w:pageBreakBefore w:val="0"/>
        <w:widowControl w:val="0"/>
        <w:kinsoku/>
        <w:wordWrap w:val="0"/>
        <w:overflowPunct/>
        <w:topLinePunct/>
        <w:autoSpaceDE/>
        <w:autoSpaceDN/>
        <w:bidi w:val="0"/>
        <w:adjustRightInd w:val="0"/>
        <w:snapToGrid w:val="0"/>
        <w:spacing w:line="360" w:lineRule="auto"/>
        <w:ind w:left="7" w:right="84" w:rightChars="40" w:firstLine="477"/>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3"/>
          <w:sz w:val="24"/>
          <w:szCs w:val="24"/>
          <w:highlight w:val="none"/>
        </w:rPr>
        <w:t>采用单价计算的措施项目费，应按照实际发生变化的措施项目，按本章第2.3.3.1子目的规定确定单价。</w:t>
      </w:r>
    </w:p>
    <w:p w14:paraId="4F91104C">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9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（3）按总价或系数计算的措施项目费，应按照实际发生变化的措施项目费调整并</w:t>
      </w:r>
      <w:r>
        <w:rPr>
          <w:rFonts w:hint="eastAsia" w:ascii="宋体" w:hAnsi="宋体" w:eastAsia="宋体" w:cs="宋体"/>
          <w:color w:val="auto"/>
          <w:spacing w:val="-3"/>
          <w:sz w:val="24"/>
          <w:szCs w:val="24"/>
          <w:highlight w:val="none"/>
        </w:rPr>
        <w:t>考虑中标下浮率因素，即调整金额＝按照实际变化调整后的金额×（1</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中标下浮率）。</w:t>
      </w:r>
    </w:p>
    <w:p w14:paraId="450D6A0B">
      <w:pPr>
        <w:keepNext w:val="0"/>
        <w:keepLines w:val="0"/>
        <w:pageBreakBefore w:val="0"/>
        <w:widowControl w:val="0"/>
        <w:kinsoku/>
        <w:wordWrap w:val="0"/>
        <w:overflowPunct/>
        <w:topLinePunct/>
        <w:autoSpaceDE/>
        <w:autoSpaceDN/>
        <w:bidi w:val="0"/>
        <w:adjustRightInd w:val="0"/>
        <w:snapToGrid w:val="0"/>
        <w:spacing w:line="360" w:lineRule="auto"/>
        <w:ind w:left="21" w:right="84" w:rightChars="40" w:firstLine="47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如果承包人未事先将拟实施的方案提交发包人确认，视为工程变更不引起措施项目费的调整或承包人放弃调整措施项目费的权利。</w:t>
      </w:r>
    </w:p>
    <w:p w14:paraId="6782625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2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当因非承包人原因，发包人提出的工程变更删减了合同中的某项原定工作或</w:t>
      </w:r>
      <w:r>
        <w:rPr>
          <w:rFonts w:hint="eastAsia" w:ascii="宋体" w:hAnsi="宋体" w:eastAsia="宋体" w:cs="宋体"/>
          <w:color w:val="auto"/>
          <w:spacing w:val="-2"/>
          <w:sz w:val="24"/>
          <w:szCs w:val="24"/>
          <w:highlight w:val="none"/>
        </w:rPr>
        <w:t>工程，致使承包人发生的费用或（和）得到的收益不能被包括在其他已支付或应支付的项目中，也未被包含在任何替代的工作或工程中时，承包人有权提出并应得到合理的费用及利润补偿。</w:t>
      </w:r>
    </w:p>
    <w:p w14:paraId="08CA53E5">
      <w:pPr>
        <w:keepNext w:val="0"/>
        <w:keepLines w:val="0"/>
        <w:pageBreakBefore w:val="0"/>
        <w:widowControl w:val="0"/>
        <w:kinsoku/>
        <w:wordWrap w:val="0"/>
        <w:overflowPunct/>
        <w:topLinePunct/>
        <w:autoSpaceDE/>
        <w:autoSpaceDN/>
        <w:bidi w:val="0"/>
        <w:adjustRightInd w:val="0"/>
        <w:snapToGrid w:val="0"/>
        <w:spacing w:line="360" w:lineRule="auto"/>
        <w:ind w:left="484"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2.3.4  </w:t>
      </w:r>
      <w:r>
        <w:rPr>
          <w:rFonts w:hint="eastAsia" w:ascii="宋体" w:hAnsi="宋体" w:eastAsia="宋体" w:cs="宋体"/>
          <w:color w:val="auto"/>
          <w:spacing w:val="-1"/>
          <w:sz w:val="24"/>
          <w:szCs w:val="24"/>
          <w:highlight w:val="none"/>
        </w:rPr>
        <w:t>项目特征不符</w:t>
      </w:r>
    </w:p>
    <w:p w14:paraId="5F890E30">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80"/>
        <w:jc w:val="both"/>
        <w:textAlignment w:val="baseline"/>
        <w:rPr>
          <w:rFonts w:hint="eastAsia" w:ascii="宋体" w:hAnsi="宋体" w:eastAsia="宋体" w:cs="宋体"/>
          <w:color w:val="auto"/>
          <w:sz w:val="24"/>
          <w:szCs w:val="24"/>
          <w:highlight w:val="none"/>
        </w:rPr>
      </w:pPr>
      <w:bookmarkStart w:id="166" w:name="bookmark144"/>
      <w:bookmarkEnd w:id="166"/>
      <w:r>
        <w:rPr>
          <w:rFonts w:hint="eastAsia" w:ascii="宋体" w:hAnsi="宋体" w:eastAsia="宋体" w:cs="宋体"/>
          <w:color w:val="auto"/>
          <w:spacing w:val="-2"/>
          <w:sz w:val="24"/>
          <w:szCs w:val="24"/>
          <w:highlight w:val="none"/>
        </w:rPr>
        <w:t>承包人应按照发包人提供的设计图纸实施合同工程，若在合同履行期间出现设计图纸（含设计变更）与招标工程量清单任一项目的特征描述不符，且该变化引起该项目工</w:t>
      </w:r>
      <w:r>
        <w:rPr>
          <w:rFonts w:hint="eastAsia" w:ascii="宋体" w:hAnsi="宋体" w:eastAsia="宋体" w:cs="宋体"/>
          <w:color w:val="auto"/>
          <w:sz w:val="24"/>
          <w:szCs w:val="24"/>
          <w:highlight w:val="none"/>
        </w:rPr>
        <w:t>程造价增减变化的，应按照实际施工的项目特征，并按本章第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z w:val="24"/>
          <w:szCs w:val="24"/>
          <w:highlight w:val="none"/>
        </w:rPr>
        <w:t>2.3.3</w:t>
      </w:r>
      <w:r>
        <w:rPr>
          <w:rFonts w:hint="eastAsia" w:ascii="宋体" w:hAnsi="宋体" w:eastAsia="宋体" w:cs="宋体"/>
          <w:color w:val="auto"/>
          <w:sz w:val="24"/>
          <w:szCs w:val="24"/>
          <w:highlight w:val="none"/>
        </w:rPr>
        <w:t>目相</w:t>
      </w:r>
      <w:r>
        <w:rPr>
          <w:rFonts w:hint="eastAsia" w:ascii="宋体" w:hAnsi="宋体" w:eastAsia="宋体" w:cs="宋体"/>
          <w:color w:val="auto"/>
          <w:spacing w:val="-1"/>
          <w:sz w:val="24"/>
          <w:szCs w:val="24"/>
          <w:highlight w:val="none"/>
        </w:rPr>
        <w:t>关条款的规定重新确定相应工程量清单项目的综合单价，并调整合同价款。</w:t>
      </w:r>
    </w:p>
    <w:p w14:paraId="04DF1088">
      <w:pPr>
        <w:keepNext w:val="0"/>
        <w:keepLines w:val="0"/>
        <w:pageBreakBefore w:val="0"/>
        <w:widowControl w:val="0"/>
        <w:kinsoku/>
        <w:wordWrap w:val="0"/>
        <w:overflowPunct/>
        <w:topLinePunct/>
        <w:autoSpaceDE/>
        <w:autoSpaceDN/>
        <w:bidi w:val="0"/>
        <w:adjustRightInd w:val="0"/>
        <w:snapToGrid w:val="0"/>
        <w:spacing w:line="360" w:lineRule="auto"/>
        <w:ind w:left="485"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2.3.5  </w:t>
      </w:r>
      <w:r>
        <w:rPr>
          <w:rFonts w:hint="eastAsia" w:ascii="宋体" w:hAnsi="宋体" w:eastAsia="宋体" w:cs="宋体"/>
          <w:color w:val="auto"/>
          <w:spacing w:val="-1"/>
          <w:sz w:val="24"/>
          <w:szCs w:val="24"/>
          <w:highlight w:val="none"/>
        </w:rPr>
        <w:t>招标工程量清单缺项</w:t>
      </w:r>
    </w:p>
    <w:p w14:paraId="2C9A58C7">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2.3.5.1</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合同履行期间，由于招标</w:t>
      </w:r>
      <w:r>
        <w:rPr>
          <w:rFonts w:hint="eastAsia" w:ascii="宋体" w:hAnsi="宋体" w:eastAsia="宋体" w:cs="宋体"/>
          <w:color w:val="auto"/>
          <w:spacing w:val="-2"/>
          <w:sz w:val="24"/>
          <w:szCs w:val="24"/>
          <w:highlight w:val="none"/>
        </w:rPr>
        <w:t>工程量清单中缺项，新增分部分项工程清单项目，</w:t>
      </w:r>
      <w:r>
        <w:rPr>
          <w:rFonts w:hint="eastAsia" w:ascii="宋体" w:hAnsi="宋体" w:eastAsia="宋体" w:cs="宋体"/>
          <w:color w:val="auto"/>
          <w:spacing w:val="-1"/>
          <w:sz w:val="24"/>
          <w:szCs w:val="24"/>
          <w:highlight w:val="none"/>
        </w:rPr>
        <w:t>应按照本章第</w:t>
      </w:r>
      <w:r>
        <w:rPr>
          <w:rFonts w:hint="eastAsia" w:ascii="宋体" w:hAnsi="宋体" w:eastAsia="宋体" w:cs="宋体"/>
          <w:b/>
          <w:bCs/>
          <w:color w:val="auto"/>
          <w:spacing w:val="-1"/>
          <w:sz w:val="24"/>
          <w:szCs w:val="24"/>
          <w:highlight w:val="none"/>
        </w:rPr>
        <w:t>2.3.3.1</w:t>
      </w:r>
      <w:r>
        <w:rPr>
          <w:rFonts w:hint="eastAsia" w:ascii="宋体" w:hAnsi="宋体" w:eastAsia="宋体" w:cs="宋体"/>
          <w:color w:val="auto"/>
          <w:spacing w:val="-1"/>
          <w:sz w:val="24"/>
          <w:szCs w:val="24"/>
          <w:highlight w:val="none"/>
        </w:rPr>
        <w:t>子目的规定确定单价，并调整合同价款。</w:t>
      </w:r>
    </w:p>
    <w:p w14:paraId="6D675AA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2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新增分部分项工程清单项目后，引起</w:t>
      </w:r>
      <w:r>
        <w:rPr>
          <w:rFonts w:hint="eastAsia" w:ascii="宋体" w:hAnsi="宋体" w:eastAsia="宋体" w:cs="宋体"/>
          <w:color w:val="auto"/>
          <w:spacing w:val="-2"/>
          <w:sz w:val="24"/>
          <w:szCs w:val="24"/>
          <w:highlight w:val="none"/>
        </w:rPr>
        <w:t>措施项目发生变化的，应按照本章第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2"/>
          <w:sz w:val="24"/>
          <w:szCs w:val="24"/>
          <w:highlight w:val="none"/>
        </w:rPr>
        <w:t>2.</w:t>
      </w:r>
      <w:r>
        <w:rPr>
          <w:rFonts w:hint="eastAsia" w:ascii="宋体" w:hAnsi="宋体" w:eastAsia="宋体" w:cs="宋体"/>
          <w:b/>
          <w:bCs/>
          <w:color w:val="auto"/>
          <w:sz w:val="24"/>
          <w:szCs w:val="24"/>
          <w:highlight w:val="none"/>
        </w:rPr>
        <w:t>3.3.2</w:t>
      </w:r>
      <w:r>
        <w:rPr>
          <w:rFonts w:hint="eastAsia" w:ascii="宋体" w:hAnsi="宋体" w:eastAsia="宋体" w:cs="宋体"/>
          <w:color w:val="auto"/>
          <w:sz w:val="24"/>
          <w:szCs w:val="24"/>
          <w:highlight w:val="none"/>
        </w:rPr>
        <w:t>子目的规定，在承包人提交的实施方案被发包人批准后调整</w:t>
      </w:r>
      <w:r>
        <w:rPr>
          <w:rFonts w:hint="eastAsia" w:ascii="宋体" w:hAnsi="宋体" w:eastAsia="宋体" w:cs="宋体"/>
          <w:color w:val="auto"/>
          <w:spacing w:val="-1"/>
          <w:sz w:val="24"/>
          <w:szCs w:val="24"/>
          <w:highlight w:val="none"/>
        </w:rPr>
        <w:t>合同价款。</w:t>
      </w:r>
    </w:p>
    <w:p w14:paraId="40AAA971">
      <w:pPr>
        <w:keepNext w:val="0"/>
        <w:keepLines w:val="0"/>
        <w:pageBreakBefore w:val="0"/>
        <w:widowControl w:val="0"/>
        <w:kinsoku/>
        <w:wordWrap w:val="0"/>
        <w:overflowPunct/>
        <w:topLinePunct/>
        <w:autoSpaceDE/>
        <w:autoSpaceDN/>
        <w:bidi w:val="0"/>
        <w:adjustRightInd w:val="0"/>
        <w:snapToGrid w:val="0"/>
        <w:spacing w:line="360" w:lineRule="auto"/>
        <w:ind w:left="13" w:right="84" w:rightChars="40" w:firstLine="471"/>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4"/>
          <w:sz w:val="24"/>
          <w:szCs w:val="24"/>
          <w:highlight w:val="none"/>
        </w:rPr>
        <w:t>2.3.5.3</w:t>
      </w:r>
      <w:r>
        <w:rPr>
          <w:rFonts w:hint="eastAsia" w:ascii="宋体" w:hAnsi="宋体" w:eastAsia="宋体" w:cs="宋体"/>
          <w:b/>
          <w:bCs/>
          <w:color w:val="auto"/>
          <w:spacing w:val="-4"/>
          <w:sz w:val="24"/>
          <w:szCs w:val="24"/>
          <w:highlight w:val="none"/>
        </w:rPr>
        <w:fldChar w:fldCharType="end"/>
      </w:r>
      <w:r>
        <w:rPr>
          <w:rFonts w:hint="eastAsia" w:ascii="宋体" w:hAnsi="宋体" w:eastAsia="宋体" w:cs="宋体"/>
          <w:b/>
          <w:bCs/>
          <w:color w:val="auto"/>
          <w:spacing w:val="22"/>
          <w:w w:val="101"/>
          <w:sz w:val="24"/>
          <w:szCs w:val="24"/>
          <w:highlight w:val="none"/>
        </w:rPr>
        <w:t xml:space="preserve">  </w:t>
      </w:r>
      <w:r>
        <w:rPr>
          <w:rFonts w:hint="eastAsia" w:ascii="宋体" w:hAnsi="宋体" w:eastAsia="宋体" w:cs="宋体"/>
          <w:color w:val="auto"/>
          <w:spacing w:val="-4"/>
          <w:sz w:val="24"/>
          <w:szCs w:val="24"/>
          <w:highlight w:val="none"/>
        </w:rPr>
        <w:t>由于招标工程量清单中措施项目缺项，承包人应将新增措施项目实施方案提</w:t>
      </w:r>
      <w:r>
        <w:rPr>
          <w:rFonts w:hint="eastAsia" w:ascii="宋体" w:hAnsi="宋体" w:eastAsia="宋体" w:cs="宋体"/>
          <w:color w:val="auto"/>
          <w:spacing w:val="-1"/>
          <w:sz w:val="24"/>
          <w:szCs w:val="24"/>
          <w:highlight w:val="none"/>
        </w:rPr>
        <w:t>交发包人批准后，按照本章第</w:t>
      </w:r>
      <w:r>
        <w:rPr>
          <w:rFonts w:hint="eastAsia" w:ascii="宋体" w:hAnsi="宋体" w:eastAsia="宋体" w:cs="宋体"/>
          <w:b/>
          <w:bCs/>
          <w:color w:val="auto"/>
          <w:spacing w:val="-1"/>
          <w:sz w:val="24"/>
          <w:szCs w:val="24"/>
          <w:highlight w:val="none"/>
        </w:rPr>
        <w:t>2.3.3.1</w:t>
      </w:r>
      <w:r>
        <w:rPr>
          <w:rFonts w:hint="eastAsia" w:ascii="宋体" w:hAnsi="宋体" w:eastAsia="宋体" w:cs="宋体"/>
          <w:color w:val="auto"/>
          <w:spacing w:val="-1"/>
          <w:sz w:val="24"/>
          <w:szCs w:val="24"/>
          <w:highlight w:val="none"/>
        </w:rPr>
        <w:t>子目、第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2.3.3.2</w:t>
      </w:r>
      <w:r>
        <w:rPr>
          <w:rFonts w:hint="eastAsia" w:ascii="宋体" w:hAnsi="宋体" w:eastAsia="宋体" w:cs="宋体"/>
          <w:color w:val="auto"/>
          <w:spacing w:val="-1"/>
          <w:sz w:val="24"/>
          <w:szCs w:val="24"/>
          <w:highlight w:val="none"/>
        </w:rPr>
        <w:t>子目的规定调整合同价款。</w:t>
      </w:r>
    </w:p>
    <w:p w14:paraId="5C00574D">
      <w:pPr>
        <w:keepNext w:val="0"/>
        <w:keepLines w:val="0"/>
        <w:pageBreakBefore w:val="0"/>
        <w:widowControl w:val="0"/>
        <w:kinsoku/>
        <w:wordWrap w:val="0"/>
        <w:overflowPunct/>
        <w:topLinePunct/>
        <w:autoSpaceDE/>
        <w:autoSpaceDN/>
        <w:bidi w:val="0"/>
        <w:adjustRightInd w:val="0"/>
        <w:snapToGrid w:val="0"/>
        <w:spacing w:line="360" w:lineRule="auto"/>
        <w:ind w:left="485"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2.3.6  </w:t>
      </w:r>
      <w:r>
        <w:rPr>
          <w:rFonts w:hint="eastAsia" w:ascii="宋体" w:hAnsi="宋体" w:eastAsia="宋体" w:cs="宋体"/>
          <w:color w:val="auto"/>
          <w:spacing w:val="-1"/>
          <w:sz w:val="24"/>
          <w:szCs w:val="24"/>
          <w:highlight w:val="none"/>
        </w:rPr>
        <w:t>物价变化</w:t>
      </w:r>
    </w:p>
    <w:p w14:paraId="5203F8C2">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合同履行期间，项目所在地工程造价管理机构发布的动态人工调整系数发生变化时，如果承包人投标报价中人工费（以下简称“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中标人工费</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4"/>
          <w:sz w:val="24"/>
          <w:szCs w:val="24"/>
          <w:highlight w:val="none"/>
        </w:rPr>
        <w:t>等于或超过施工当</w:t>
      </w:r>
      <w:r>
        <w:rPr>
          <w:rFonts w:hint="eastAsia" w:ascii="宋体" w:hAnsi="宋体" w:eastAsia="宋体" w:cs="宋体"/>
          <w:color w:val="auto"/>
          <w:spacing w:val="-2"/>
          <w:sz w:val="24"/>
          <w:szCs w:val="24"/>
          <w:highlight w:val="none"/>
        </w:rPr>
        <w:t>月经动态调整后的定额人工费，该清单项目中标人工费不予调整；如果中标人工费低于施工当月经动态调整后的定额人工费，该清单项目中标人工费可以调整，相关费用按有</w:t>
      </w:r>
      <w:r>
        <w:rPr>
          <w:rFonts w:hint="eastAsia" w:ascii="宋体" w:hAnsi="宋体" w:eastAsia="宋体" w:cs="宋体"/>
          <w:color w:val="auto"/>
          <w:spacing w:val="-1"/>
          <w:sz w:val="24"/>
          <w:szCs w:val="24"/>
          <w:highlight w:val="none"/>
        </w:rPr>
        <w:t>关规定进行相应调整。结算人工费调整公式为：</w:t>
      </w:r>
    </w:p>
    <w:p w14:paraId="1664F5EC">
      <w:pPr>
        <w:keepNext w:val="0"/>
        <w:keepLines w:val="0"/>
        <w:pageBreakBefore w:val="0"/>
        <w:widowControl w:val="0"/>
        <w:kinsoku/>
        <w:wordWrap w:val="0"/>
        <w:overflowPunct/>
        <w:topLinePunct/>
        <w:autoSpaceDE/>
        <w:autoSpaceDN/>
        <w:bidi w:val="0"/>
        <w:adjustRightInd w:val="0"/>
        <w:snapToGrid w:val="0"/>
        <w:spacing w:line="360" w:lineRule="auto"/>
        <w:ind w:left="494" w:right="84" w:rightChars="40"/>
        <w:textAlignment w:val="baseline"/>
        <w:rPr>
          <w:rFonts w:hint="eastAsia" w:ascii="宋体" w:hAnsi="宋体" w:eastAsia="宋体" w:cs="宋体"/>
          <w:color w:val="auto"/>
          <w:sz w:val="15"/>
          <w:szCs w:val="15"/>
          <w:highlight w:val="none"/>
        </w:rPr>
      </w:pPr>
      <w:r>
        <w:rPr>
          <w:rFonts w:hint="eastAsia" w:ascii="宋体" w:hAnsi="宋体" w:eastAsia="宋体" w:cs="宋体"/>
          <w:color w:val="auto"/>
          <w:spacing w:val="-1"/>
          <w:sz w:val="24"/>
          <w:szCs w:val="24"/>
          <w:highlight w:val="none"/>
        </w:rPr>
        <w:t>结算人工费＝中标人工费×F</w:t>
      </w:r>
      <w:r>
        <w:rPr>
          <w:rFonts w:hint="eastAsia" w:ascii="宋体" w:hAnsi="宋体" w:eastAsia="宋体" w:cs="宋体"/>
          <w:color w:val="auto"/>
          <w:spacing w:val="-1"/>
          <w:position w:val="-1"/>
          <w:sz w:val="15"/>
          <w:szCs w:val="15"/>
          <w:highlight w:val="none"/>
        </w:rPr>
        <w:t>1</w:t>
      </w:r>
    </w:p>
    <w:p w14:paraId="31DF9DB9">
      <w:pPr>
        <w:keepNext w:val="0"/>
        <w:keepLines w:val="0"/>
        <w:pageBreakBefore w:val="0"/>
        <w:widowControl w:val="0"/>
        <w:kinsoku/>
        <w:wordWrap w:val="0"/>
        <w:overflowPunct/>
        <w:topLinePunct/>
        <w:autoSpaceDE/>
        <w:autoSpaceDN/>
        <w:bidi w:val="0"/>
        <w:adjustRightInd w:val="0"/>
        <w:snapToGrid w:val="0"/>
        <w:spacing w:line="360" w:lineRule="auto"/>
        <w:ind w:left="49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式中，F</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23"/>
          <w:w w:val="101"/>
          <w:position w:val="-1"/>
          <w:sz w:val="15"/>
          <w:szCs w:val="15"/>
          <w:highlight w:val="none"/>
        </w:rPr>
        <w:t xml:space="preserve"> </w:t>
      </w:r>
      <w:r>
        <w:rPr>
          <w:rFonts w:hint="eastAsia" w:ascii="宋体" w:hAnsi="宋体" w:eastAsia="宋体" w:cs="宋体"/>
          <w:color w:val="auto"/>
          <w:spacing w:val="-1"/>
          <w:sz w:val="24"/>
          <w:szCs w:val="24"/>
          <w:highlight w:val="none"/>
        </w:rPr>
        <w:t>为施工当月项目所在地工程造价管理机构发布的动态人工调整系数。</w:t>
      </w:r>
    </w:p>
    <w:p w14:paraId="334A37EA">
      <w:pPr>
        <w:keepNext w:val="0"/>
        <w:keepLines w:val="0"/>
        <w:pageBreakBefore w:val="0"/>
        <w:widowControl w:val="0"/>
        <w:kinsoku/>
        <w:wordWrap w:val="0"/>
        <w:overflowPunct/>
        <w:topLinePunct/>
        <w:autoSpaceDE/>
        <w:autoSpaceDN/>
        <w:bidi w:val="0"/>
        <w:adjustRightInd w:val="0"/>
        <w:snapToGrid w:val="0"/>
        <w:spacing w:line="360" w:lineRule="auto"/>
        <w:ind w:left="1" w:right="84" w:rightChars="40" w:firstLine="48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fldChar w:fldCharType="begin"/>
      </w:r>
      <w:r>
        <w:rPr>
          <w:rFonts w:hint="eastAsia" w:ascii="宋体" w:hAnsi="宋体" w:eastAsia="宋体" w:cs="宋体"/>
          <w:b/>
          <w:bCs/>
          <w:color w:val="auto"/>
          <w:spacing w:val="-1"/>
          <w:sz w:val="24"/>
          <w:szCs w:val="24"/>
          <w:highlight w:val="none"/>
        </w:rPr>
        <w:instrText xml:space="preserve"> HYPERLINK "2.3.6.2" </w:instrText>
      </w:r>
      <w:r>
        <w:rPr>
          <w:rFonts w:hint="eastAsia" w:ascii="宋体" w:hAnsi="宋体" w:eastAsia="宋体" w:cs="宋体"/>
          <w:b/>
          <w:bCs/>
          <w:color w:val="auto"/>
          <w:spacing w:val="-1"/>
          <w:sz w:val="24"/>
          <w:szCs w:val="24"/>
          <w:highlight w:val="none"/>
        </w:rPr>
        <w:fldChar w:fldCharType="separate"/>
      </w:r>
      <w:r>
        <w:rPr>
          <w:rFonts w:hint="eastAsia" w:ascii="宋体" w:hAnsi="宋体" w:eastAsia="宋体" w:cs="宋体"/>
          <w:b/>
          <w:bCs/>
          <w:color w:val="auto"/>
          <w:spacing w:val="-1"/>
          <w:sz w:val="24"/>
          <w:szCs w:val="24"/>
          <w:highlight w:val="none"/>
        </w:rPr>
        <w:t>2.3.6.2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本招标项目约定，材料、工程设备</w:t>
      </w:r>
      <w:r>
        <w:rPr>
          <w:rFonts w:hint="eastAsia" w:ascii="宋体" w:hAnsi="宋体" w:eastAsia="宋体" w:cs="宋体"/>
          <w:color w:val="auto"/>
          <w:spacing w:val="-2"/>
          <w:sz w:val="24"/>
          <w:szCs w:val="24"/>
          <w:highlight w:val="none"/>
        </w:rPr>
        <w:t>单价涨跌风险幅度值</w:t>
      </w:r>
      <w:r>
        <w:rPr>
          <w:rFonts w:hint="eastAsia" w:ascii="宋体" w:hAnsi="宋体" w:eastAsia="宋体" w:cs="宋体"/>
          <w:color w:val="auto"/>
          <w:spacing w:val="-59"/>
          <w:sz w:val="24"/>
          <w:szCs w:val="24"/>
          <w:highlight w:val="none"/>
        </w:rPr>
        <w:t xml:space="preserve"> </w:t>
      </w:r>
      <w:r>
        <w:rPr>
          <w:rFonts w:hint="eastAsia" w:ascii="宋体" w:hAnsi="宋体" w:eastAsia="宋体" w:cs="宋体"/>
          <w:color w:val="auto"/>
          <w:spacing w:val="-2"/>
          <w:sz w:val="24"/>
          <w:szCs w:val="24"/>
          <w:highlight w:val="none"/>
        </w:rPr>
        <w:t>A为</w:t>
      </w:r>
      <w:r>
        <w:rPr>
          <w:rFonts w:hint="eastAsia" w:ascii="宋体" w:hAnsi="宋体" w:eastAsia="宋体" w:cs="宋体"/>
          <w:color w:val="auto"/>
          <w:spacing w:val="-2"/>
          <w:sz w:val="24"/>
          <w:szCs w:val="24"/>
          <w:highlight w:val="none"/>
          <w:u w:val="single"/>
        </w:rPr>
        <w:t>5%</w:t>
      </w:r>
      <w:r>
        <w:rPr>
          <w:rFonts w:hint="eastAsia" w:ascii="宋体" w:hAnsi="宋体" w:eastAsia="宋体" w:cs="宋体"/>
          <w:color w:val="auto"/>
          <w:spacing w:val="-2"/>
          <w:sz w:val="24"/>
          <w:szCs w:val="24"/>
          <w:highlight w:val="none"/>
        </w:rPr>
        <w:t>。合同履</w:t>
      </w:r>
      <w:r>
        <w:rPr>
          <w:rFonts w:hint="eastAsia" w:ascii="宋体" w:hAnsi="宋体" w:eastAsia="宋体" w:cs="宋体"/>
          <w:color w:val="auto"/>
          <w:spacing w:val="-1"/>
          <w:sz w:val="24"/>
          <w:szCs w:val="24"/>
          <w:highlight w:val="none"/>
        </w:rPr>
        <w:t>行期间，当《承包人提供主要材料和工程设备一览表》（</w:t>
      </w:r>
      <w:r>
        <w:rPr>
          <w:rFonts w:hint="eastAsia" w:ascii="宋体" w:hAnsi="宋体" w:eastAsia="宋体" w:cs="宋体"/>
          <w:color w:val="auto"/>
          <w:spacing w:val="-2"/>
          <w:sz w:val="24"/>
          <w:szCs w:val="24"/>
          <w:highlight w:val="none"/>
        </w:rPr>
        <w:t>详见招标工程量清单）中的材</w:t>
      </w:r>
      <w:r>
        <w:rPr>
          <w:rFonts w:hint="eastAsia" w:ascii="宋体" w:hAnsi="宋体" w:eastAsia="宋体" w:cs="宋体"/>
          <w:color w:val="auto"/>
          <w:spacing w:val="-3"/>
          <w:sz w:val="24"/>
          <w:szCs w:val="24"/>
          <w:highlight w:val="none"/>
        </w:rPr>
        <w:t>料、工程设备单价涨跌幅度等于或低于</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A值时，该材料、工程设备单价不予调整；超过</w:t>
      </w:r>
      <w:r>
        <w:rPr>
          <w:rFonts w:hint="eastAsia" w:ascii="宋体" w:hAnsi="宋体" w:eastAsia="宋体" w:cs="宋体"/>
          <w:color w:val="auto"/>
          <w:sz w:val="24"/>
          <w:szCs w:val="24"/>
          <w:highlight w:val="none"/>
        </w:rPr>
        <w:t>A值时，其超过部分可以调整。相关费用按有关规定进行相</w:t>
      </w:r>
      <w:r>
        <w:rPr>
          <w:rFonts w:hint="eastAsia" w:ascii="宋体" w:hAnsi="宋体" w:eastAsia="宋体" w:cs="宋体"/>
          <w:color w:val="auto"/>
          <w:spacing w:val="-1"/>
          <w:sz w:val="24"/>
          <w:szCs w:val="24"/>
          <w:highlight w:val="none"/>
        </w:rPr>
        <w:t>应调整。</w:t>
      </w:r>
    </w:p>
    <w:p w14:paraId="61FACFE5">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a ．如果承包人投标报价中材料、工程设备单价（以下简称“中标单价”）低于基准日当月项目所在地工程造价管理机构发布的对应材料、工程设备单价（以下简称“基准单价”），该材料、工程设备的结算单价调整公式为：</w:t>
      </w:r>
    </w:p>
    <w:p w14:paraId="160A9BD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涨价时，</w:t>
      </w:r>
      <w:r>
        <w:rPr>
          <w:rFonts w:hint="eastAsia" w:ascii="宋体" w:hAnsi="宋体" w:eastAsia="宋体" w:cs="宋体"/>
          <w:snapToGrid w:val="0"/>
          <w:color w:val="auto"/>
          <w:spacing w:val="0"/>
          <w:kern w:val="0"/>
          <w:position w:val="-30"/>
          <w:sz w:val="24"/>
          <w:szCs w:val="24"/>
          <w:highlight w:val="none"/>
        </w:rPr>
        <w:object>
          <v:shape id="_x0000_i1025" o:spt="75" type="#_x0000_t75" style="height:33.95pt;width:200.95pt;" o:ole="t" filled="f" o:preferrelative="t" stroked="f" coordsize="21600,21600">
            <v:path/>
            <v:fill on="f" focussize="0,0"/>
            <v:stroke on="f"/>
            <v:imagedata r:id="rId27" embosscolor="#FFFFFF" o:title=""/>
            <o:lock v:ext="edit" grouping="f" rotation="f" text="f" aspectratio="t"/>
            <w10:wrap type="none"/>
            <w10:anchorlock/>
          </v:shape>
          <o:OLEObject Type="Embed" ProgID="Equation.KSEE3" ShapeID="_x0000_i1025" DrawAspect="Content" ObjectID="_1468075725" r:id="rId26">
            <o:LockedField>false</o:LockedField>
          </o:OLEObject>
        </w:object>
      </w:r>
    </w:p>
    <w:p w14:paraId="264AE9E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跌价时，</w:t>
      </w:r>
      <w:r>
        <w:rPr>
          <w:rFonts w:hint="eastAsia" w:ascii="宋体" w:hAnsi="宋体" w:eastAsia="宋体" w:cs="宋体"/>
          <w:snapToGrid w:val="0"/>
          <w:color w:val="auto"/>
          <w:spacing w:val="0"/>
          <w:kern w:val="0"/>
          <w:position w:val="-30"/>
          <w:sz w:val="24"/>
          <w:szCs w:val="24"/>
          <w:highlight w:val="none"/>
        </w:rPr>
        <w:object>
          <v:shape id="_x0000_i1026" o:spt="75" type="#_x0000_t75" style="height:33.95pt;width:198.95pt;" o:ole="t" filled="f" o:preferrelative="t" stroked="f" coordsize="21600,21600">
            <v:path/>
            <v:fill on="f" focussize="0,0"/>
            <v:stroke on="f"/>
            <v:imagedata r:id="rId29" embosscolor="#FFFFFF" o:title=""/>
            <o:lock v:ext="edit" grouping="f" rotation="f" text="f" aspectratio="t"/>
            <w10:wrap type="none"/>
            <w10:anchorlock/>
          </v:shape>
          <o:OLEObject Type="Embed" ProgID="Equation.KSEE3" ShapeID="_x0000_i1026" DrawAspect="Content" ObjectID="_1468075726" r:id="rId28">
            <o:LockedField>false</o:LockedField>
          </o:OLEObject>
        </w:object>
      </w:r>
    </w:p>
    <w:p w14:paraId="0BD9324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textAlignment w:val="baseline"/>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lang w:eastAsia="zh-CN"/>
        </w:rPr>
        <w:t>b.</w:t>
      </w:r>
      <w:r>
        <w:rPr>
          <w:rFonts w:hint="eastAsia" w:ascii="宋体" w:hAnsi="宋体" w:eastAsia="宋体" w:cs="宋体"/>
          <w:snapToGrid w:val="0"/>
          <w:color w:val="auto"/>
          <w:kern w:val="0"/>
          <w:sz w:val="24"/>
          <w:szCs w:val="24"/>
          <w:highlight w:val="none"/>
          <w:lang w:eastAsia="zh-CN"/>
        </w:rPr>
        <w:t>如果中标单价高于基准单价，该材料、工程设备的结算单价调整公式为：</w:t>
      </w:r>
    </w:p>
    <w:p w14:paraId="69F40EA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涨价时，</w:t>
      </w:r>
      <w:r>
        <w:rPr>
          <w:rFonts w:hint="eastAsia" w:ascii="宋体" w:hAnsi="宋体" w:eastAsia="宋体" w:cs="宋体"/>
          <w:snapToGrid w:val="0"/>
          <w:color w:val="auto"/>
          <w:spacing w:val="0"/>
          <w:kern w:val="0"/>
          <w:position w:val="-30"/>
          <w:sz w:val="24"/>
          <w:szCs w:val="24"/>
          <w:highlight w:val="none"/>
        </w:rPr>
        <w:object>
          <v:shape id="_x0000_i1027" o:spt="75" type="#_x0000_t75" style="height:33.95pt;width:198.95pt;" o:ole="t" filled="f" o:preferrelative="t" stroked="f" coordsize="21600,21600">
            <v:path/>
            <v:fill on="f" focussize="0,0"/>
            <v:stroke on="f"/>
            <v:imagedata r:id="rId31" embosscolor="#FFFFFF" o:title=""/>
            <o:lock v:ext="edit" grouping="f" rotation="f" text="f" aspectratio="t"/>
            <w10:wrap type="none"/>
            <w10:anchorlock/>
          </v:shape>
          <o:OLEObject Type="Embed" ProgID="Equation.KSEE3" ShapeID="_x0000_i1027" DrawAspect="Content" ObjectID="_1468075727" r:id="rId30">
            <o:LockedField>false</o:LockedField>
          </o:OLEObject>
        </w:object>
      </w:r>
    </w:p>
    <w:p w14:paraId="5974DC1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跌价时，</w:t>
      </w:r>
      <w:r>
        <w:rPr>
          <w:rFonts w:hint="eastAsia" w:ascii="宋体" w:hAnsi="宋体" w:eastAsia="宋体" w:cs="宋体"/>
          <w:snapToGrid w:val="0"/>
          <w:color w:val="auto"/>
          <w:spacing w:val="0"/>
          <w:kern w:val="0"/>
          <w:position w:val="-30"/>
          <w:sz w:val="24"/>
          <w:szCs w:val="24"/>
          <w:highlight w:val="none"/>
        </w:rPr>
        <w:object>
          <v:shape id="_x0000_i1028" o:spt="75" type="#_x0000_t75" style="height:33.95pt;width:200.95pt;" o:ole="t" filled="f" o:preferrelative="t" stroked="f" coordsize="21600,21600">
            <v:path/>
            <v:fill on="f" focussize="0,0"/>
            <v:stroke on="f"/>
            <v:imagedata r:id="rId33" embosscolor="#FFFFFF" o:title=""/>
            <o:lock v:ext="edit" grouping="f" rotation="f" text="f" aspectratio="t"/>
            <w10:wrap type="none"/>
            <w10:anchorlock/>
          </v:shape>
          <o:OLEObject Type="Embed" ProgID="Equation.KSEE3" ShapeID="_x0000_i1028" DrawAspect="Content" ObjectID="_1468075728" r:id="rId32">
            <o:LockedField>false</o:LockedField>
          </o:OLEObject>
        </w:object>
      </w:r>
    </w:p>
    <w:p w14:paraId="3B01A8C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b/>
          <w:bCs/>
          <w:snapToGrid w:val="0"/>
          <w:color w:val="auto"/>
          <w:kern w:val="0"/>
          <w:sz w:val="24"/>
          <w:szCs w:val="24"/>
          <w:highlight w:val="none"/>
          <w:lang w:eastAsia="zh-CN"/>
        </w:rPr>
        <w:t>c.</w:t>
      </w:r>
      <w:r>
        <w:rPr>
          <w:rFonts w:hint="eastAsia" w:ascii="宋体" w:hAnsi="宋体" w:eastAsia="宋体" w:cs="宋体"/>
          <w:snapToGrid w:val="0"/>
          <w:color w:val="auto"/>
          <w:kern w:val="0"/>
          <w:sz w:val="24"/>
          <w:szCs w:val="24"/>
          <w:highlight w:val="none"/>
          <w:lang w:eastAsia="zh-CN"/>
        </w:rPr>
        <w:t>如果中标单价等于基准单价，该材料、工程设备的结算单价调整公式为：</w:t>
      </w:r>
    </w:p>
    <w:p w14:paraId="1ED9A9A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涨价时，</w:t>
      </w:r>
      <w:r>
        <w:rPr>
          <w:rFonts w:hint="eastAsia" w:ascii="宋体" w:hAnsi="宋体" w:eastAsia="宋体" w:cs="宋体"/>
          <w:snapToGrid w:val="0"/>
          <w:color w:val="auto"/>
          <w:spacing w:val="0"/>
          <w:kern w:val="0"/>
          <w:position w:val="-30"/>
          <w:sz w:val="24"/>
          <w:szCs w:val="24"/>
          <w:highlight w:val="none"/>
        </w:rPr>
        <w:object>
          <v:shape id="_x0000_i1029" o:spt="75" type="#_x0000_t75" style="height:33.95pt;width:200.95pt;" o:ole="t" filled="f" o:preferrelative="t" stroked="f" coordsize="21600,21600">
            <v:path/>
            <v:fill on="f" focussize="0,0"/>
            <v:stroke on="f"/>
            <v:imagedata r:id="rId35" embosscolor="#FFFFFF" o:title=""/>
            <o:lock v:ext="edit" grouping="f" rotation="f" text="f" aspectratio="t"/>
            <w10:wrap type="none"/>
            <w10:anchorlock/>
          </v:shape>
          <o:OLEObject Type="Embed" ProgID="Equation.KSEE3" ShapeID="_x0000_i1029" DrawAspect="Content" ObjectID="_1468075729" r:id="rId34">
            <o:LockedField>false</o:LockedField>
          </o:OLEObject>
        </w:object>
      </w:r>
    </w:p>
    <w:p w14:paraId="4089A88F">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跌价时，</w:t>
      </w:r>
      <w:r>
        <w:rPr>
          <w:rFonts w:hint="eastAsia" w:ascii="宋体" w:hAnsi="宋体" w:eastAsia="宋体" w:cs="宋体"/>
          <w:snapToGrid w:val="0"/>
          <w:color w:val="auto"/>
          <w:spacing w:val="0"/>
          <w:kern w:val="0"/>
          <w:position w:val="-30"/>
          <w:sz w:val="24"/>
          <w:szCs w:val="24"/>
          <w:highlight w:val="none"/>
        </w:rPr>
        <w:object>
          <v:shape id="_x0000_i1030" o:spt="75" type="#_x0000_t75" style="height:33.95pt;width:200.95pt;" o:ole="t" filled="f" o:preferrelative="t" stroked="f" coordsize="21600,21600">
            <v:path/>
            <v:fill on="f" focussize="0,0"/>
            <v:stroke on="f"/>
            <v:imagedata r:id="rId37" embosscolor="#FFFFFF" o:title=""/>
            <o:lock v:ext="edit" grouping="f" rotation="f" text="f" aspectratio="t"/>
            <w10:wrap type="none"/>
            <w10:anchorlock/>
          </v:shape>
          <o:OLEObject Type="Embed" ProgID="Equation.KSEE3" ShapeID="_x0000_i1030" DrawAspect="Content" ObjectID="_1468075730" r:id="rId36">
            <o:LockedField>false</o:LockedField>
          </o:OLEObject>
        </w:object>
      </w:r>
    </w:p>
    <w:p w14:paraId="3D11AA1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507"/>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理机构发布的材料、工程设备单价；A为合同约定的材料</w:t>
      </w:r>
      <w:r>
        <w:rPr>
          <w:rFonts w:hint="eastAsia" w:ascii="宋体" w:hAnsi="宋体" w:eastAsia="宋体" w:cs="宋体"/>
          <w:color w:val="auto"/>
          <w:spacing w:val="-2"/>
          <w:sz w:val="24"/>
          <w:szCs w:val="24"/>
          <w:highlight w:val="none"/>
        </w:rPr>
        <w:t>、工程设备单价涨跌风险幅度</w:t>
      </w:r>
      <w:r>
        <w:rPr>
          <w:rFonts w:hint="eastAsia" w:ascii="宋体" w:hAnsi="宋体" w:eastAsia="宋体" w:cs="宋体"/>
          <w:color w:val="auto"/>
          <w:spacing w:val="-5"/>
          <w:sz w:val="24"/>
          <w:szCs w:val="24"/>
          <w:highlight w:val="none"/>
        </w:rPr>
        <w:t>值。</w:t>
      </w:r>
    </w:p>
    <w:p w14:paraId="11355E4C">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合同履行期间，当《发包人提供材料和工程设备一览表》（详见招标工程量</w:t>
      </w:r>
      <w:r>
        <w:rPr>
          <w:rFonts w:hint="eastAsia" w:ascii="宋体" w:hAnsi="宋体" w:eastAsia="宋体" w:cs="宋体"/>
          <w:color w:val="auto"/>
          <w:spacing w:val="-2"/>
          <w:sz w:val="24"/>
          <w:szCs w:val="24"/>
          <w:highlight w:val="none"/>
        </w:rPr>
        <w:t>清单）中的材料、工程设备单价发生变化时，由发包人按照实际变化调整，并列入合同</w:t>
      </w:r>
      <w:r>
        <w:rPr>
          <w:rFonts w:hint="eastAsia" w:ascii="宋体" w:hAnsi="宋体" w:eastAsia="宋体" w:cs="宋体"/>
          <w:color w:val="auto"/>
          <w:spacing w:val="-4"/>
          <w:sz w:val="24"/>
          <w:szCs w:val="24"/>
          <w:highlight w:val="none"/>
        </w:rPr>
        <w:t>价款。</w:t>
      </w:r>
    </w:p>
    <w:p w14:paraId="58C4F0ED">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"2.3.6.4"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2.3.6.4</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本招标项目约定，施工机具台班单价涨跌风险幅度值</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3"/>
          <w:sz w:val="24"/>
          <w:szCs w:val="24"/>
          <w:highlight w:val="none"/>
        </w:rPr>
        <w:t>B</w:t>
      </w:r>
      <w:r>
        <w:rPr>
          <w:rFonts w:hint="eastAsia" w:ascii="宋体" w:hAnsi="宋体" w:eastAsia="宋体" w:cs="宋体"/>
          <w:color w:val="auto"/>
          <w:spacing w:val="-4"/>
          <w:sz w:val="24"/>
          <w:szCs w:val="24"/>
          <w:highlight w:val="none"/>
        </w:rPr>
        <w:t>为</w:t>
      </w:r>
      <w:r>
        <w:rPr>
          <w:rFonts w:hint="eastAsia" w:ascii="宋体" w:hAnsi="宋体" w:eastAsia="宋体" w:cs="宋体"/>
          <w:color w:val="auto"/>
          <w:spacing w:val="-4"/>
          <w:sz w:val="24"/>
          <w:szCs w:val="24"/>
          <w:highlight w:val="none"/>
          <w:u w:val="single"/>
        </w:rPr>
        <w:t>10%</w:t>
      </w:r>
      <w:r>
        <w:rPr>
          <w:rFonts w:hint="eastAsia" w:ascii="宋体" w:hAnsi="宋体" w:eastAsia="宋体" w:cs="宋体"/>
          <w:color w:val="auto"/>
          <w:spacing w:val="-4"/>
          <w:sz w:val="24"/>
          <w:szCs w:val="24"/>
          <w:highlight w:val="none"/>
        </w:rPr>
        <w:t>。合同履行</w:t>
      </w:r>
      <w:r>
        <w:rPr>
          <w:rFonts w:hint="eastAsia" w:ascii="宋体" w:hAnsi="宋体" w:eastAsia="宋体" w:cs="宋体"/>
          <w:color w:val="auto"/>
          <w:spacing w:val="-7"/>
          <w:sz w:val="24"/>
          <w:szCs w:val="24"/>
          <w:highlight w:val="none"/>
        </w:rPr>
        <w:t>期间，当施工机具台班单价涨跌幅度等于或低于</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7"/>
          <w:sz w:val="24"/>
          <w:szCs w:val="24"/>
          <w:highlight w:val="none"/>
        </w:rPr>
        <w:t>B值时，该施工机具台班单价不予调</w:t>
      </w:r>
      <w:r>
        <w:rPr>
          <w:rFonts w:hint="eastAsia" w:ascii="宋体" w:hAnsi="宋体" w:eastAsia="宋体" w:cs="宋体"/>
          <w:color w:val="auto"/>
          <w:spacing w:val="-8"/>
          <w:sz w:val="24"/>
          <w:szCs w:val="24"/>
          <w:highlight w:val="none"/>
        </w:rPr>
        <w:t>整；</w:t>
      </w:r>
      <w:r>
        <w:rPr>
          <w:rFonts w:hint="eastAsia" w:ascii="宋体" w:hAnsi="宋体" w:eastAsia="宋体" w:cs="宋体"/>
          <w:color w:val="auto"/>
          <w:sz w:val="24"/>
          <w:szCs w:val="24"/>
          <w:highlight w:val="none"/>
        </w:rPr>
        <w:t>超过</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z w:val="24"/>
          <w:szCs w:val="24"/>
          <w:highlight w:val="none"/>
        </w:rPr>
        <w:t>B值时，其超过部分可以调整。相关费</w:t>
      </w:r>
      <w:r>
        <w:rPr>
          <w:rFonts w:hint="eastAsia" w:ascii="宋体" w:hAnsi="宋体" w:eastAsia="宋体" w:cs="宋体"/>
          <w:color w:val="auto"/>
          <w:spacing w:val="-1"/>
          <w:sz w:val="24"/>
          <w:szCs w:val="24"/>
          <w:highlight w:val="none"/>
        </w:rPr>
        <w:t>用按有关规定进行相应调整。</w:t>
      </w:r>
    </w:p>
    <w:p w14:paraId="0C929C0C">
      <w:pPr>
        <w:keepNext w:val="0"/>
        <w:keepLines w:val="0"/>
        <w:pageBreakBefore w:val="0"/>
        <w:widowControl w:val="0"/>
        <w:kinsoku/>
        <w:wordWrap w:val="0"/>
        <w:overflowPunct/>
        <w:topLinePunct/>
        <w:autoSpaceDE/>
        <w:autoSpaceDN/>
        <w:bidi w:val="0"/>
        <w:adjustRightInd w:val="0"/>
        <w:snapToGrid w:val="0"/>
        <w:spacing w:line="360" w:lineRule="auto"/>
        <w:ind w:left="42" w:right="84" w:rightChars="40" w:firstLine="4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color w:val="auto"/>
          <w:spacing w:val="-1"/>
          <w:sz w:val="24"/>
          <w:szCs w:val="24"/>
          <w:highlight w:val="none"/>
        </w:rPr>
        <w:t>．如果承包人投标报价中施工机具台班单价（以下简称“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中标单价</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）低于基准</w:t>
      </w:r>
      <w:r>
        <w:rPr>
          <w:rFonts w:hint="eastAsia" w:ascii="宋体" w:hAnsi="宋体" w:eastAsia="宋体" w:cs="宋体"/>
          <w:color w:val="auto"/>
          <w:spacing w:val="-3"/>
          <w:sz w:val="24"/>
          <w:szCs w:val="24"/>
          <w:highlight w:val="none"/>
        </w:rPr>
        <w:t>日当月项目所在地工程造价管理机构发布的对应施工机具台班单价（以下简称“基准单</w:t>
      </w:r>
      <w:r>
        <w:rPr>
          <w:rFonts w:hint="eastAsia" w:ascii="宋体" w:hAnsi="宋体" w:eastAsia="宋体" w:cs="宋体"/>
          <w:color w:val="auto"/>
          <w:spacing w:val="-2"/>
          <w:sz w:val="24"/>
          <w:szCs w:val="24"/>
          <w:highlight w:val="none"/>
        </w:rPr>
        <w:t>价</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”），该施工机具台班的结算单价调整公式为：</w:t>
      </w:r>
    </w:p>
    <w:p w14:paraId="4E87059B">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1" o:spt="75" type="#_x0000_t75" style="height:33.95pt;width:200.95pt;" o:ole="t" filled="f" o:preferrelative="t" stroked="f" coordsize="21600,21600">
            <v:path/>
            <v:fill on="f" focussize="0,0"/>
            <v:stroke on="f"/>
            <v:imagedata r:id="rId39" embosscolor="#FFFFFF" o:title=""/>
            <o:lock v:ext="edit" grouping="f" rotation="f" text="f" aspectratio="t"/>
            <w10:wrap type="none"/>
            <w10:anchorlock/>
          </v:shape>
          <o:OLEObject Type="Embed" ProgID="Equation.KSEE3" ShapeID="_x0000_i1031" DrawAspect="Content" ObjectID="_1468075731" r:id="rId38">
            <o:LockedField>false</o:LockedField>
          </o:OLEObject>
        </w:object>
      </w:r>
    </w:p>
    <w:p w14:paraId="34F498E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2" o:spt="75" type="#_x0000_t75" style="height:33.95pt;width:198pt;" o:ole="t" filled="f" o:preferrelative="t" stroked="f" coordsize="21600,21600">
            <v:path/>
            <v:fill on="f" focussize="0,0"/>
            <v:stroke on="f"/>
            <v:imagedata r:id="rId41" embosscolor="#FFFFFF" o:title=""/>
            <o:lock v:ext="edit" grouping="f" rotation="f" text="f" aspectratio="t"/>
            <w10:wrap type="none"/>
            <w10:anchorlock/>
          </v:shape>
          <o:OLEObject Type="Embed" ProgID="Equation.KSEE3" ShapeID="_x0000_i1032" DrawAspect="Content" ObjectID="_1468075732" r:id="rId40">
            <o:LockedField>false</o:LockedField>
          </o:OLEObject>
        </w:object>
      </w:r>
    </w:p>
    <w:p w14:paraId="6278AC5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b.</w:t>
      </w:r>
      <w:r>
        <w:rPr>
          <w:rFonts w:hint="eastAsia" w:ascii="宋体" w:hAnsi="宋体" w:eastAsia="宋体" w:cs="宋体"/>
          <w:snapToGrid w:val="0"/>
          <w:color w:val="auto"/>
          <w:kern w:val="0"/>
          <w:sz w:val="24"/>
          <w:szCs w:val="24"/>
          <w:highlight w:val="none"/>
        </w:rPr>
        <w:t>如果中标单价高于基准单价，该施工机具台班的结算单价调整公式为：</w:t>
      </w:r>
    </w:p>
    <w:p w14:paraId="59699355">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3" o:spt="75" type="#_x0000_t75" style="height:33.95pt;width:198pt;" o:ole="t" filled="f" o:preferrelative="t" stroked="f" coordsize="21600,21600">
            <v:path/>
            <v:fill on="f" focussize="0,0"/>
            <v:stroke on="f"/>
            <v:imagedata r:id="rId43" embosscolor="#FFFFFF" o:title=""/>
            <o:lock v:ext="edit" grouping="f" rotation="f" text="f" aspectratio="t"/>
            <w10:wrap type="none"/>
            <w10:anchorlock/>
          </v:shape>
          <o:OLEObject Type="Embed" ProgID="Equation.KSEE3" ShapeID="_x0000_i1033" DrawAspect="Content" ObjectID="_1468075733" r:id="rId42">
            <o:LockedField>false</o:LockedField>
          </o:OLEObject>
        </w:object>
      </w:r>
    </w:p>
    <w:p w14:paraId="0D3B96B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4" o:spt="75" type="#_x0000_t75" style="height:33.95pt;width:200.95pt;" o:ole="t" filled="f" o:preferrelative="t" stroked="f" coordsize="21600,21600">
            <v:path/>
            <v:fill on="f" focussize="0,0"/>
            <v:stroke on="f"/>
            <v:imagedata r:id="rId45" embosscolor="#FFFFFF" o:title=""/>
            <o:lock v:ext="edit" grouping="f" rotation="f" text="f" aspectratio="t"/>
            <w10:wrap type="none"/>
            <w10:anchorlock/>
          </v:shape>
          <o:OLEObject Type="Embed" ProgID="Equation.KSEE3" ShapeID="_x0000_i1034" DrawAspect="Content" ObjectID="_1468075734" r:id="rId44">
            <o:LockedField>false</o:LockedField>
          </o:OLEObject>
        </w:object>
      </w:r>
    </w:p>
    <w:p w14:paraId="42D0419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c.</w:t>
      </w:r>
      <w:r>
        <w:rPr>
          <w:rFonts w:hint="eastAsia" w:ascii="宋体" w:hAnsi="宋体" w:eastAsia="宋体" w:cs="宋体"/>
          <w:snapToGrid w:val="0"/>
          <w:color w:val="auto"/>
          <w:kern w:val="0"/>
          <w:sz w:val="24"/>
          <w:szCs w:val="24"/>
          <w:highlight w:val="none"/>
        </w:rPr>
        <w:t>如果中标单价等于基准单价，该施工机具台班的结算单价调整公式为：</w:t>
      </w:r>
    </w:p>
    <w:p w14:paraId="66D0721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5" o:spt="75" type="#_x0000_t75" style="height:33.95pt;width:200.95pt;" o:ole="t" filled="f" o:preferrelative="t" stroked="f" coordsize="21600,21600">
            <v:path/>
            <v:fill on="f" focussize="0,0"/>
            <v:stroke on="f"/>
            <v:imagedata r:id="rId47" embosscolor="#FFFFFF" o:title=""/>
            <o:lock v:ext="edit" grouping="f" rotation="f" text="f" aspectratio="t"/>
            <w10:wrap type="none"/>
            <w10:anchorlock/>
          </v:shape>
          <o:OLEObject Type="Embed" ProgID="Equation.KSEE3" ShapeID="_x0000_i1035" DrawAspect="Content" ObjectID="_1468075735" r:id="rId46">
            <o:LockedField>false</o:LockedField>
          </o:OLEObject>
        </w:object>
      </w:r>
    </w:p>
    <w:p w14:paraId="655A7F6A">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04"/>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6" o:spt="75" type="#_x0000_t75" style="height:33.95pt;width:200.95pt;" o:ole="t" filled="f" o:preferrelative="t" stroked="f" coordsize="21600,21600">
            <v:path/>
            <v:fill on="f" focussize="0,0"/>
            <v:stroke on="f"/>
            <v:imagedata r:id="rId49" embosscolor="#FFFFFF" o:title=""/>
            <o:lock v:ext="edit" grouping="f" rotation="f" text="f" aspectratio="t"/>
            <w10:wrap type="none"/>
            <w10:anchorlock/>
          </v:shape>
          <o:OLEObject Type="Embed" ProgID="Equation.KSEE3" ShapeID="_x0000_i1036" DrawAspect="Content" ObjectID="_1468075736" r:id="rId48">
            <o:LockedField>false</o:LockedField>
          </o:OLEObject>
        </w:object>
      </w:r>
    </w:p>
    <w:p w14:paraId="54704D3E">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0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理机构发布的施工机具台班单价；B 为合同约定的施工机具台班单价</w:t>
      </w:r>
      <w:r>
        <w:rPr>
          <w:rFonts w:hint="eastAsia" w:ascii="宋体" w:hAnsi="宋体" w:eastAsia="宋体" w:cs="宋体"/>
          <w:color w:val="auto"/>
          <w:spacing w:val="-2"/>
          <w:sz w:val="24"/>
          <w:szCs w:val="24"/>
          <w:highlight w:val="none"/>
        </w:rPr>
        <w:t>涨跌风险幅度值。</w:t>
      </w:r>
    </w:p>
    <w:p w14:paraId="33FCFF2E">
      <w:pPr>
        <w:keepNext w:val="0"/>
        <w:keepLines w:val="0"/>
        <w:pageBreakBefore w:val="0"/>
        <w:widowControl w:val="0"/>
        <w:kinsoku/>
        <w:wordWrap w:val="0"/>
        <w:overflowPunct/>
        <w:topLinePunct/>
        <w:autoSpaceDE/>
        <w:autoSpaceDN/>
        <w:bidi w:val="0"/>
        <w:adjustRightInd w:val="0"/>
        <w:snapToGrid w:val="0"/>
        <w:spacing w:line="360" w:lineRule="auto"/>
        <w:ind w:left="484"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2.3.7  </w:t>
      </w:r>
      <w:r>
        <w:rPr>
          <w:rFonts w:hint="eastAsia" w:ascii="宋体" w:hAnsi="宋体" w:eastAsia="宋体" w:cs="宋体"/>
          <w:color w:val="auto"/>
          <w:spacing w:val="-1"/>
          <w:sz w:val="24"/>
          <w:szCs w:val="24"/>
          <w:highlight w:val="none"/>
        </w:rPr>
        <w:t>暂估价和暂列金额</w:t>
      </w:r>
    </w:p>
    <w:p w14:paraId="3F8D3940">
      <w:pPr>
        <w:keepNext w:val="0"/>
        <w:keepLines w:val="0"/>
        <w:pageBreakBefore w:val="0"/>
        <w:widowControl w:val="0"/>
        <w:kinsoku/>
        <w:wordWrap w:val="0"/>
        <w:overflowPunct/>
        <w:topLinePunct/>
        <w:autoSpaceDE/>
        <w:autoSpaceDN/>
        <w:bidi w:val="0"/>
        <w:adjustRightInd w:val="0"/>
        <w:snapToGrid w:val="0"/>
        <w:spacing w:line="360" w:lineRule="auto"/>
        <w:ind w:left="7" w:right="84" w:rightChars="40" w:firstLine="477"/>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2.3.7.1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snapToGrid w:val="0"/>
          <w:color w:val="auto"/>
          <w:kern w:val="0"/>
          <w:sz w:val="24"/>
          <w:szCs w:val="24"/>
          <w:highlight w:val="none"/>
          <w:lang w:eastAsia="zh-CN"/>
        </w:rPr>
        <w:t>暂估价项目按第一章第三节“投标人须知正文”第</w:t>
      </w:r>
      <w:r>
        <w:rPr>
          <w:rFonts w:hint="eastAsia" w:ascii="宋体" w:hAnsi="宋体" w:eastAsia="宋体" w:cs="宋体"/>
          <w:b/>
          <w:bCs/>
          <w:snapToGrid w:val="0"/>
          <w:color w:val="auto"/>
          <w:kern w:val="0"/>
          <w:sz w:val="24"/>
          <w:szCs w:val="24"/>
          <w:highlight w:val="none"/>
          <w:lang w:eastAsia="zh-CN"/>
        </w:rPr>
        <w:t>8.5</w:t>
      </w:r>
      <w:r>
        <w:rPr>
          <w:rFonts w:hint="eastAsia" w:ascii="宋体" w:hAnsi="宋体" w:eastAsia="宋体" w:cs="宋体"/>
          <w:snapToGrid w:val="0"/>
          <w:color w:val="auto"/>
          <w:kern w:val="0"/>
          <w:sz w:val="24"/>
          <w:szCs w:val="24"/>
          <w:highlight w:val="none"/>
          <w:lang w:eastAsia="zh-CN"/>
        </w:rPr>
        <w:t>条的规定确定专业工程承包人（或材料供应商、工程设备供应商）后，将专业工程合同价款（或材料单价、工程设备单价）取代相应暂估价，并调整合同价款。</w:t>
      </w:r>
      <w:r>
        <w:rPr>
          <w:rFonts w:hint="eastAsia" w:ascii="宋体" w:hAnsi="宋体" w:eastAsia="宋体" w:cs="宋体"/>
          <w:color w:val="auto"/>
          <w:spacing w:val="-1"/>
          <w:sz w:val="24"/>
          <w:szCs w:val="24"/>
          <w:highlight w:val="none"/>
        </w:rPr>
        <w:t>结算时暂估价（若有）中所列的材料（设备）数量按实际发生数量计算；承包人须提供材料（设备）的发票及购销合同，以实际采购单价为</w:t>
      </w:r>
      <w:r>
        <w:rPr>
          <w:rFonts w:hint="eastAsia" w:ascii="宋体" w:hAnsi="宋体" w:eastAsia="宋体" w:cs="宋体"/>
          <w:color w:val="auto"/>
          <w:spacing w:val="-1"/>
          <w:sz w:val="24"/>
          <w:szCs w:val="24"/>
          <w:highlight w:val="none"/>
          <w:lang w:val="en-US" w:eastAsia="zh-CN"/>
        </w:rPr>
        <w:t>结算依据之一</w:t>
      </w:r>
      <w:r>
        <w:rPr>
          <w:rFonts w:hint="eastAsia" w:ascii="宋体" w:hAnsi="宋体" w:eastAsia="宋体" w:cs="宋体"/>
          <w:color w:val="auto"/>
          <w:spacing w:val="-1"/>
          <w:sz w:val="24"/>
          <w:szCs w:val="24"/>
          <w:highlight w:val="none"/>
        </w:rPr>
        <w:t>，但不得高于本次招标工程量清单中的材料（设备）单价</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各部分暂估价的结算价不得超过暂估价。</w:t>
      </w:r>
    </w:p>
    <w:p w14:paraId="15462EB6">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76"/>
        <w:rPr>
          <w:rFonts w:hint="eastAsia" w:ascii="宋体" w:hAnsi="宋体" w:eastAsia="宋体" w:cs="宋体"/>
          <w:color w:val="auto"/>
          <w:spacing w:val="-3"/>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8"/>
          <w:sz w:val="24"/>
          <w:szCs w:val="24"/>
          <w:highlight w:val="none"/>
        </w:rPr>
        <w:t>2.3.7.2</w:t>
      </w:r>
      <w:r>
        <w:rPr>
          <w:rFonts w:hint="eastAsia" w:ascii="宋体" w:hAnsi="宋体" w:eastAsia="宋体" w:cs="宋体"/>
          <w:b/>
          <w:bCs/>
          <w:color w:val="auto"/>
          <w:spacing w:val="-8"/>
          <w:sz w:val="24"/>
          <w:szCs w:val="24"/>
          <w:highlight w:val="none"/>
        </w:rPr>
        <w:fldChar w:fldCharType="end"/>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暂列金额由发包人掌握和使用。暂列金额项目若有发</w:t>
      </w:r>
      <w:r>
        <w:rPr>
          <w:rFonts w:hint="eastAsia" w:ascii="宋体" w:hAnsi="宋体" w:eastAsia="宋体" w:cs="宋体"/>
          <w:color w:val="auto"/>
          <w:spacing w:val="-9"/>
          <w:sz w:val="24"/>
          <w:szCs w:val="24"/>
          <w:highlight w:val="none"/>
        </w:rPr>
        <w:t>生，按第一章第三节“投</w:t>
      </w:r>
      <w:r>
        <w:rPr>
          <w:rFonts w:hint="eastAsia" w:ascii="宋体" w:hAnsi="宋体" w:eastAsia="宋体" w:cs="宋体"/>
          <w:color w:val="auto"/>
          <w:spacing w:val="-5"/>
          <w:sz w:val="24"/>
          <w:szCs w:val="24"/>
          <w:highlight w:val="none"/>
        </w:rPr>
        <w:t>标人须知正文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5"/>
          <w:sz w:val="24"/>
          <w:szCs w:val="24"/>
          <w:highlight w:val="none"/>
        </w:rPr>
        <w:t xml:space="preserve">8.6 </w:t>
      </w:r>
      <w:r>
        <w:rPr>
          <w:rFonts w:hint="eastAsia" w:ascii="宋体" w:hAnsi="宋体" w:eastAsia="宋体" w:cs="宋体"/>
          <w:color w:val="auto"/>
          <w:spacing w:val="-5"/>
          <w:sz w:val="24"/>
          <w:szCs w:val="24"/>
          <w:highlight w:val="none"/>
        </w:rPr>
        <w:t>条的规定确定材料供应商（或工程设备供</w:t>
      </w:r>
      <w:r>
        <w:rPr>
          <w:rFonts w:hint="eastAsia" w:ascii="宋体" w:hAnsi="宋体" w:eastAsia="宋体" w:cs="宋体"/>
          <w:color w:val="auto"/>
          <w:spacing w:val="-6"/>
          <w:sz w:val="24"/>
          <w:szCs w:val="24"/>
          <w:highlight w:val="none"/>
        </w:rPr>
        <w:t>应商、服务供应商）后，</w:t>
      </w:r>
      <w:r>
        <w:rPr>
          <w:rFonts w:hint="eastAsia" w:ascii="宋体" w:hAnsi="宋体" w:eastAsia="宋体" w:cs="宋体"/>
          <w:color w:val="auto"/>
          <w:spacing w:val="-2"/>
          <w:sz w:val="24"/>
          <w:szCs w:val="24"/>
          <w:highlight w:val="none"/>
        </w:rPr>
        <w:t>材料（或工程设备、服务）的合同价款从暂列金额中支付。暂列金额扣除已发生的暂列金额项目合同价款、已发生的合同约定调整因素出现时的调整价款、已发生的索赔以及</w:t>
      </w:r>
      <w:r>
        <w:rPr>
          <w:rFonts w:hint="eastAsia" w:ascii="宋体" w:hAnsi="宋体" w:eastAsia="宋体" w:cs="宋体"/>
          <w:color w:val="auto"/>
          <w:spacing w:val="-1"/>
          <w:sz w:val="24"/>
          <w:szCs w:val="24"/>
          <w:highlight w:val="none"/>
        </w:rPr>
        <w:t>现场签证确认等的费用后，余额（若有）归发包人所有。</w:t>
      </w:r>
    </w:p>
    <w:p w14:paraId="14665A62">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pacing w:val="-8"/>
          <w:sz w:val="24"/>
          <w:szCs w:val="24"/>
          <w:highlight w:val="none"/>
        </w:rPr>
      </w:pPr>
      <w:r>
        <w:rPr>
          <w:rFonts w:hint="eastAsia" w:ascii="宋体" w:hAnsi="宋体" w:eastAsia="宋体" w:cs="宋体"/>
          <w:b/>
          <w:bCs/>
          <w:color w:val="auto"/>
          <w:spacing w:val="-8"/>
          <w:sz w:val="24"/>
          <w:szCs w:val="24"/>
          <w:highlight w:val="none"/>
        </w:rPr>
        <w:t>2.3.8</w:t>
      </w:r>
      <w:r>
        <w:rPr>
          <w:rFonts w:hint="eastAsia" w:ascii="宋体" w:hAnsi="宋体" w:eastAsia="宋体" w:cs="宋体"/>
          <w:color w:val="auto"/>
          <w:spacing w:val="-8"/>
          <w:sz w:val="24"/>
          <w:szCs w:val="24"/>
          <w:highlight w:val="none"/>
        </w:rPr>
        <w:t xml:space="preserve"> 预算包干费按照分部分项的人工费与施工机具费之和及投标费率计取。本招标项目的预算包干内容包括：施工雨水、污水的排除；因地形影响造成的场内料具二次运输；20米高以下的工程用水加压措施；施工材料堆放场地的整理；机电安装后的补洞</w:t>
      </w:r>
      <w:r>
        <w:rPr>
          <w:rFonts w:hint="eastAsia" w:ascii="宋体" w:hAnsi="宋体" w:eastAsia="宋体" w:cs="宋体"/>
          <w:color w:val="auto"/>
          <w:spacing w:val="-8"/>
          <w:sz w:val="24"/>
          <w:szCs w:val="24"/>
          <w:highlight w:val="none"/>
          <w:lang w:eastAsia="zh-CN"/>
        </w:rPr>
        <w:t>（</w:t>
      </w:r>
      <w:r>
        <w:rPr>
          <w:rFonts w:hint="eastAsia" w:ascii="宋体" w:hAnsi="宋体" w:eastAsia="宋体" w:cs="宋体"/>
          <w:color w:val="auto"/>
          <w:spacing w:val="-8"/>
          <w:sz w:val="24"/>
          <w:szCs w:val="24"/>
          <w:highlight w:val="none"/>
        </w:rPr>
        <w:t>槽</w:t>
      </w:r>
      <w:r>
        <w:rPr>
          <w:rFonts w:hint="eastAsia" w:ascii="宋体" w:hAnsi="宋体" w:eastAsia="宋体" w:cs="宋体"/>
          <w:color w:val="auto"/>
          <w:spacing w:val="-8"/>
          <w:sz w:val="24"/>
          <w:szCs w:val="24"/>
          <w:highlight w:val="none"/>
          <w:lang w:eastAsia="zh-CN"/>
        </w:rPr>
        <w:t>）</w:t>
      </w:r>
      <w:r>
        <w:rPr>
          <w:rFonts w:hint="eastAsia" w:ascii="宋体" w:hAnsi="宋体" w:eastAsia="宋体" w:cs="宋体"/>
          <w:color w:val="auto"/>
          <w:spacing w:val="-8"/>
          <w:sz w:val="24"/>
          <w:szCs w:val="24"/>
          <w:highlight w:val="none"/>
        </w:rPr>
        <w:t>工料费；工程成品保护费；施工中的临时停水停电；基础埋深2米以内挖土方的塌方；日间照明施工增加费</w:t>
      </w:r>
      <w:r>
        <w:rPr>
          <w:rFonts w:hint="eastAsia" w:ascii="宋体" w:hAnsi="宋体" w:eastAsia="宋体" w:cs="宋体"/>
          <w:color w:val="auto"/>
          <w:spacing w:val="-8"/>
          <w:sz w:val="24"/>
          <w:szCs w:val="24"/>
          <w:highlight w:val="none"/>
          <w:lang w:eastAsia="zh-CN"/>
        </w:rPr>
        <w:t>（</w:t>
      </w:r>
      <w:r>
        <w:rPr>
          <w:rFonts w:hint="eastAsia" w:ascii="宋体" w:hAnsi="宋体" w:eastAsia="宋体" w:cs="宋体"/>
          <w:color w:val="auto"/>
          <w:spacing w:val="-8"/>
          <w:sz w:val="24"/>
          <w:szCs w:val="24"/>
          <w:highlight w:val="none"/>
        </w:rPr>
        <w:t>不包括地下室和特殊工程</w:t>
      </w:r>
      <w:r>
        <w:rPr>
          <w:rFonts w:hint="eastAsia" w:ascii="宋体" w:hAnsi="宋体" w:eastAsia="宋体" w:cs="宋体"/>
          <w:color w:val="auto"/>
          <w:spacing w:val="-8"/>
          <w:sz w:val="24"/>
          <w:szCs w:val="24"/>
          <w:highlight w:val="none"/>
          <w:lang w:eastAsia="zh-CN"/>
        </w:rPr>
        <w:t>）</w:t>
      </w:r>
      <w:r>
        <w:rPr>
          <w:rFonts w:hint="eastAsia" w:ascii="宋体" w:hAnsi="宋体" w:eastAsia="宋体" w:cs="宋体"/>
          <w:color w:val="auto"/>
          <w:spacing w:val="-8"/>
          <w:sz w:val="24"/>
          <w:szCs w:val="24"/>
          <w:highlight w:val="none"/>
        </w:rPr>
        <w:t>；完工清场后的垃圾外运；地上</w:t>
      </w:r>
      <w:r>
        <w:rPr>
          <w:rFonts w:hint="eastAsia" w:ascii="宋体" w:hAnsi="宋体" w:eastAsia="宋体" w:cs="宋体"/>
          <w:color w:val="auto"/>
          <w:spacing w:val="-8"/>
          <w:sz w:val="24"/>
          <w:szCs w:val="24"/>
          <w:highlight w:val="none"/>
          <w:lang w:eastAsia="zh-CN"/>
        </w:rPr>
        <w:t>（</w:t>
      </w:r>
      <w:r>
        <w:rPr>
          <w:rFonts w:hint="eastAsia" w:ascii="宋体" w:hAnsi="宋体" w:eastAsia="宋体" w:cs="宋体"/>
          <w:color w:val="auto"/>
          <w:spacing w:val="-8"/>
          <w:sz w:val="24"/>
          <w:szCs w:val="24"/>
          <w:highlight w:val="none"/>
        </w:rPr>
        <w:t>地下</w:t>
      </w:r>
      <w:r>
        <w:rPr>
          <w:rFonts w:hint="eastAsia" w:ascii="宋体" w:hAnsi="宋体" w:eastAsia="宋体" w:cs="宋体"/>
          <w:color w:val="auto"/>
          <w:spacing w:val="-8"/>
          <w:sz w:val="24"/>
          <w:szCs w:val="24"/>
          <w:highlight w:val="none"/>
          <w:lang w:eastAsia="zh-CN"/>
        </w:rPr>
        <w:t>）</w:t>
      </w:r>
      <w:r>
        <w:rPr>
          <w:rFonts w:hint="eastAsia" w:ascii="宋体" w:hAnsi="宋体" w:eastAsia="宋体" w:cs="宋体"/>
          <w:color w:val="auto"/>
          <w:spacing w:val="-8"/>
          <w:sz w:val="24"/>
          <w:szCs w:val="24"/>
          <w:highlight w:val="none"/>
        </w:rPr>
        <w:t>设施，建筑物的临时保护设施费和二次加工基地设施费；雨季施工增加费；</w:t>
      </w:r>
      <w:r>
        <w:rPr>
          <w:rFonts w:hint="eastAsia" w:ascii="宋体" w:hAnsi="宋体" w:eastAsia="宋体" w:cs="宋体"/>
          <w:color w:val="auto"/>
          <w:spacing w:val="-8"/>
          <w:sz w:val="24"/>
          <w:szCs w:val="24"/>
          <w:highlight w:val="none"/>
          <w:lang w:eastAsia="zh-CN"/>
        </w:rPr>
        <w:t>已完成</w:t>
      </w:r>
      <w:r>
        <w:rPr>
          <w:rFonts w:hint="eastAsia" w:ascii="宋体" w:hAnsi="宋体" w:eastAsia="宋体" w:cs="宋体"/>
          <w:color w:val="auto"/>
          <w:spacing w:val="-8"/>
          <w:sz w:val="24"/>
          <w:szCs w:val="24"/>
          <w:highlight w:val="none"/>
        </w:rPr>
        <w:t>工程及设备保护等。</w:t>
      </w:r>
    </w:p>
    <w:p w14:paraId="1A387566">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pacing w:val="-8"/>
          <w:sz w:val="24"/>
          <w:szCs w:val="24"/>
          <w:highlight w:val="none"/>
        </w:rPr>
      </w:pPr>
      <w:r>
        <w:rPr>
          <w:rFonts w:hint="eastAsia" w:ascii="宋体" w:hAnsi="宋体" w:eastAsia="宋体" w:cs="宋体"/>
          <w:b/>
          <w:bCs/>
          <w:color w:val="auto"/>
          <w:spacing w:val="-8"/>
          <w:sz w:val="24"/>
          <w:szCs w:val="24"/>
          <w:highlight w:val="none"/>
        </w:rPr>
        <w:t>2.3.</w:t>
      </w:r>
      <w:r>
        <w:rPr>
          <w:rFonts w:hint="eastAsia" w:ascii="宋体" w:hAnsi="宋体" w:eastAsia="宋体" w:cs="宋体"/>
          <w:b/>
          <w:bCs/>
          <w:color w:val="auto"/>
          <w:spacing w:val="-8"/>
          <w:sz w:val="24"/>
          <w:szCs w:val="24"/>
          <w:highlight w:val="none"/>
          <w:lang w:val="en-US" w:eastAsia="zh-CN"/>
        </w:rPr>
        <w:t>9</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其余事项（如不可抗力、索赔、现场签证等）的调整原则按照</w:t>
      </w:r>
      <w:r>
        <w:rPr>
          <w:rFonts w:hint="eastAsia" w:ascii="宋体" w:hAnsi="宋体" w:eastAsia="宋体" w:cs="宋体"/>
          <w:color w:val="auto"/>
          <w:spacing w:val="-8"/>
          <w:sz w:val="24"/>
          <w:szCs w:val="24"/>
          <w:highlight w:val="none"/>
          <w:lang w:eastAsia="zh-CN"/>
        </w:rPr>
        <w:t>《建设工程工程量清单</w:t>
      </w:r>
      <w:r>
        <w:rPr>
          <w:rFonts w:hint="eastAsia" w:ascii="宋体" w:hAnsi="宋体" w:eastAsia="宋体" w:cs="宋体"/>
          <w:snapToGrid w:val="0"/>
          <w:color w:val="auto"/>
          <w:kern w:val="0"/>
          <w:sz w:val="24"/>
          <w:szCs w:val="24"/>
          <w:highlight w:val="none"/>
          <w:lang w:eastAsia="zh-CN"/>
        </w:rPr>
        <w:t>计价</w:t>
      </w:r>
      <w:r>
        <w:rPr>
          <w:rFonts w:hint="eastAsia" w:ascii="宋体" w:hAnsi="宋体" w:eastAsia="宋体" w:cs="宋体"/>
          <w:color w:val="auto"/>
          <w:spacing w:val="-8"/>
          <w:sz w:val="24"/>
          <w:szCs w:val="24"/>
          <w:highlight w:val="none"/>
          <w:lang w:eastAsia="zh-CN"/>
        </w:rPr>
        <w:t>标准》（GB/T50500-2024）</w:t>
      </w:r>
      <w:r>
        <w:rPr>
          <w:rFonts w:hint="eastAsia" w:ascii="宋体" w:hAnsi="宋体" w:eastAsia="宋体" w:cs="宋体"/>
          <w:color w:val="auto"/>
          <w:spacing w:val="-8"/>
          <w:sz w:val="24"/>
          <w:szCs w:val="24"/>
          <w:highlight w:val="none"/>
        </w:rPr>
        <w:t>有关规定执行。</w:t>
      </w:r>
    </w:p>
    <w:p w14:paraId="32357AB3">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2.4  </w:t>
      </w:r>
      <w:r>
        <w:rPr>
          <w:rFonts w:hint="eastAsia" w:ascii="宋体" w:hAnsi="宋体" w:eastAsia="宋体" w:cs="宋体"/>
          <w:color w:val="auto"/>
          <w:sz w:val="24"/>
          <w:szCs w:val="24"/>
          <w:highlight w:val="none"/>
        </w:rPr>
        <w:t>凡将引起合同价款调增的事项，承包人必须于拟实施14天前，将详细的</w:t>
      </w:r>
      <w:r>
        <w:rPr>
          <w:rFonts w:hint="eastAsia" w:ascii="宋体" w:hAnsi="宋体" w:eastAsia="宋体" w:cs="宋体"/>
          <w:color w:val="auto"/>
          <w:spacing w:val="-1"/>
          <w:sz w:val="24"/>
          <w:szCs w:val="24"/>
          <w:highlight w:val="none"/>
        </w:rPr>
        <w:t>报价</w:t>
      </w:r>
      <w:r>
        <w:rPr>
          <w:rFonts w:hint="eastAsia" w:ascii="宋体" w:hAnsi="宋体" w:eastAsia="宋体" w:cs="宋体"/>
          <w:color w:val="auto"/>
          <w:spacing w:val="-2"/>
          <w:sz w:val="24"/>
          <w:szCs w:val="24"/>
          <w:highlight w:val="none"/>
        </w:rPr>
        <w:t>书（含拟实施项目名称、变更部位、理由、预计造价等）报监理单位审核和发包人批准后方可实施。</w:t>
      </w:r>
    </w:p>
    <w:p w14:paraId="241E4322">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承包人不得以不完全了解现场情况为理由，提出额外付</w:t>
      </w:r>
      <w:r>
        <w:rPr>
          <w:rFonts w:hint="eastAsia" w:ascii="宋体" w:hAnsi="宋体" w:eastAsia="宋体" w:cs="宋体"/>
          <w:color w:val="auto"/>
          <w:sz w:val="24"/>
          <w:szCs w:val="24"/>
          <w:highlight w:val="none"/>
        </w:rPr>
        <w:t>款或延长工期等要求。</w:t>
      </w:r>
      <w:r>
        <w:rPr>
          <w:rFonts w:hint="eastAsia" w:ascii="宋体" w:hAnsi="宋体" w:eastAsia="宋体" w:cs="宋体"/>
          <w:color w:val="auto"/>
          <w:spacing w:val="-1"/>
          <w:sz w:val="24"/>
          <w:szCs w:val="24"/>
          <w:highlight w:val="none"/>
        </w:rPr>
        <w:t>对此类要求，发包人不作任何考虑及答复。</w:t>
      </w:r>
    </w:p>
    <w:p w14:paraId="1FE55D7E">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2.6 </w:t>
      </w:r>
      <w:r>
        <w:rPr>
          <w:rFonts w:hint="eastAsia" w:ascii="宋体" w:hAnsi="宋体" w:eastAsia="宋体" w:cs="宋体"/>
          <w:color w:val="auto"/>
          <w:spacing w:val="2"/>
          <w:sz w:val="24"/>
          <w:szCs w:val="24"/>
          <w:highlight w:val="none"/>
        </w:rPr>
        <w:t>承包人已标价工程量清单中漏报、错报或少报的清单项目</w:t>
      </w:r>
      <w:r>
        <w:rPr>
          <w:rFonts w:hint="eastAsia" w:ascii="宋体" w:hAnsi="宋体" w:eastAsia="宋体" w:cs="宋体"/>
          <w:color w:val="auto"/>
          <w:spacing w:val="1"/>
          <w:sz w:val="24"/>
          <w:szCs w:val="24"/>
          <w:highlight w:val="none"/>
        </w:rPr>
        <w:t>，其价格均视为已经</w:t>
      </w:r>
      <w:r>
        <w:rPr>
          <w:rFonts w:hint="eastAsia" w:ascii="宋体" w:hAnsi="宋体" w:eastAsia="宋体" w:cs="宋体"/>
          <w:color w:val="auto"/>
          <w:spacing w:val="-1"/>
          <w:sz w:val="24"/>
          <w:szCs w:val="24"/>
          <w:highlight w:val="none"/>
        </w:rPr>
        <w:t>包含在其它清单项目中，竣工结算时不得重新组价和调整。</w:t>
      </w:r>
    </w:p>
    <w:p w14:paraId="0BD6A91D">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2.7 </w:t>
      </w:r>
      <w:r>
        <w:rPr>
          <w:rFonts w:hint="eastAsia" w:ascii="宋体" w:hAnsi="宋体" w:eastAsia="宋体" w:cs="宋体"/>
          <w:color w:val="auto"/>
          <w:sz w:val="24"/>
          <w:szCs w:val="24"/>
          <w:highlight w:val="none"/>
        </w:rPr>
        <w:t>项目完工后，发、承包双方和受其委托具备相应资质的工程造价咨询单位必须</w:t>
      </w:r>
      <w:r>
        <w:rPr>
          <w:rFonts w:hint="eastAsia" w:ascii="宋体" w:hAnsi="宋体" w:eastAsia="宋体" w:cs="宋体"/>
          <w:color w:val="auto"/>
          <w:spacing w:val="-1"/>
          <w:sz w:val="24"/>
          <w:szCs w:val="24"/>
          <w:highlight w:val="none"/>
        </w:rPr>
        <w:t>按照</w:t>
      </w:r>
      <w:r>
        <w:rPr>
          <w:rFonts w:hint="eastAsia" w:ascii="宋体" w:hAnsi="宋体" w:eastAsia="宋体" w:cs="宋体"/>
          <w:color w:val="auto"/>
          <w:spacing w:val="-1"/>
          <w:sz w:val="24"/>
          <w:szCs w:val="24"/>
          <w:highlight w:val="none"/>
          <w:lang w:eastAsia="zh-CN"/>
        </w:rPr>
        <w:t>《建设工程工程量清单计价标准》（GB/T50500-2024）</w:t>
      </w:r>
      <w:r>
        <w:rPr>
          <w:rFonts w:hint="eastAsia" w:ascii="宋体" w:hAnsi="宋体" w:eastAsia="宋体" w:cs="宋体"/>
          <w:color w:val="auto"/>
          <w:spacing w:val="-1"/>
          <w:sz w:val="24"/>
          <w:szCs w:val="24"/>
          <w:highlight w:val="none"/>
        </w:rPr>
        <w:t>和国家、省、市的有关规定</w:t>
      </w:r>
      <w:r>
        <w:rPr>
          <w:rFonts w:hint="eastAsia" w:ascii="宋体" w:hAnsi="宋体" w:eastAsia="宋体" w:cs="宋体"/>
          <w:color w:val="auto"/>
          <w:spacing w:val="-2"/>
          <w:sz w:val="24"/>
          <w:szCs w:val="24"/>
          <w:highlight w:val="none"/>
        </w:rPr>
        <w:t>办理竣工</w:t>
      </w:r>
      <w:r>
        <w:rPr>
          <w:rFonts w:hint="eastAsia" w:ascii="宋体" w:hAnsi="宋体" w:eastAsia="宋体" w:cs="宋体"/>
          <w:snapToGrid w:val="0"/>
          <w:color w:val="auto"/>
          <w:kern w:val="0"/>
          <w:sz w:val="24"/>
          <w:szCs w:val="24"/>
          <w:highlight w:val="none"/>
          <w:lang w:eastAsia="zh-CN"/>
        </w:rPr>
        <w:t>结算</w:t>
      </w:r>
      <w:r>
        <w:rPr>
          <w:rFonts w:hint="eastAsia" w:ascii="宋体" w:hAnsi="宋体" w:eastAsia="宋体" w:cs="宋体"/>
          <w:color w:val="auto"/>
          <w:spacing w:val="-2"/>
          <w:sz w:val="24"/>
          <w:szCs w:val="24"/>
          <w:highlight w:val="none"/>
        </w:rPr>
        <w:t>。</w:t>
      </w:r>
    </w:p>
    <w:p w14:paraId="102BFEFD">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2.8  </w:t>
      </w:r>
      <w:r>
        <w:rPr>
          <w:rFonts w:hint="eastAsia" w:ascii="宋体" w:hAnsi="宋体" w:eastAsia="宋体" w:cs="宋体"/>
          <w:color w:val="auto"/>
          <w:spacing w:val="-1"/>
          <w:sz w:val="24"/>
          <w:szCs w:val="24"/>
          <w:highlight w:val="none"/>
        </w:rPr>
        <w:t>承包人已标价工程量清单中没有的材料（或工程设备</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
          <w:sz w:val="24"/>
          <w:szCs w:val="24"/>
          <w:highlight w:val="none"/>
        </w:rPr>
        <w:t>承包人在使</w:t>
      </w:r>
      <w:r>
        <w:rPr>
          <w:rFonts w:hint="eastAsia" w:ascii="宋体" w:hAnsi="宋体" w:eastAsia="宋体" w:cs="宋体"/>
          <w:color w:val="auto"/>
          <w:spacing w:val="-2"/>
          <w:sz w:val="24"/>
          <w:szCs w:val="24"/>
          <w:highlight w:val="none"/>
        </w:rPr>
        <w:t>用前必须</w:t>
      </w:r>
      <w:r>
        <w:rPr>
          <w:rFonts w:hint="eastAsia" w:ascii="宋体" w:hAnsi="宋体" w:eastAsia="宋体" w:cs="宋体"/>
          <w:color w:val="auto"/>
          <w:spacing w:val="-1"/>
          <w:sz w:val="24"/>
          <w:szCs w:val="24"/>
          <w:highlight w:val="none"/>
        </w:rPr>
        <w:t>将材料（或工程设备）样板、材料合格证明（或产品合格证书）、材料（或工程设备）检验报告提交给监理单位和发包人审核。发</w:t>
      </w:r>
      <w:r>
        <w:rPr>
          <w:rFonts w:hint="eastAsia" w:ascii="宋体" w:hAnsi="宋体" w:eastAsia="宋体" w:cs="宋体"/>
          <w:color w:val="auto"/>
          <w:spacing w:val="-2"/>
          <w:sz w:val="24"/>
          <w:szCs w:val="24"/>
          <w:highlight w:val="none"/>
        </w:rPr>
        <w:t>包人审定并确定价格后，承包人方可采购和</w:t>
      </w:r>
      <w:r>
        <w:rPr>
          <w:rFonts w:hint="eastAsia" w:ascii="宋体" w:hAnsi="宋体" w:eastAsia="宋体" w:cs="宋体"/>
          <w:color w:val="auto"/>
          <w:spacing w:val="-1"/>
          <w:sz w:val="24"/>
          <w:szCs w:val="24"/>
          <w:highlight w:val="none"/>
        </w:rPr>
        <w:t>使用。如果在交货验收和使用过程中发现货</w:t>
      </w:r>
      <w:r>
        <w:rPr>
          <w:rFonts w:hint="eastAsia" w:ascii="宋体" w:hAnsi="宋体" w:eastAsia="宋体" w:cs="宋体"/>
          <w:color w:val="auto"/>
          <w:spacing w:val="-2"/>
          <w:sz w:val="24"/>
          <w:szCs w:val="24"/>
          <w:highlight w:val="none"/>
        </w:rPr>
        <w:t>不对板，监理单位和发包人有权拒用，并要</w:t>
      </w:r>
      <w:r>
        <w:rPr>
          <w:rFonts w:hint="eastAsia" w:ascii="宋体" w:hAnsi="宋体" w:eastAsia="宋体" w:cs="宋体"/>
          <w:color w:val="auto"/>
          <w:spacing w:val="-1"/>
          <w:sz w:val="24"/>
          <w:szCs w:val="24"/>
          <w:highlight w:val="none"/>
        </w:rPr>
        <w:t>求承包人立即进行更换。更换后的材料（或</w:t>
      </w:r>
      <w:r>
        <w:rPr>
          <w:rFonts w:hint="eastAsia" w:ascii="宋体" w:hAnsi="宋体" w:eastAsia="宋体" w:cs="宋体"/>
          <w:color w:val="auto"/>
          <w:spacing w:val="-2"/>
          <w:sz w:val="24"/>
          <w:szCs w:val="24"/>
          <w:highlight w:val="none"/>
        </w:rPr>
        <w:t>工程设备）应再次进行检查和检验。由此增</w:t>
      </w:r>
      <w:r>
        <w:rPr>
          <w:rFonts w:hint="eastAsia" w:ascii="宋体" w:hAnsi="宋体" w:eastAsia="宋体" w:cs="宋体"/>
          <w:color w:val="auto"/>
          <w:spacing w:val="-1"/>
          <w:sz w:val="24"/>
          <w:szCs w:val="24"/>
          <w:highlight w:val="none"/>
        </w:rPr>
        <w:t>加的费用和（或）工期延误由承包人承担。</w:t>
      </w:r>
    </w:p>
    <w:p w14:paraId="00ED6500">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2.9 </w:t>
      </w:r>
      <w:r>
        <w:rPr>
          <w:rFonts w:hint="eastAsia" w:ascii="宋体" w:hAnsi="宋体" w:eastAsia="宋体" w:cs="宋体"/>
          <w:color w:val="auto"/>
          <w:spacing w:val="-1"/>
          <w:sz w:val="24"/>
          <w:szCs w:val="24"/>
          <w:highlight w:val="none"/>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w:t>
      </w:r>
      <w:r>
        <w:rPr>
          <w:rFonts w:hint="eastAsia" w:ascii="宋体" w:hAnsi="宋体" w:eastAsia="宋体" w:cs="宋体"/>
          <w:color w:val="auto"/>
          <w:spacing w:val="-1"/>
          <w:sz w:val="24"/>
          <w:szCs w:val="24"/>
          <w:highlight w:val="none"/>
          <w:lang w:val="en-US" w:eastAsia="zh-CN"/>
        </w:rPr>
        <w:t>造价通、</w:t>
      </w:r>
      <w:r>
        <w:rPr>
          <w:rFonts w:hint="eastAsia" w:ascii="宋体" w:hAnsi="宋体" w:eastAsia="宋体" w:cs="宋体"/>
          <w:color w:val="auto"/>
          <w:spacing w:val="-1"/>
          <w:sz w:val="24"/>
          <w:szCs w:val="24"/>
          <w:highlight w:val="none"/>
        </w:rPr>
        <w:t>电商平台价格（优先从京东、国美、苏宁等大型电商平台查询取其平均价）；若以上方式均无法确定材料价格的，则采用厂商报价或市场询价等方式取得有合法依据的市场价格，报发包人确认。</w:t>
      </w:r>
    </w:p>
    <w:p w14:paraId="3FEAE3DD">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pacing w:val="-1"/>
          <w:sz w:val="24"/>
          <w:szCs w:val="24"/>
          <w:highlight w:val="none"/>
          <w:lang w:val="en-US" w:eastAsia="zh-CN"/>
        </w:rPr>
      </w:pPr>
      <w:r>
        <w:rPr>
          <w:rFonts w:hint="default" w:ascii="宋体" w:hAnsi="宋体" w:eastAsia="宋体" w:cs="宋体"/>
          <w:color w:val="auto"/>
          <w:spacing w:val="-1"/>
          <w:sz w:val="24"/>
          <w:szCs w:val="24"/>
          <w:highlight w:val="none"/>
          <w:lang w:val="en-US" w:eastAsia="zh-CN"/>
        </w:rPr>
        <w:t>2.10</w:t>
      </w:r>
      <w:r>
        <w:rPr>
          <w:rFonts w:hint="eastAsia" w:ascii="宋体" w:hAnsi="宋体" w:eastAsia="宋体" w:cs="宋体"/>
          <w:color w:val="auto"/>
          <w:spacing w:val="-1"/>
          <w:sz w:val="24"/>
          <w:szCs w:val="24"/>
          <w:highlight w:val="none"/>
          <w:lang w:val="en-US" w:eastAsia="zh-CN"/>
        </w:rPr>
        <w:t>发包人有权根据本项目建设的实际情况调整建设规模或减少建设内容，如出现因特殊原因取消某子项目的建设，则该子项目未完成的工作内容及费用相应扣减，承包人不得因此向发包人提出额外的费用补偿或索赔，并且必须按调整后的规模及内容完成项目建设。</w:t>
      </w:r>
    </w:p>
    <w:p w14:paraId="37B1CE9C">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pacing w:val="-1"/>
          <w:sz w:val="24"/>
          <w:szCs w:val="24"/>
          <w:highlight w:val="none"/>
          <w:lang w:val="en-US" w:eastAsia="zh-CN"/>
        </w:rPr>
      </w:pPr>
      <w:r>
        <w:rPr>
          <w:rFonts w:hint="default" w:ascii="宋体" w:hAnsi="宋体" w:eastAsia="宋体" w:cs="宋体"/>
          <w:color w:val="auto"/>
          <w:spacing w:val="-1"/>
          <w:sz w:val="24"/>
          <w:szCs w:val="24"/>
          <w:highlight w:val="none"/>
          <w:lang w:val="en-US" w:eastAsia="zh-CN"/>
        </w:rPr>
        <w:t>2.1</w:t>
      </w:r>
      <w:r>
        <w:rPr>
          <w:rFonts w:hint="eastAsia" w:ascii="宋体" w:hAnsi="宋体" w:eastAsia="宋体" w:cs="宋体"/>
          <w:color w:val="auto"/>
          <w:spacing w:val="-1"/>
          <w:sz w:val="24"/>
          <w:szCs w:val="24"/>
          <w:highlight w:val="none"/>
          <w:lang w:val="en-US" w:eastAsia="zh-CN"/>
        </w:rPr>
        <w:t>1如项目实施过程中发生了工程变更及工程签证，承包人需根据发包人发布的 《工程变更管理办法》和《工程签证管理办法》完善工程变更签证相关程序。</w:t>
      </w:r>
    </w:p>
    <w:p w14:paraId="69FF8DD4">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
          <w:bCs/>
          <w:color w:val="auto"/>
          <w:spacing w:val="-1"/>
          <w:sz w:val="24"/>
          <w:szCs w:val="24"/>
          <w:highlight w:val="none"/>
        </w:rPr>
      </w:pPr>
      <w:r>
        <w:rPr>
          <w:rFonts w:hint="eastAsia" w:ascii="宋体" w:hAnsi="宋体" w:eastAsia="宋体" w:cs="宋体"/>
          <w:b/>
          <w:bCs/>
          <w:color w:val="auto"/>
          <w:spacing w:val="-1"/>
          <w:sz w:val="24"/>
          <w:szCs w:val="24"/>
          <w:highlight w:val="none"/>
        </w:rPr>
        <w:t>2.1</w:t>
      </w:r>
      <w:r>
        <w:rPr>
          <w:rFonts w:hint="eastAsia" w:ascii="宋体" w:hAnsi="宋体" w:eastAsia="宋体" w:cs="宋体"/>
          <w:b/>
          <w:bCs/>
          <w:color w:val="auto"/>
          <w:spacing w:val="-1"/>
          <w:sz w:val="24"/>
          <w:szCs w:val="24"/>
          <w:highlight w:val="none"/>
          <w:lang w:val="en-US" w:eastAsia="zh-CN"/>
        </w:rPr>
        <w:t>2</w:t>
      </w:r>
      <w:r>
        <w:rPr>
          <w:rFonts w:hint="eastAsia" w:ascii="宋体" w:hAnsi="宋体" w:eastAsia="宋体" w:cs="宋体"/>
          <w:b/>
          <w:bCs/>
          <w:color w:val="auto"/>
          <w:spacing w:val="-1"/>
          <w:sz w:val="24"/>
          <w:szCs w:val="24"/>
          <w:highlight w:val="none"/>
        </w:rPr>
        <w:t>项目实施过程中涉及工程造价控制、计量、价差调整等事项，最终以</w:t>
      </w:r>
      <w:r>
        <w:rPr>
          <w:rFonts w:hint="eastAsia" w:ascii="宋体" w:hAnsi="宋体" w:eastAsia="宋体" w:cs="宋体"/>
          <w:b/>
          <w:bCs/>
          <w:color w:val="auto"/>
          <w:spacing w:val="-1"/>
          <w:sz w:val="24"/>
          <w:szCs w:val="24"/>
          <w:highlight w:val="none"/>
          <w:lang w:eastAsia="zh-CN"/>
        </w:rPr>
        <w:t>发包人</w:t>
      </w:r>
      <w:r>
        <w:rPr>
          <w:rFonts w:hint="eastAsia" w:ascii="宋体" w:hAnsi="宋体" w:eastAsia="宋体" w:cs="宋体"/>
          <w:b/>
          <w:bCs/>
          <w:color w:val="auto"/>
          <w:spacing w:val="-1"/>
          <w:sz w:val="24"/>
          <w:szCs w:val="24"/>
          <w:highlight w:val="none"/>
        </w:rPr>
        <w:t>或其指定的审核机构的审定意见为准。</w:t>
      </w:r>
    </w:p>
    <w:p w14:paraId="672F0790">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pacing w:val="-1"/>
          <w:sz w:val="24"/>
          <w:szCs w:val="24"/>
          <w:highlight w:val="none"/>
        </w:rPr>
      </w:pPr>
      <w:r>
        <w:rPr>
          <w:rFonts w:hint="default" w:ascii="宋体" w:hAnsi="宋体" w:eastAsia="宋体" w:cs="宋体"/>
          <w:color w:val="auto"/>
          <w:spacing w:val="-1"/>
          <w:sz w:val="24"/>
          <w:szCs w:val="24"/>
          <w:highlight w:val="none"/>
          <w:lang w:val="en-US" w:eastAsia="zh-CN"/>
        </w:rPr>
        <w:t>2.1</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rPr>
        <w:t>为防止</w:t>
      </w:r>
      <w:r>
        <w:rPr>
          <w:rFonts w:hint="eastAsia" w:ascii="宋体" w:hAnsi="宋体" w:eastAsia="宋体" w:cs="宋体"/>
          <w:color w:val="auto"/>
          <w:spacing w:val="-1"/>
          <w:sz w:val="24"/>
          <w:szCs w:val="24"/>
          <w:highlight w:val="none"/>
          <w:lang w:val="en-US" w:eastAsia="zh-CN"/>
        </w:rPr>
        <w:t>承包人</w:t>
      </w:r>
      <w:r>
        <w:rPr>
          <w:rFonts w:hint="eastAsia" w:ascii="宋体" w:hAnsi="宋体" w:eastAsia="宋体" w:cs="宋体"/>
          <w:color w:val="auto"/>
          <w:spacing w:val="-1"/>
          <w:sz w:val="24"/>
          <w:szCs w:val="24"/>
          <w:highlight w:val="none"/>
        </w:rPr>
        <w:t>高估冒算，如属于</w:t>
      </w:r>
      <w:r>
        <w:rPr>
          <w:rFonts w:hint="eastAsia" w:ascii="宋体" w:hAnsi="宋体" w:eastAsia="宋体" w:cs="宋体"/>
          <w:color w:val="auto"/>
          <w:spacing w:val="-1"/>
          <w:sz w:val="24"/>
          <w:szCs w:val="24"/>
          <w:highlight w:val="none"/>
          <w:lang w:val="en-US" w:eastAsia="zh-CN"/>
        </w:rPr>
        <w:t>承包人</w:t>
      </w:r>
      <w:r>
        <w:rPr>
          <w:rFonts w:hint="eastAsia" w:ascii="宋体" w:hAnsi="宋体" w:eastAsia="宋体" w:cs="宋体"/>
          <w:color w:val="auto"/>
          <w:spacing w:val="-1"/>
          <w:sz w:val="24"/>
          <w:szCs w:val="24"/>
          <w:highlight w:val="none"/>
        </w:rPr>
        <w:t>或者其委托造价咨询企业原因造成所申报结算款超出</w:t>
      </w:r>
      <w:r>
        <w:rPr>
          <w:rFonts w:hint="eastAsia" w:ascii="宋体" w:hAnsi="宋体" w:eastAsia="宋体" w:cs="宋体"/>
          <w:color w:val="auto"/>
          <w:spacing w:val="-1"/>
          <w:sz w:val="24"/>
          <w:szCs w:val="24"/>
          <w:highlight w:val="none"/>
          <w:lang w:eastAsia="zh-CN"/>
        </w:rPr>
        <w:t>发包人</w:t>
      </w:r>
      <w:r>
        <w:rPr>
          <w:rFonts w:hint="eastAsia" w:ascii="宋体" w:hAnsi="宋体" w:eastAsia="宋体" w:cs="宋体"/>
          <w:color w:val="auto"/>
          <w:spacing w:val="-1"/>
          <w:sz w:val="24"/>
          <w:szCs w:val="24"/>
          <w:highlight w:val="none"/>
        </w:rPr>
        <w:t>核对或者</w:t>
      </w:r>
      <w:r>
        <w:rPr>
          <w:rFonts w:hint="eastAsia" w:ascii="宋体" w:hAnsi="宋体" w:eastAsia="宋体" w:cs="宋体"/>
          <w:color w:val="auto"/>
          <w:spacing w:val="-1"/>
          <w:sz w:val="24"/>
          <w:szCs w:val="24"/>
          <w:highlight w:val="none"/>
          <w:lang w:eastAsia="zh-CN"/>
        </w:rPr>
        <w:t>发包人</w:t>
      </w:r>
      <w:r>
        <w:rPr>
          <w:rFonts w:hint="eastAsia" w:ascii="宋体" w:hAnsi="宋体" w:eastAsia="宋体" w:cs="宋体"/>
          <w:color w:val="auto"/>
          <w:spacing w:val="-1"/>
          <w:sz w:val="24"/>
          <w:szCs w:val="24"/>
          <w:highlight w:val="none"/>
        </w:rPr>
        <w:t>委托的第三方最终审定结算款的5%时，</w:t>
      </w:r>
      <w:r>
        <w:rPr>
          <w:rFonts w:hint="eastAsia" w:ascii="宋体" w:hAnsi="宋体" w:eastAsia="宋体" w:cs="宋体"/>
          <w:color w:val="auto"/>
          <w:spacing w:val="-1"/>
          <w:sz w:val="24"/>
          <w:szCs w:val="24"/>
          <w:highlight w:val="none"/>
          <w:lang w:val="en-US" w:eastAsia="zh-CN"/>
        </w:rPr>
        <w:t>承包人</w:t>
      </w:r>
      <w:r>
        <w:rPr>
          <w:rFonts w:hint="eastAsia" w:ascii="宋体" w:hAnsi="宋体" w:eastAsia="宋体" w:cs="宋体"/>
          <w:color w:val="auto"/>
          <w:spacing w:val="-1"/>
          <w:sz w:val="24"/>
          <w:szCs w:val="24"/>
          <w:highlight w:val="none"/>
        </w:rPr>
        <w:t>必须承担超出5%部分的核对费用（须向发包人委托的第三方咨询单位支付因此产生的效益收费，收费标准按核减额的4%予以计取），</w:t>
      </w:r>
      <w:r>
        <w:rPr>
          <w:rFonts w:hint="eastAsia" w:ascii="宋体" w:hAnsi="宋体" w:eastAsia="宋体" w:cs="宋体"/>
          <w:color w:val="auto"/>
          <w:spacing w:val="-1"/>
          <w:sz w:val="24"/>
          <w:szCs w:val="24"/>
          <w:highlight w:val="none"/>
          <w:lang w:val="en-US" w:eastAsia="zh-CN"/>
        </w:rPr>
        <w:t>发包</w:t>
      </w:r>
      <w:r>
        <w:rPr>
          <w:rFonts w:hint="eastAsia" w:ascii="宋体" w:hAnsi="宋体" w:eastAsia="宋体" w:cs="宋体"/>
          <w:color w:val="auto"/>
          <w:spacing w:val="-1"/>
          <w:sz w:val="24"/>
          <w:szCs w:val="24"/>
          <w:highlight w:val="none"/>
        </w:rPr>
        <w:t>人有权就结算文件质量偏差率超过规定的5%的情况向市住</w:t>
      </w:r>
      <w:r>
        <w:rPr>
          <w:rFonts w:hint="eastAsia" w:ascii="宋体" w:hAnsi="宋体" w:eastAsia="宋体" w:cs="宋体"/>
          <w:color w:val="auto"/>
          <w:spacing w:val="-1"/>
          <w:sz w:val="24"/>
          <w:szCs w:val="24"/>
          <w:highlight w:val="none"/>
          <w:lang w:eastAsia="zh-CN"/>
        </w:rPr>
        <w:t>房和</w:t>
      </w:r>
      <w:r>
        <w:rPr>
          <w:rFonts w:hint="eastAsia" w:ascii="宋体" w:hAnsi="宋体" w:eastAsia="宋体" w:cs="宋体"/>
          <w:color w:val="auto"/>
          <w:spacing w:val="-1"/>
          <w:sz w:val="24"/>
          <w:szCs w:val="24"/>
          <w:highlight w:val="none"/>
        </w:rPr>
        <w:t>城乡建设主管部门进行举报。</w:t>
      </w:r>
    </w:p>
    <w:p w14:paraId="447F15E2">
      <w:pPr>
        <w:pStyle w:val="29"/>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jc w:val="both"/>
        <w:outlineLvl w:val="2"/>
        <w:rPr>
          <w:rStyle w:val="20"/>
          <w:rFonts w:hint="eastAsia" w:ascii="宋体" w:hAnsi="宋体" w:eastAsia="宋体" w:cs="宋体"/>
          <w:b/>
          <w:bCs/>
          <w:color w:val="auto"/>
          <w:sz w:val="24"/>
          <w:szCs w:val="24"/>
          <w:highlight w:val="none"/>
        </w:rPr>
      </w:pPr>
      <w:bookmarkStart w:id="167" w:name="_Toc1816"/>
      <w:bookmarkStart w:id="168" w:name="_Toc11561"/>
      <w:r>
        <w:rPr>
          <w:rStyle w:val="20"/>
          <w:rFonts w:hint="eastAsia" w:ascii="宋体" w:hAnsi="宋体" w:eastAsia="宋体" w:cs="宋体"/>
          <w:b/>
          <w:bCs/>
          <w:color w:val="auto"/>
          <w:sz w:val="24"/>
          <w:szCs w:val="24"/>
          <w:highlight w:val="none"/>
        </w:rPr>
        <w:t>3. 工程付款办法</w:t>
      </w:r>
      <w:bookmarkEnd w:id="167"/>
      <w:bookmarkEnd w:id="168"/>
    </w:p>
    <w:p w14:paraId="493DDD4C">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3.1</w:t>
      </w:r>
      <w:r>
        <w:rPr>
          <w:rFonts w:hint="eastAsia" w:ascii="宋体" w:hAnsi="宋体" w:eastAsia="宋体" w:cs="宋体"/>
          <w:snapToGrid w:val="0"/>
          <w:color w:val="auto"/>
          <w:kern w:val="0"/>
          <w:sz w:val="24"/>
          <w:szCs w:val="20"/>
          <w:highlight w:val="none"/>
          <w:lang w:eastAsia="zh-CN"/>
        </w:rPr>
        <w:t xml:space="preserve"> 本工程 </w:t>
      </w:r>
      <w:r>
        <w:rPr>
          <w:rFonts w:hint="eastAsia" w:ascii="宋体" w:hAnsi="宋体" w:eastAsia="宋体" w:cs="宋体"/>
          <w:snapToGrid w:val="0"/>
          <w:color w:val="auto"/>
          <w:kern w:val="0"/>
          <w:sz w:val="24"/>
          <w:szCs w:val="20"/>
          <w:highlight w:val="none"/>
          <w:u w:val="single"/>
          <w:lang w:eastAsia="zh-CN"/>
        </w:rPr>
        <w:t>支付</w:t>
      </w:r>
      <w:r>
        <w:rPr>
          <w:rFonts w:hint="eastAsia" w:ascii="宋体" w:hAnsi="宋体" w:eastAsia="宋体" w:cs="宋体"/>
          <w:snapToGrid w:val="0"/>
          <w:color w:val="auto"/>
          <w:kern w:val="0"/>
          <w:sz w:val="24"/>
          <w:szCs w:val="20"/>
          <w:highlight w:val="none"/>
          <w:lang w:eastAsia="zh-CN"/>
        </w:rPr>
        <w:t xml:space="preserve"> 施工预付款。</w:t>
      </w:r>
    </w:p>
    <w:p w14:paraId="27A708E9">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w:t>
      </w:r>
      <w:r>
        <w:rPr>
          <w:rFonts w:hint="eastAsia" w:ascii="宋体" w:hAnsi="宋体" w:eastAsia="宋体" w:cs="宋体"/>
          <w:snapToGrid w:val="0"/>
          <w:color w:val="auto"/>
          <w:kern w:val="0"/>
          <w:sz w:val="24"/>
          <w:szCs w:val="20"/>
          <w:highlight w:val="none"/>
          <w:lang w:eastAsia="zh-CN"/>
        </w:rPr>
        <w:t xml:space="preserve"> 施工预付款必须专用于合同工程，并按以下原则支付和抵扣：</w:t>
      </w:r>
    </w:p>
    <w:p w14:paraId="196AABE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3.2.1</w:t>
      </w:r>
      <w:r>
        <w:rPr>
          <w:rFonts w:hint="eastAsia" w:ascii="宋体" w:hAnsi="宋体" w:eastAsia="宋体" w:cs="宋体"/>
          <w:snapToGrid w:val="0"/>
          <w:color w:val="auto"/>
          <w:kern w:val="0"/>
          <w:sz w:val="24"/>
          <w:szCs w:val="20"/>
          <w:highlight w:val="none"/>
          <w:lang w:eastAsia="zh-CN"/>
        </w:rPr>
        <w:t xml:space="preserve"> 施工预付款支付比例为：按施工合同价（</w:t>
      </w:r>
      <w:r>
        <w:rPr>
          <w:rFonts w:hint="eastAsia" w:ascii="宋体" w:hAnsi="宋体" w:eastAsia="宋体" w:cs="宋体"/>
          <w:snapToGrid w:val="0"/>
          <w:color w:val="auto"/>
          <w:kern w:val="0"/>
          <w:sz w:val="24"/>
          <w:szCs w:val="20"/>
          <w:highlight w:val="none"/>
          <w:lang w:val="en-US" w:eastAsia="zh-CN"/>
        </w:rPr>
        <w:t>扣除安全生产措施费、暂列金额、计日工和专业工程暂估价</w:t>
      </w:r>
      <w:r>
        <w:rPr>
          <w:rFonts w:hint="eastAsia" w:ascii="宋体" w:hAnsi="宋体" w:eastAsia="宋体" w:cs="宋体"/>
          <w:snapToGrid w:val="0"/>
          <w:color w:val="auto"/>
          <w:kern w:val="0"/>
          <w:sz w:val="24"/>
          <w:szCs w:val="20"/>
          <w:highlight w:val="none"/>
          <w:lang w:eastAsia="zh-CN"/>
        </w:rPr>
        <w:t xml:space="preserve">）的 </w:t>
      </w:r>
      <w:r>
        <w:rPr>
          <w:rFonts w:hint="eastAsia" w:ascii="宋体" w:hAnsi="宋体" w:eastAsia="宋体" w:cs="宋体"/>
          <w:snapToGrid w:val="0"/>
          <w:color w:val="auto"/>
          <w:kern w:val="0"/>
          <w:sz w:val="24"/>
          <w:szCs w:val="20"/>
          <w:highlight w:val="none"/>
          <w:lang w:val="en-US" w:eastAsia="zh-CN"/>
        </w:rPr>
        <w:t>1</w:t>
      </w:r>
      <w:r>
        <w:rPr>
          <w:rFonts w:hint="eastAsia" w:ascii="宋体" w:hAnsi="宋体" w:eastAsia="宋体" w:cs="宋体"/>
          <w:snapToGrid w:val="0"/>
          <w:color w:val="auto"/>
          <w:kern w:val="0"/>
          <w:sz w:val="24"/>
          <w:szCs w:val="20"/>
          <w:highlight w:val="none"/>
          <w:lang w:eastAsia="zh-CN"/>
        </w:rPr>
        <w:t>0% 支付。</w:t>
      </w:r>
    </w:p>
    <w:p w14:paraId="3C43863C">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b/>
          <w:bCs/>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3.2.2</w:t>
      </w:r>
      <w:r>
        <w:rPr>
          <w:rFonts w:hint="eastAsia" w:ascii="宋体" w:hAnsi="宋体" w:eastAsia="宋体" w:cs="宋体"/>
          <w:snapToGrid w:val="0"/>
          <w:color w:val="auto"/>
          <w:kern w:val="0"/>
          <w:sz w:val="24"/>
          <w:szCs w:val="20"/>
          <w:highlight w:val="none"/>
          <w:lang w:eastAsia="zh-CN"/>
        </w:rPr>
        <w:t xml:space="preserve"> 本招标项目</w:t>
      </w:r>
      <w:r>
        <w:rPr>
          <w:rFonts w:hint="eastAsia" w:ascii="宋体" w:hAnsi="宋体" w:eastAsia="宋体" w:cs="宋体"/>
          <w:b/>
          <w:bCs/>
          <w:snapToGrid w:val="0"/>
          <w:color w:val="auto"/>
          <w:kern w:val="0"/>
          <w:sz w:val="24"/>
          <w:szCs w:val="20"/>
          <w:highlight w:val="none"/>
          <w:u w:val="single"/>
          <w:lang w:eastAsia="zh-CN"/>
        </w:rPr>
        <w:t xml:space="preserve"> 要求 </w:t>
      </w:r>
      <w:r>
        <w:rPr>
          <w:rFonts w:hint="eastAsia" w:ascii="宋体" w:hAnsi="宋体" w:eastAsia="宋体" w:cs="宋体"/>
          <w:snapToGrid w:val="0"/>
          <w:color w:val="auto"/>
          <w:kern w:val="0"/>
          <w:sz w:val="24"/>
          <w:szCs w:val="20"/>
          <w:highlight w:val="none"/>
          <w:lang w:eastAsia="zh-CN"/>
        </w:rPr>
        <w:t>承包人提供与预付款等额的预付款保函。</w:t>
      </w:r>
      <w:r>
        <w:rPr>
          <w:rFonts w:hint="eastAsia" w:ascii="宋体" w:hAnsi="宋体" w:eastAsia="宋体" w:cs="宋体"/>
          <w:b/>
          <w:bCs/>
          <w:snapToGrid w:val="0"/>
          <w:color w:val="auto"/>
          <w:kern w:val="0"/>
          <w:sz w:val="24"/>
          <w:szCs w:val="20"/>
          <w:highlight w:val="none"/>
          <w:lang w:eastAsia="zh-CN"/>
        </w:rPr>
        <w:t>（预付款保函格式按《住房和城乡建设部关于印发工程保函示范文本的通知》建市〔2021〕11号）执行），且预付款保函期限与总工期一致，承包单位的预付款保函有效期应保证在扣回预付款前有效，未扣回预付款但保函过期的承包人应重新开具预付款保函。</w:t>
      </w:r>
    </w:p>
    <w:p w14:paraId="005B5C28">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3.2.3</w:t>
      </w:r>
      <w:r>
        <w:rPr>
          <w:rFonts w:hint="eastAsia" w:ascii="宋体" w:hAnsi="宋体" w:eastAsia="宋体" w:cs="宋体"/>
          <w:snapToGrid w:val="0"/>
          <w:color w:val="auto"/>
          <w:kern w:val="0"/>
          <w:sz w:val="24"/>
          <w:szCs w:val="20"/>
          <w:highlight w:val="none"/>
          <w:lang w:eastAsia="zh-CN"/>
        </w:rPr>
        <w:t xml:space="preserve"> 承包人应在签订合同后，</w:t>
      </w:r>
      <w:r>
        <w:rPr>
          <w:rFonts w:hint="eastAsia" w:ascii="宋体" w:hAnsi="宋体" w:eastAsia="宋体" w:cs="宋体"/>
          <w:b/>
          <w:bCs/>
          <w:snapToGrid w:val="0"/>
          <w:color w:val="auto"/>
          <w:kern w:val="0"/>
          <w:sz w:val="24"/>
          <w:szCs w:val="20"/>
          <w:highlight w:val="none"/>
          <w:lang w:eastAsia="zh-CN"/>
        </w:rPr>
        <w:t>在提供预付款保函</w:t>
      </w:r>
      <w:r>
        <w:rPr>
          <w:rFonts w:hint="eastAsia" w:ascii="宋体" w:hAnsi="宋体" w:eastAsia="宋体" w:cs="宋体"/>
          <w:snapToGrid w:val="0"/>
          <w:color w:val="auto"/>
          <w:kern w:val="0"/>
          <w:sz w:val="24"/>
          <w:szCs w:val="20"/>
          <w:highlight w:val="none"/>
          <w:lang w:eastAsia="zh-CN"/>
        </w:rPr>
        <w:t>及具备施工条件的前提下，向发包人提交预付款支付申请。发包人应在收到支付申请的</w:t>
      </w:r>
      <w:r>
        <w:rPr>
          <w:rFonts w:hint="eastAsia" w:ascii="宋体" w:hAnsi="宋体" w:eastAsia="宋体" w:cs="宋体"/>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天内进行核实后向承包人发出预付款支付证书，并在签发支付证书后的</w:t>
      </w:r>
      <w:r>
        <w:rPr>
          <w:rFonts w:hint="eastAsia" w:ascii="宋体" w:hAnsi="宋体" w:eastAsia="宋体" w:cs="宋体"/>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天内向承包人支付预付款。凡未签订合同或不具备施工条件的工程，发包人不得预付工程款。</w:t>
      </w:r>
    </w:p>
    <w:p w14:paraId="20B18AAD">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w:t>
      </w:r>
      <w:r>
        <w:rPr>
          <w:rFonts w:hint="eastAsia" w:ascii="宋体" w:hAnsi="宋体" w:eastAsia="宋体" w:cs="宋体"/>
          <w:b/>
          <w:bCs/>
          <w:snapToGrid w:val="0"/>
          <w:color w:val="auto"/>
          <w:kern w:val="0"/>
          <w:sz w:val="24"/>
          <w:szCs w:val="20"/>
          <w:highlight w:val="none"/>
          <w:lang w:val="en-US" w:eastAsia="zh-CN"/>
        </w:rPr>
        <w:t>4</w:t>
      </w:r>
      <w:r>
        <w:rPr>
          <w:rFonts w:hint="eastAsia" w:ascii="宋体" w:hAnsi="宋体" w:eastAsia="宋体" w:cs="宋体"/>
          <w:snapToGrid w:val="0"/>
          <w:color w:val="auto"/>
          <w:kern w:val="0"/>
          <w:sz w:val="24"/>
          <w:szCs w:val="20"/>
          <w:highlight w:val="none"/>
          <w:lang w:eastAsia="zh-CN"/>
        </w:rPr>
        <w:t xml:space="preserve"> 发包人没有按时支付预付款的，承包人可催告发包人支付；发包人在付款期满后的7天内仍未支付的，承包人可在付款期满后的第8天起暂停施工。发包人应向承包人支付应付款的利息（从付款期满之日起计算，利率按同期银行贷款利率计算），并承担违约责任。</w:t>
      </w:r>
    </w:p>
    <w:p w14:paraId="00A99BA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val="en-US" w:eastAsia="zh-CN"/>
        </w:rPr>
        <w:t>3.2.5</w:t>
      </w:r>
      <w:r>
        <w:rPr>
          <w:rFonts w:hint="eastAsia" w:ascii="宋体" w:hAnsi="宋体" w:eastAsia="宋体" w:cs="宋体"/>
          <w:snapToGrid w:val="0"/>
          <w:color w:val="auto"/>
          <w:kern w:val="0"/>
          <w:sz w:val="24"/>
          <w:szCs w:val="20"/>
          <w:highlight w:val="none"/>
          <w:lang w:val="en-US" w:eastAsia="zh-CN"/>
        </w:rPr>
        <w:t xml:space="preserve"> </w:t>
      </w:r>
      <w:r>
        <w:rPr>
          <w:rFonts w:ascii="Times New Roman"/>
          <w:snapToGrid w:val="0"/>
          <w:color w:val="auto"/>
          <w:kern w:val="0"/>
          <w:sz w:val="24"/>
          <w:szCs w:val="24"/>
          <w:highlight w:val="none"/>
        </w:rPr>
        <w:t>预付款</w:t>
      </w:r>
      <w:r>
        <w:rPr>
          <w:rFonts w:ascii="Times New Roman"/>
          <w:snapToGrid w:val="0"/>
          <w:color w:val="auto"/>
          <w:kern w:val="0"/>
          <w:sz w:val="24"/>
          <w:szCs w:val="24"/>
          <w:highlight w:val="none"/>
          <w:u w:val="single"/>
        </w:rPr>
        <w:t>应按每支付期应支付给承包人的工程进度款的30%抵扣</w:t>
      </w:r>
      <w:r>
        <w:rPr>
          <w:rFonts w:ascii="Times New Roman"/>
          <w:snapToGrid w:val="0"/>
          <w:color w:val="auto"/>
          <w:kern w:val="0"/>
          <w:sz w:val="24"/>
          <w:szCs w:val="24"/>
          <w:highlight w:val="none"/>
        </w:rPr>
        <w:t>，直到扣回的金额达到合同约定的预付款金额为止。如因建设工期短导致工程已完工而预付款尚未扣清的，尚未扣清的预付款余额在竣工验收合格后当期应支付的工程款项中一次性扣清。</w:t>
      </w:r>
    </w:p>
    <w:p w14:paraId="4A4AB56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3.3</w:t>
      </w:r>
      <w:r>
        <w:rPr>
          <w:rFonts w:hint="eastAsia" w:ascii="宋体" w:hAnsi="宋体" w:eastAsia="宋体" w:cs="宋体"/>
          <w:snapToGrid w:val="0"/>
          <w:color w:val="auto"/>
          <w:kern w:val="0"/>
          <w:sz w:val="24"/>
          <w:szCs w:val="20"/>
          <w:highlight w:val="none"/>
          <w:lang w:eastAsia="zh-CN"/>
        </w:rPr>
        <w:t xml:space="preserve"> 施工过程中按月支付工程进度款：承包人每月按工程实际完成工程量（含变更及增加工程）申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p>
    <w:p w14:paraId="222DF01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3.4</w:t>
      </w:r>
      <w:r>
        <w:rPr>
          <w:rFonts w:hint="eastAsia" w:ascii="宋体" w:hAnsi="宋体" w:eastAsia="宋体" w:cs="宋体"/>
          <w:snapToGrid w:val="0"/>
          <w:color w:val="auto"/>
          <w:kern w:val="0"/>
          <w:sz w:val="24"/>
          <w:szCs w:val="20"/>
          <w:highlight w:val="none"/>
          <w:lang w:eastAsia="zh-CN"/>
        </w:rPr>
        <w:t xml:space="preserve"> 每月的工程进度款按工程实际完成工程量的</w:t>
      </w:r>
      <w:r>
        <w:rPr>
          <w:rFonts w:hint="eastAsia" w:ascii="宋体" w:hAnsi="宋体" w:eastAsia="宋体" w:cs="宋体"/>
          <w:snapToGrid w:val="0"/>
          <w:color w:val="auto"/>
          <w:kern w:val="0"/>
          <w:sz w:val="24"/>
          <w:szCs w:val="20"/>
          <w:highlight w:val="none"/>
          <w:u w:val="single"/>
          <w:lang w:eastAsia="zh-CN"/>
        </w:rPr>
        <w:t>80%</w:t>
      </w:r>
      <w:r>
        <w:rPr>
          <w:rFonts w:hint="eastAsia" w:ascii="宋体" w:hAnsi="宋体" w:eastAsia="宋体" w:cs="宋体"/>
          <w:snapToGrid w:val="0"/>
          <w:color w:val="auto"/>
          <w:kern w:val="0"/>
          <w:sz w:val="24"/>
          <w:szCs w:val="20"/>
          <w:highlight w:val="none"/>
          <w:lang w:eastAsia="zh-CN"/>
        </w:rPr>
        <w:t>申请支付，工程进度款中的作业工人工资款项由发包人单独足额拨付到承包人的工资专户。</w:t>
      </w:r>
    </w:p>
    <w:p w14:paraId="3A7865B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5</w:t>
      </w:r>
      <w:r>
        <w:rPr>
          <w:rFonts w:hint="eastAsia" w:ascii="宋体" w:hAnsi="宋体" w:eastAsia="宋体" w:cs="宋体"/>
          <w:b/>
          <w:bCs/>
          <w:snapToGrid w:val="0"/>
          <w:color w:val="auto"/>
          <w:kern w:val="0"/>
          <w:sz w:val="24"/>
          <w:szCs w:val="20"/>
          <w:highlight w:val="none"/>
          <w:lang w:eastAsia="zh-CN"/>
        </w:rPr>
        <w:t xml:space="preserve"> </w:t>
      </w:r>
      <w:r>
        <w:rPr>
          <w:rFonts w:hint="eastAsia" w:ascii="宋体" w:hAnsi="宋体" w:eastAsia="宋体" w:cs="宋体"/>
          <w:snapToGrid w:val="0"/>
          <w:color w:val="auto"/>
          <w:kern w:val="0"/>
          <w:sz w:val="24"/>
          <w:szCs w:val="20"/>
          <w:highlight w:val="none"/>
          <w:lang w:val="en-US" w:eastAsia="zh-CN"/>
        </w:rPr>
        <w:t>发包人应在工程开工后28天内预付不低于安全生产措施费总额的50%给承包人，其余部分按照提前安排的原则进行分解，并与工程进度款同期支付。</w:t>
      </w:r>
    </w:p>
    <w:p w14:paraId="50B299E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6</w:t>
      </w:r>
      <w:r>
        <w:rPr>
          <w:rFonts w:hint="eastAsia" w:ascii="宋体" w:hAnsi="宋体" w:eastAsia="宋体" w:cs="宋体"/>
          <w:snapToGrid w:val="0"/>
          <w:color w:val="auto"/>
          <w:kern w:val="0"/>
          <w:sz w:val="24"/>
          <w:szCs w:val="20"/>
          <w:highlight w:val="none"/>
          <w:lang w:eastAsia="zh-CN"/>
        </w:rPr>
        <w:t xml:space="preserve"> 变更工程造价必须经监理单位、第三方造价咨询单位核实，并经发包人核定后方可支付。</w:t>
      </w:r>
    </w:p>
    <w:p w14:paraId="6DECE24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snapToGrid w:val="0"/>
          <w:color w:val="auto"/>
          <w:kern w:val="0"/>
          <w:sz w:val="24"/>
          <w:szCs w:val="20"/>
          <w:highlight w:val="none"/>
          <w:lang w:eastAsia="zh-CN"/>
        </w:rPr>
        <w:t>.</w:t>
      </w:r>
      <w:r>
        <w:rPr>
          <w:rFonts w:hint="eastAsia" w:ascii="宋体" w:hAnsi="宋体" w:eastAsia="宋体" w:cs="宋体"/>
          <w:b/>
          <w:bCs/>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 xml:space="preserve"> 结算审核完成后，于次月支付至审定总造价的97%（承包人</w:t>
      </w:r>
      <w:r>
        <w:rPr>
          <w:rFonts w:hint="eastAsia" w:ascii="宋体" w:hAnsi="宋体" w:eastAsia="宋体" w:cs="宋体"/>
          <w:snapToGrid w:val="0"/>
          <w:color w:val="auto"/>
          <w:kern w:val="0"/>
          <w:sz w:val="24"/>
          <w:szCs w:val="20"/>
          <w:highlight w:val="none"/>
          <w:lang w:val="en-US" w:eastAsia="zh-CN"/>
        </w:rPr>
        <w:t>按结算审核价</w:t>
      </w:r>
      <w:r>
        <w:rPr>
          <w:rFonts w:hint="eastAsia" w:ascii="宋体" w:hAnsi="宋体" w:eastAsia="宋体" w:cs="宋体"/>
          <w:snapToGrid w:val="0"/>
          <w:color w:val="auto"/>
          <w:kern w:val="0"/>
          <w:sz w:val="24"/>
          <w:szCs w:val="20"/>
          <w:highlight w:val="none"/>
          <w:lang w:eastAsia="zh-CN"/>
        </w:rPr>
        <w:t>提供</w:t>
      </w:r>
      <w:r>
        <w:rPr>
          <w:rFonts w:hint="eastAsia" w:ascii="宋体" w:hAnsi="宋体" w:eastAsia="宋体" w:cs="宋体"/>
          <w:snapToGrid w:val="0"/>
          <w:color w:val="auto"/>
          <w:kern w:val="0"/>
          <w:sz w:val="24"/>
          <w:szCs w:val="20"/>
          <w:highlight w:val="none"/>
          <w:lang w:val="en-US" w:eastAsia="zh-CN"/>
        </w:rPr>
        <w:t>100%</w:t>
      </w:r>
      <w:r>
        <w:rPr>
          <w:rFonts w:hint="eastAsia" w:ascii="宋体" w:hAnsi="宋体" w:eastAsia="宋体" w:cs="宋体"/>
          <w:snapToGrid w:val="0"/>
          <w:color w:val="auto"/>
          <w:kern w:val="0"/>
          <w:sz w:val="24"/>
          <w:szCs w:val="20"/>
          <w:highlight w:val="none"/>
          <w:lang w:eastAsia="zh-CN"/>
        </w:rPr>
        <w:t>发票），剩余3%</w:t>
      </w:r>
      <w:r>
        <w:rPr>
          <w:rFonts w:hint="eastAsia" w:ascii="宋体" w:hAnsi="宋体" w:eastAsia="宋体" w:cs="宋体"/>
          <w:snapToGrid w:val="0"/>
          <w:color w:val="auto"/>
          <w:kern w:val="0"/>
          <w:sz w:val="24"/>
          <w:szCs w:val="20"/>
          <w:highlight w:val="none"/>
          <w:lang w:val="en-US" w:eastAsia="zh-CN"/>
        </w:rPr>
        <w:t xml:space="preserve"> </w:t>
      </w:r>
      <w:r>
        <w:rPr>
          <w:rFonts w:hint="eastAsia" w:ascii="宋体" w:hAnsi="宋体" w:eastAsia="宋体" w:cs="宋体"/>
          <w:snapToGrid w:val="0"/>
          <w:color w:val="auto"/>
          <w:kern w:val="0"/>
          <w:sz w:val="24"/>
          <w:szCs w:val="20"/>
          <w:highlight w:val="none"/>
          <w:lang w:eastAsia="zh-CN"/>
        </w:rPr>
        <w:t>转为质量保证金；承包人提交了等额质量保证担保或质量保证保险的，于次月一次性结清审定总造价。</w:t>
      </w:r>
    </w:p>
    <w:p w14:paraId="41E1DF9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8</w:t>
      </w:r>
      <w:r>
        <w:rPr>
          <w:rFonts w:hint="eastAsia" w:ascii="宋体" w:hAnsi="宋体" w:eastAsia="宋体" w:cs="宋体"/>
          <w:snapToGrid w:val="0"/>
          <w:color w:val="auto"/>
          <w:kern w:val="0"/>
          <w:sz w:val="24"/>
          <w:szCs w:val="20"/>
          <w:highlight w:val="none"/>
          <w:lang w:eastAsia="zh-CN"/>
        </w:rPr>
        <w:t>本招标项目缺陷责任期为</w:t>
      </w:r>
      <w:r>
        <w:rPr>
          <w:rFonts w:hint="eastAsia" w:ascii="宋体" w:hAnsi="宋体" w:eastAsia="宋体" w:cs="宋体"/>
          <w:snapToGrid w:val="0"/>
          <w:color w:val="auto"/>
          <w:kern w:val="0"/>
          <w:sz w:val="24"/>
          <w:szCs w:val="20"/>
          <w:highlight w:val="none"/>
          <w:u w:val="single"/>
          <w:lang w:val="en-US" w:eastAsia="zh-CN"/>
        </w:rPr>
        <w:t>2</w:t>
      </w:r>
      <w:r>
        <w:rPr>
          <w:rFonts w:hint="eastAsia" w:ascii="宋体" w:hAnsi="宋体" w:eastAsia="宋体" w:cs="宋体"/>
          <w:snapToGrid w:val="0"/>
          <w:color w:val="auto"/>
          <w:kern w:val="0"/>
          <w:sz w:val="24"/>
          <w:szCs w:val="20"/>
          <w:highlight w:val="none"/>
          <w:lang w:eastAsia="zh-CN"/>
        </w:rPr>
        <w:t xml:space="preserve"> 年（自通过竣工验收之日起计算）。缺陷责任期到期后，承包人向发包人申请退还质量保证。发包人收到退还申请后，于</w:t>
      </w:r>
      <w:r>
        <w:rPr>
          <w:rFonts w:hint="eastAsia" w:ascii="宋体" w:hAnsi="宋体" w:eastAsia="宋体" w:cs="宋体"/>
          <w:snapToGrid w:val="0"/>
          <w:color w:val="auto"/>
          <w:kern w:val="0"/>
          <w:sz w:val="24"/>
          <w:szCs w:val="20"/>
          <w:highlight w:val="none"/>
          <w:u w:val="single"/>
          <w:lang w:eastAsia="zh-CN"/>
        </w:rPr>
        <w:t>14</w:t>
      </w:r>
      <w:r>
        <w:rPr>
          <w:rFonts w:hint="eastAsia" w:ascii="宋体" w:hAnsi="宋体" w:eastAsia="宋体" w:cs="宋体"/>
          <w:snapToGrid w:val="0"/>
          <w:color w:val="auto"/>
          <w:kern w:val="0"/>
          <w:sz w:val="24"/>
          <w:szCs w:val="20"/>
          <w:highlight w:val="none"/>
          <w:lang w:eastAsia="zh-CN"/>
        </w:rPr>
        <w:t>天内会同承包人进行核实。经双方核实且均无异议后，发包人在核实之日起</w:t>
      </w:r>
      <w:r>
        <w:rPr>
          <w:rFonts w:hint="eastAsia" w:ascii="宋体" w:hAnsi="宋体" w:eastAsia="宋体" w:cs="宋体"/>
          <w:snapToGrid w:val="0"/>
          <w:color w:val="auto"/>
          <w:kern w:val="0"/>
          <w:sz w:val="24"/>
          <w:szCs w:val="20"/>
          <w:highlight w:val="none"/>
          <w:u w:val="single"/>
          <w:lang w:eastAsia="zh-CN"/>
        </w:rPr>
        <w:t xml:space="preserve"> 14 </w:t>
      </w:r>
      <w:r>
        <w:rPr>
          <w:rFonts w:hint="eastAsia" w:ascii="宋体" w:hAnsi="宋体" w:eastAsia="宋体" w:cs="宋体"/>
          <w:snapToGrid w:val="0"/>
          <w:color w:val="auto"/>
          <w:kern w:val="0"/>
          <w:sz w:val="24"/>
          <w:szCs w:val="20"/>
          <w:highlight w:val="none"/>
          <w:lang w:eastAsia="zh-CN"/>
        </w:rPr>
        <w:t>天内将应返保证金（或银行保函）退还承包人。</w:t>
      </w:r>
    </w:p>
    <w:p w14:paraId="6353F86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3.9</w:t>
      </w:r>
      <w:r>
        <w:rPr>
          <w:rFonts w:hint="eastAsia" w:ascii="宋体" w:hAnsi="宋体" w:eastAsia="宋体" w:cs="宋体"/>
          <w:snapToGrid w:val="0"/>
          <w:color w:val="auto"/>
          <w:kern w:val="0"/>
          <w:sz w:val="24"/>
          <w:szCs w:val="20"/>
          <w:highlight w:val="none"/>
          <w:lang w:eastAsia="zh-CN"/>
        </w:rPr>
        <w:t xml:space="preserve"> </w:t>
      </w:r>
      <w:r>
        <w:rPr>
          <w:rFonts w:hint="eastAsia" w:ascii="宋体" w:hAnsi="宋体" w:eastAsia="宋体" w:cs="宋体"/>
          <w:b/>
          <w:bCs/>
          <w:snapToGrid w:val="0"/>
          <w:color w:val="auto"/>
          <w:kern w:val="0"/>
          <w:sz w:val="24"/>
          <w:szCs w:val="20"/>
          <w:highlight w:val="none"/>
          <w:lang w:eastAsia="zh-CN"/>
        </w:rPr>
        <w:t>发包人每次支付工程款前，承包人均应提供有效的增值税专用发票。如果承包人无法提供符合要求的发票，由此造成的相应损失由承包人承担。</w:t>
      </w:r>
    </w:p>
    <w:p w14:paraId="00328B5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10</w:t>
      </w:r>
      <w:r>
        <w:rPr>
          <w:rFonts w:hint="eastAsia" w:ascii="宋体" w:hAnsi="宋体" w:eastAsia="宋体" w:cs="宋体"/>
          <w:snapToGrid w:val="0"/>
          <w:color w:val="auto"/>
          <w:kern w:val="0"/>
          <w:sz w:val="24"/>
          <w:szCs w:val="20"/>
          <w:highlight w:val="none"/>
          <w:lang w:eastAsia="zh-CN"/>
        </w:rPr>
        <w:t>暂列金额支付方式：</w:t>
      </w:r>
      <w:r>
        <w:rPr>
          <w:rFonts w:hint="eastAsia" w:ascii="宋体" w:hAnsi="宋体" w:eastAsia="宋体" w:cs="宋体"/>
          <w:snapToGrid w:val="0"/>
          <w:color w:val="auto"/>
          <w:kern w:val="0"/>
          <w:sz w:val="24"/>
          <w:szCs w:val="20"/>
          <w:highlight w:val="none"/>
          <w:u w:val="single"/>
          <w:lang w:eastAsia="zh-CN"/>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暂停拨付。在暂列金额的范围内，最终经发包人确认后支付至该部分实际完成工程量的80％，其余部分待结算完成审核后支付至97%，剩余3%为工程质量保修金</w:t>
      </w:r>
      <w:r>
        <w:rPr>
          <w:rFonts w:hint="eastAsia" w:ascii="宋体" w:hAnsi="宋体" w:eastAsia="宋体" w:cs="宋体"/>
          <w:snapToGrid w:val="0"/>
          <w:color w:val="auto"/>
          <w:kern w:val="0"/>
          <w:sz w:val="24"/>
          <w:szCs w:val="20"/>
          <w:highlight w:val="none"/>
          <w:u w:val="single"/>
          <w:lang w:val="en-US" w:eastAsia="zh-CN"/>
        </w:rPr>
        <w:t>。</w:t>
      </w:r>
    </w:p>
    <w:p w14:paraId="77F77DC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u w:val="single"/>
          <w:lang w:eastAsia="zh-CN"/>
        </w:rPr>
      </w:pPr>
      <w:r>
        <w:rPr>
          <w:rFonts w:hint="eastAsia" w:ascii="宋体" w:hAnsi="宋体" w:eastAsia="宋体" w:cs="宋体"/>
          <w:b/>
          <w:bCs/>
          <w:snapToGrid w:val="0"/>
          <w:color w:val="auto"/>
          <w:kern w:val="0"/>
          <w:sz w:val="24"/>
          <w:szCs w:val="20"/>
          <w:highlight w:val="none"/>
          <w:lang w:eastAsia="zh-CN"/>
        </w:rPr>
        <w:t>3.11</w:t>
      </w:r>
      <w:r>
        <w:rPr>
          <w:rFonts w:hint="eastAsia" w:ascii="宋体" w:hAnsi="宋体" w:eastAsia="宋体" w:cs="宋体"/>
          <w:snapToGrid w:val="0"/>
          <w:color w:val="auto"/>
          <w:kern w:val="0"/>
          <w:sz w:val="24"/>
          <w:szCs w:val="20"/>
          <w:highlight w:val="none"/>
          <w:lang w:eastAsia="zh-CN"/>
        </w:rPr>
        <w:t xml:space="preserve"> 材料暂估价、专业工程暂估价支付方式：</w:t>
      </w:r>
      <w:r>
        <w:rPr>
          <w:rFonts w:hint="eastAsia" w:ascii="宋体" w:hAnsi="宋体" w:eastAsia="宋体" w:cs="宋体"/>
          <w:snapToGrid w:val="0"/>
          <w:color w:val="auto"/>
          <w:kern w:val="0"/>
          <w:sz w:val="24"/>
          <w:szCs w:val="20"/>
          <w:highlight w:val="none"/>
          <w:u w:val="single"/>
          <w:lang w:eastAsia="zh-CN"/>
        </w:rPr>
        <w:t>材料暂估价、专业工程暂估价与每个月的工程进度款一并报送，但需要列明详细项目内容，该部分材料暂估价、专业工程暂估价按该部分实际完成工程量的80%支付，剩余部分结算完成后支付至97%，剩余3%为工程质量保修金。</w:t>
      </w:r>
    </w:p>
    <w:p w14:paraId="3EBCEF57">
      <w:pPr>
        <w:keepNext w:val="0"/>
        <w:keepLines w:val="0"/>
        <w:pageBreakBefore w:val="0"/>
        <w:widowControl w:val="0"/>
        <w:kinsoku/>
        <w:wordWrap w:val="0"/>
        <w:overflowPunct/>
        <w:topLinePunct/>
        <w:autoSpaceDE/>
        <w:autoSpaceDN/>
        <w:bidi w:val="0"/>
        <w:adjustRightInd w:val="0"/>
        <w:snapToGrid w:val="0"/>
        <w:spacing w:line="360" w:lineRule="auto"/>
        <w:ind w:left="486" w:right="84" w:rightChars="40"/>
        <w:outlineLvl w:val="2"/>
        <w:rPr>
          <w:rFonts w:hint="eastAsia" w:ascii="宋体" w:hAnsi="宋体" w:eastAsia="宋体" w:cs="宋体"/>
          <w:b/>
          <w:bCs/>
          <w:color w:val="auto"/>
          <w:spacing w:val="-7"/>
          <w:sz w:val="24"/>
          <w:szCs w:val="24"/>
          <w:highlight w:val="none"/>
        </w:rPr>
      </w:pPr>
      <w:bookmarkStart w:id="169" w:name="_Toc464"/>
      <w:r>
        <w:rPr>
          <w:rFonts w:hint="eastAsia" w:ascii="宋体" w:hAnsi="宋体" w:eastAsia="宋体" w:cs="宋体"/>
          <w:b/>
          <w:bCs/>
          <w:color w:val="auto"/>
          <w:spacing w:val="-7"/>
          <w:sz w:val="24"/>
          <w:szCs w:val="24"/>
          <w:highlight w:val="none"/>
        </w:rPr>
        <w:t>4</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7"/>
          <w:sz w:val="24"/>
          <w:szCs w:val="24"/>
          <w:highlight w:val="none"/>
        </w:rPr>
        <w:t>．其他专用合同条款</w:t>
      </w:r>
      <w:bookmarkEnd w:id="169"/>
    </w:p>
    <w:p w14:paraId="24FE37EC">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 </w:t>
      </w:r>
      <w:r>
        <w:rPr>
          <w:rFonts w:hint="eastAsia" w:ascii="宋体" w:hAnsi="宋体" w:eastAsia="宋体" w:cs="宋体"/>
          <w:bCs/>
          <w:snapToGrid w:val="0"/>
          <w:color w:val="auto"/>
          <w:kern w:val="0"/>
          <w:sz w:val="24"/>
          <w:szCs w:val="24"/>
          <w:highlight w:val="none"/>
          <w:lang w:val="en-US" w:eastAsia="zh-CN"/>
        </w:rPr>
        <w:t xml:space="preserve">专业工程分包 </w:t>
      </w:r>
    </w:p>
    <w:p w14:paraId="05D618A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 </w:t>
      </w:r>
      <w:r>
        <w:rPr>
          <w:rFonts w:hint="eastAsia" w:ascii="宋体" w:hAnsi="宋体" w:eastAsia="宋体" w:cs="宋体"/>
          <w:b/>
          <w:bCs w:val="0"/>
          <w:snapToGrid w:val="0"/>
          <w:color w:val="auto"/>
          <w:kern w:val="0"/>
          <w:sz w:val="24"/>
          <w:szCs w:val="24"/>
          <w:highlight w:val="none"/>
          <w:lang w:val="en-US" w:eastAsia="zh-CN"/>
        </w:rPr>
        <w:t>4.2</w:t>
      </w:r>
      <w:r>
        <w:rPr>
          <w:rFonts w:hint="eastAsia" w:ascii="宋体" w:hAnsi="宋体" w:eastAsia="宋体" w:cs="宋体"/>
          <w:bCs/>
          <w:snapToGrid w:val="0"/>
          <w:color w:val="auto"/>
          <w:kern w:val="0"/>
          <w:sz w:val="24"/>
          <w:szCs w:val="24"/>
          <w:highlight w:val="none"/>
          <w:lang w:val="en-US" w:eastAsia="zh-CN"/>
        </w:rPr>
        <w:t xml:space="preserve"> 工人工资支付专用账户 </w:t>
      </w:r>
    </w:p>
    <w:p w14:paraId="55FD57CB">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4.2.1</w:t>
      </w:r>
      <w:r>
        <w:rPr>
          <w:rFonts w:hint="eastAsia" w:ascii="宋体" w:hAnsi="宋体" w:eastAsia="宋体" w:cs="宋体"/>
          <w:bCs/>
          <w:snapToGrid w:val="0"/>
          <w:color w:val="auto"/>
          <w:kern w:val="0"/>
          <w:sz w:val="24"/>
          <w:szCs w:val="24"/>
          <w:highlight w:val="none"/>
          <w:lang w:val="en-US" w:eastAsia="zh-CN"/>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  </w:t>
      </w:r>
    </w:p>
    <w:p w14:paraId="1E097F1E">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4.2.2</w:t>
      </w:r>
      <w:r>
        <w:rPr>
          <w:rFonts w:hint="eastAsia" w:ascii="宋体" w:hAnsi="宋体" w:eastAsia="宋体" w:cs="宋体"/>
          <w:bCs/>
          <w:snapToGrid w:val="0"/>
          <w:color w:val="auto"/>
          <w:kern w:val="0"/>
          <w:sz w:val="24"/>
          <w:szCs w:val="24"/>
          <w:highlight w:val="none"/>
          <w:lang w:val="en-US" w:eastAsia="zh-CN"/>
        </w:rPr>
        <w:t xml:space="preserve"> 依据人力资源社会保障部等十部门印发的《工程建设领域农民工工资专用账户管理暂行办法》（人社部发〔2021〕53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 </w:t>
      </w:r>
    </w:p>
    <w:p w14:paraId="1717F6A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韶关市人力资源和社会保障局 韶关市住房和城乡建设管理局 韶关市交通运输局韶关市水务局 韶关市金融工作局 国家金融监督管理总局韶关监管分局关于印发《韶关市工程建设领域农民工工资保证金管理实施细则》的通知（韶人社规〔2023〕2号）及《韶关市工程建设领域农民工工资保证金管理实施细则》（韶法审〔2023〕19号）规定执行。承包人在签订工程施工承包合同后一个月内必须办妥该事项，并将办妥回执交发包人。 </w:t>
      </w:r>
    </w:p>
    <w:p w14:paraId="76C4E27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如发生承包人拖欠民工工资并且向政府或发包人索要承包人拖欠工资的，发包人有权使用工人工资保证金或在剩余进度款范围内代承包人向民工支付工资，承包人对发包人垫付工资的人员范围和工资数额均不得提出异议。发包人代支的工资除了从当期工程款内直接扣除外，承包人须按照发包人所垫付的民工工资2倍向发包人支付违约金。 </w:t>
      </w:r>
    </w:p>
    <w:p w14:paraId="70FB13AB">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4.2.3 承包人应在工资专户开立后2个工作日内，将开户银行及其账号、开户协议等资料提交给发包人。 </w:t>
      </w:r>
    </w:p>
    <w:p w14:paraId="01DF243F">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（1）用人单位应当在建设项目动工前，在建设项目所在地商业银行设立工人工资支付专用账户。 </w:t>
      </w:r>
    </w:p>
    <w:p w14:paraId="579242A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（2）用人单位应当在用工之日起15日内为每一位工人办理个人银行账户。</w:t>
      </w:r>
    </w:p>
    <w:p w14:paraId="3BDA4272">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（3）用人单位应当指定专人负责建设项目施工现场台账管理，真实、准确记录工人名册、劳务合同、劳动合同、工程进度、工时台账、劳务承包款和工人工资支付等信息，并保存两年以上备查。 </w:t>
      </w:r>
    </w:p>
    <w:p w14:paraId="38C0420F">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（4）用人单位应当按照“及时支付，按实结算”的原则，在规定日期前通过银行</w:t>
      </w:r>
      <w:r>
        <w:rPr>
          <w:rFonts w:hint="eastAsia" w:ascii="宋体" w:hAnsi="宋体" w:eastAsia="宋体" w:cs="宋体"/>
          <w:color w:val="auto"/>
          <w:spacing w:val="-1"/>
          <w:sz w:val="24"/>
          <w:szCs w:val="24"/>
          <w:highlight w:val="none"/>
          <w:lang w:val="en-US" w:eastAsia="zh-CN"/>
        </w:rPr>
        <w:t>工人 工资</w:t>
      </w:r>
      <w:r>
        <w:rPr>
          <w:rFonts w:hint="eastAsia" w:ascii="宋体" w:hAnsi="宋体" w:eastAsia="宋体" w:cs="宋体"/>
          <w:b w:val="0"/>
          <w:bCs/>
          <w:snapToGrid w:val="0"/>
          <w:color w:val="auto"/>
          <w:kern w:val="0"/>
          <w:sz w:val="24"/>
          <w:szCs w:val="24"/>
          <w:highlight w:val="none"/>
          <w:lang w:val="en-US" w:eastAsia="zh-CN"/>
        </w:rPr>
        <w:t>支付专用账户将工人工资直接支付到工人的个人银行账户，并按月将工人工资</w:t>
      </w:r>
      <w:r>
        <w:rPr>
          <w:rFonts w:hint="eastAsia" w:ascii="宋体" w:hAnsi="宋体" w:eastAsia="宋体" w:cs="宋体"/>
          <w:color w:val="auto"/>
          <w:spacing w:val="-1"/>
          <w:sz w:val="24"/>
          <w:szCs w:val="24"/>
          <w:highlight w:val="none"/>
          <w:lang w:val="en-US" w:eastAsia="zh-CN"/>
        </w:rPr>
        <w:t>支付明细表</w:t>
      </w:r>
      <w:r>
        <w:rPr>
          <w:rFonts w:hint="eastAsia" w:ascii="宋体" w:hAnsi="宋体" w:eastAsia="宋体" w:cs="宋体"/>
          <w:b w:val="0"/>
          <w:bCs/>
          <w:snapToGrid w:val="0"/>
          <w:color w:val="auto"/>
          <w:kern w:val="0"/>
          <w:sz w:val="24"/>
          <w:szCs w:val="24"/>
          <w:highlight w:val="none"/>
          <w:lang w:val="en-US" w:eastAsia="zh-CN"/>
        </w:rPr>
        <w:t>报施工总承包单位和建设单位备案。</w:t>
      </w:r>
    </w:p>
    <w:p w14:paraId="284E923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用人单位未建立、保存用工管理台账，或者伪造相关台账的，按照《广东省劳动保障监察条例》第五十条的规定，由人力资源社会保障部门责令改正，并可处以二千元以上二万元以下的人民币罚款。</w:t>
      </w:r>
    </w:p>
    <w:p w14:paraId="790C16E8">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4.2.4</w:t>
      </w:r>
      <w:r>
        <w:rPr>
          <w:rFonts w:hint="eastAsia" w:ascii="宋体" w:hAnsi="宋体" w:eastAsia="宋体" w:cs="宋体"/>
          <w:bCs/>
          <w:snapToGrid w:val="0"/>
          <w:color w:val="auto"/>
          <w:kern w:val="0"/>
          <w:sz w:val="24"/>
          <w:szCs w:val="24"/>
          <w:highlight w:val="none"/>
          <w:lang w:val="en-US" w:eastAsia="zh-CN"/>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 </w:t>
      </w:r>
    </w:p>
    <w:p w14:paraId="5BE37189">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4.3</w:t>
      </w:r>
      <w:r>
        <w:rPr>
          <w:rFonts w:hint="eastAsia" w:ascii="宋体" w:hAnsi="宋体" w:eastAsia="宋体" w:cs="宋体"/>
          <w:bCs/>
          <w:snapToGrid w:val="0"/>
          <w:color w:val="auto"/>
          <w:kern w:val="0"/>
          <w:sz w:val="24"/>
          <w:szCs w:val="24"/>
          <w:highlight w:val="none"/>
          <w:lang w:val="en-US" w:eastAsia="zh-CN"/>
        </w:rPr>
        <w:t xml:space="preserve"> 诚信登记 </w:t>
      </w:r>
    </w:p>
    <w:p w14:paraId="0AB2552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根据资质管理规定，许可机关应当建立、健全建筑业企业信用档案管理制度，包括企业基本信息、资质、业绩、工程质量和安全、合同履约、社会投诉和违法行为等情况。 </w:t>
      </w:r>
    </w:p>
    <w:p w14:paraId="5C3D88E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w:t>
      </w:r>
      <w:r>
        <w:rPr>
          <w:rFonts w:hint="eastAsia" w:ascii="宋体" w:hAnsi="宋体" w:eastAsia="宋体" w:cs="宋体"/>
          <w:bCs/>
          <w:snapToGrid w:val="0"/>
          <w:color w:val="auto"/>
          <w:kern w:val="0"/>
          <w:sz w:val="24"/>
          <w:szCs w:val="24"/>
          <w:highlight w:val="none"/>
          <w:lang w:val="en-US" w:eastAsia="zh-CN"/>
        </w:rPr>
        <w:t xml:space="preserve"> 工期进度 </w:t>
      </w:r>
    </w:p>
    <w:p w14:paraId="0EFE516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i w:val="0"/>
          <w:iCs w:val="0"/>
          <w:snapToGrid w:val="0"/>
          <w:color w:val="auto"/>
          <w:kern w:val="0"/>
          <w:sz w:val="24"/>
          <w:szCs w:val="24"/>
          <w:highlight w:val="none"/>
          <w:lang w:val="en-US" w:eastAsia="zh-CN"/>
        </w:rPr>
        <w:t>4.4.1</w:t>
      </w:r>
      <w:r>
        <w:rPr>
          <w:rFonts w:hint="eastAsia" w:ascii="宋体" w:hAnsi="宋体" w:eastAsia="宋体" w:cs="宋体"/>
          <w:bCs/>
          <w:i w:val="0"/>
          <w:iCs w:val="0"/>
          <w:snapToGrid w:val="0"/>
          <w:color w:val="auto"/>
          <w:kern w:val="0"/>
          <w:sz w:val="24"/>
          <w:szCs w:val="24"/>
          <w:highlight w:val="none"/>
          <w:lang w:val="en-US" w:eastAsia="zh-CN"/>
        </w:rPr>
        <w:t xml:space="preserve"> 本招标项目施工标准工期为</w:t>
      </w:r>
      <w:r>
        <w:rPr>
          <w:rFonts w:hint="eastAsia" w:ascii="宋体" w:hAnsi="宋体" w:eastAsia="宋体" w:cs="宋体"/>
          <w:bCs/>
          <w:i w:val="0"/>
          <w:iCs w:val="0"/>
          <w:snapToGrid w:val="0"/>
          <w:color w:val="auto"/>
          <w:kern w:val="0"/>
          <w:sz w:val="24"/>
          <w:szCs w:val="24"/>
          <w:highlight w:val="none"/>
          <w:u w:val="single"/>
          <w:lang w:val="en-US" w:eastAsia="zh-CN"/>
        </w:rPr>
        <w:t xml:space="preserve"> 180 </w:t>
      </w:r>
      <w:r>
        <w:rPr>
          <w:rFonts w:hint="eastAsia" w:ascii="宋体" w:hAnsi="宋体" w:eastAsia="宋体" w:cs="宋体"/>
          <w:bCs/>
          <w:i w:val="0"/>
          <w:iCs w:val="0"/>
          <w:snapToGrid w:val="0"/>
          <w:color w:val="auto"/>
          <w:kern w:val="0"/>
          <w:sz w:val="24"/>
          <w:szCs w:val="24"/>
          <w:highlight w:val="none"/>
          <w:lang w:val="en-US" w:eastAsia="zh-CN"/>
        </w:rPr>
        <w:t>个日历天，招标工期为</w:t>
      </w:r>
      <w:r>
        <w:rPr>
          <w:rFonts w:hint="eastAsia" w:ascii="宋体" w:hAnsi="宋体" w:eastAsia="宋体" w:cs="宋体"/>
          <w:bCs/>
          <w:i w:val="0"/>
          <w:iCs w:val="0"/>
          <w:snapToGrid w:val="0"/>
          <w:color w:val="auto"/>
          <w:kern w:val="0"/>
          <w:sz w:val="24"/>
          <w:szCs w:val="24"/>
          <w:highlight w:val="none"/>
          <w:u w:val="single"/>
          <w:lang w:val="en-US" w:eastAsia="zh-CN"/>
        </w:rPr>
        <w:t xml:space="preserve"> 180 </w:t>
      </w:r>
      <w:r>
        <w:rPr>
          <w:rFonts w:hint="eastAsia" w:ascii="宋体" w:hAnsi="宋体" w:eastAsia="宋体" w:cs="宋体"/>
          <w:bCs/>
          <w:i w:val="0"/>
          <w:iCs w:val="0"/>
          <w:snapToGrid w:val="0"/>
          <w:color w:val="auto"/>
          <w:kern w:val="0"/>
          <w:sz w:val="24"/>
          <w:szCs w:val="24"/>
          <w:highlight w:val="none"/>
          <w:lang w:val="en-US" w:eastAsia="zh-CN"/>
        </w:rPr>
        <w:t>个日历天，承包人必须在招标工期内完成招标范围内的全部内容</w:t>
      </w:r>
      <w:r>
        <w:rPr>
          <w:rFonts w:hint="eastAsia" w:ascii="宋体" w:hAnsi="宋体" w:eastAsia="宋体" w:cs="宋体"/>
          <w:bCs/>
          <w:snapToGrid w:val="0"/>
          <w:color w:val="auto"/>
          <w:kern w:val="0"/>
          <w:sz w:val="24"/>
          <w:szCs w:val="24"/>
          <w:highlight w:val="none"/>
          <w:lang w:val="en-US" w:eastAsia="zh-CN"/>
        </w:rPr>
        <w:t xml:space="preserve">。 </w:t>
      </w:r>
    </w:p>
    <w:p w14:paraId="76FDE98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4.4.2</w:t>
      </w:r>
      <w:r>
        <w:rPr>
          <w:rFonts w:hint="eastAsia" w:ascii="宋体" w:hAnsi="宋体" w:eastAsia="宋体" w:cs="宋体"/>
          <w:bCs/>
          <w:snapToGrid w:val="0"/>
          <w:color w:val="auto"/>
          <w:kern w:val="0"/>
          <w:sz w:val="24"/>
          <w:szCs w:val="24"/>
          <w:highlight w:val="none"/>
          <w:lang w:val="en-US" w:eastAsia="zh-CN"/>
        </w:rPr>
        <w:t xml:space="preserve"> 施工工期从承包人收到监理单位签发的开工令之日起计，至竣工验收合格之日止。    </w:t>
      </w:r>
      <w:r>
        <w:rPr>
          <w:rFonts w:hint="eastAsia" w:ascii="宋体" w:hAnsi="宋体" w:eastAsia="宋体" w:cs="宋体"/>
          <w:b/>
          <w:bCs w:val="0"/>
          <w:snapToGrid w:val="0"/>
          <w:color w:val="auto"/>
          <w:kern w:val="0"/>
          <w:sz w:val="24"/>
          <w:szCs w:val="24"/>
          <w:highlight w:val="none"/>
          <w:lang w:val="en-US" w:eastAsia="zh-CN"/>
        </w:rPr>
        <w:t>4.4.3</w:t>
      </w:r>
      <w:r>
        <w:rPr>
          <w:rFonts w:hint="eastAsia" w:ascii="宋体" w:hAnsi="宋体" w:eastAsia="宋体" w:cs="宋体"/>
          <w:bCs/>
          <w:snapToGrid w:val="0"/>
          <w:color w:val="auto"/>
          <w:kern w:val="0"/>
          <w:sz w:val="24"/>
          <w:szCs w:val="24"/>
          <w:highlight w:val="none"/>
          <w:lang w:val="en-US" w:eastAsia="zh-CN"/>
        </w:rPr>
        <w:t xml:space="preserve"> 工期奖罚 </w:t>
      </w:r>
    </w:p>
    <w:p w14:paraId="26671AF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default" w:ascii="宋体" w:hAnsi="宋体" w:eastAsia="宋体" w:cs="宋体"/>
          <w:bCs/>
          <w:snapToGrid w:val="0"/>
          <w:color w:val="auto"/>
          <w:kern w:val="0"/>
          <w:sz w:val="24"/>
          <w:szCs w:val="24"/>
          <w:highlight w:val="none"/>
          <w:u w:val="single"/>
          <w:lang w:val="en-US"/>
        </w:rPr>
      </w:pPr>
      <w:r>
        <w:rPr>
          <w:rFonts w:hint="eastAsia" w:ascii="宋体" w:hAnsi="宋体" w:eastAsia="宋体" w:cs="宋体"/>
          <w:bCs/>
          <w:snapToGrid w:val="0"/>
          <w:color w:val="auto"/>
          <w:kern w:val="0"/>
          <w:sz w:val="24"/>
          <w:szCs w:val="24"/>
          <w:highlight w:val="none"/>
          <w:lang w:val="en-US" w:eastAsia="zh-CN"/>
        </w:rPr>
        <w:t>□竣工验收合格交付使用每提前</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天竣工；奖</w:t>
      </w:r>
      <w:r>
        <w:rPr>
          <w:rFonts w:hint="eastAsia" w:ascii="宋体" w:hAnsi="宋体" w:eastAsia="宋体" w:cs="宋体"/>
          <w:bCs/>
          <w:snapToGrid w:val="0"/>
          <w:color w:val="auto"/>
          <w:kern w:val="0"/>
          <w:sz w:val="24"/>
          <w:szCs w:val="24"/>
          <w:highlight w:val="none"/>
          <w:u w:val="single"/>
          <w:lang w:val="en-US" w:eastAsia="zh-CN"/>
        </w:rPr>
        <w:t>/</w:t>
      </w:r>
    </w:p>
    <w:p w14:paraId="6C2FC8A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元，奖励金额不超过合同价款的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%（一般为2%～5%）且不超过</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14:paraId="11A4352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□按施工合同约定，因承包人原因每延误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14:paraId="2548935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□按施工合同约定，因承包人原因延误工期</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天内不处罚，自第壹天起每延误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天竣工，罚元。处罚金额不超过合同价款的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 2%～5%）且不超过万元，累计延误工期达到</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天，报请建设行政主管部门做不良行为记录，非承包方原因或不可抗力造成延误的除外。 </w:t>
      </w:r>
    </w:p>
    <w:p w14:paraId="5151F61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☑其他说明：（1）因承包人原因，工程没有按期竣工时，承包人须在逾期第壹天起每天按合同价的3‰向发包人返纳逾期竣工违约金。逾期竣工违约金的最高限额为合同价款的10%。</w:t>
      </w:r>
    </w:p>
    <w:p w14:paraId="02B7891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每次按2000元缴纳违约金给发包人，在结算中一并扣除。</w:t>
      </w:r>
    </w:p>
    <w:p w14:paraId="2918FBA8">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（3）承包人在进场后7天内提交施工进度计划，并注明主要施工节点时间，送监理单位及发包人审核后，作为工期考核的阶段性指标。</w:t>
      </w:r>
    </w:p>
    <w:p w14:paraId="5833793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w:t>
      </w:r>
      <w:r>
        <w:rPr>
          <w:rFonts w:hint="eastAsia" w:ascii="宋体" w:hAnsi="宋体" w:eastAsia="宋体" w:cs="宋体"/>
          <w:bCs/>
          <w:snapToGrid w:val="0"/>
          <w:color w:val="auto"/>
          <w:kern w:val="0"/>
          <w:sz w:val="24"/>
          <w:szCs w:val="24"/>
          <w:highlight w:val="none"/>
          <w:lang w:val="en-US" w:eastAsia="zh-CN"/>
        </w:rPr>
        <w:t xml:space="preserve"> 项目管理机构 </w:t>
      </w:r>
    </w:p>
    <w:p w14:paraId="6A0DAD21">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4.5.1</w:t>
      </w:r>
      <w:r>
        <w:rPr>
          <w:rFonts w:hint="eastAsia" w:ascii="宋体" w:hAnsi="宋体" w:eastAsia="宋体" w:cs="宋体"/>
          <w:bCs/>
          <w:snapToGrid w:val="0"/>
          <w:color w:val="auto"/>
          <w:kern w:val="0"/>
          <w:sz w:val="24"/>
          <w:szCs w:val="24"/>
          <w:highlight w:val="none"/>
          <w:lang w:val="en-US" w:eastAsia="zh-CN"/>
        </w:rPr>
        <w:t xml:space="preserve"> 承包人派驻的项目管理班子成员必须为其投标文件确定的人员，否则发包人有权终止合同。 </w:t>
      </w:r>
    </w:p>
    <w:p w14:paraId="18EBA358">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4.5.2</w:t>
      </w:r>
      <w:r>
        <w:rPr>
          <w:rFonts w:hint="eastAsia" w:ascii="宋体" w:hAnsi="宋体" w:eastAsia="宋体" w:cs="宋体"/>
          <w:bCs/>
          <w:snapToGrid w:val="0"/>
          <w:color w:val="auto"/>
          <w:kern w:val="0"/>
          <w:sz w:val="24"/>
          <w:szCs w:val="24"/>
          <w:highlight w:val="none"/>
          <w:lang w:val="en-US" w:eastAsia="zh-CN"/>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 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 </w:t>
      </w:r>
    </w:p>
    <w:p w14:paraId="483712D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w:t>
      </w:r>
      <w:r>
        <w:rPr>
          <w:rFonts w:hint="eastAsia" w:ascii="宋体" w:hAnsi="宋体" w:eastAsia="宋体" w:cs="宋体"/>
          <w:bCs/>
          <w:snapToGrid w:val="0"/>
          <w:color w:val="auto"/>
          <w:kern w:val="0"/>
          <w:sz w:val="24"/>
          <w:szCs w:val="24"/>
          <w:highlight w:val="none"/>
          <w:lang w:val="en-US" w:eastAsia="zh-CN"/>
        </w:rPr>
        <w:t xml:space="preserve"> 现场管理 </w:t>
      </w:r>
    </w:p>
    <w:p w14:paraId="7F14557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4.6.1</w:t>
      </w:r>
      <w:r>
        <w:rPr>
          <w:rFonts w:hint="eastAsia" w:ascii="宋体" w:hAnsi="宋体" w:eastAsia="宋体" w:cs="宋体"/>
          <w:bCs/>
          <w:snapToGrid w:val="0"/>
          <w:color w:val="auto"/>
          <w:kern w:val="0"/>
          <w:sz w:val="24"/>
          <w:szCs w:val="24"/>
          <w:highlight w:val="none"/>
          <w:lang w:val="en-US" w:eastAsia="zh-CN"/>
        </w:rPr>
        <w:t xml:space="preserve"> 承包人在施工期间应严格遵守国家、广东省、韶关市有关绿色施工、文明施工、噪声扬尘、消防爆破、环境卫生、渣土清运、治安保卫等方面的规定，并建立相应规章制度和保障措施。否则由此造成的经济损失和法律责任，均由承包人承担。 </w:t>
      </w:r>
    </w:p>
    <w:p w14:paraId="3CD5C87C">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4.6.2</w:t>
      </w:r>
      <w:r>
        <w:rPr>
          <w:rFonts w:hint="eastAsia" w:ascii="宋体" w:hAnsi="宋体" w:eastAsia="宋体" w:cs="宋体"/>
          <w:bCs/>
          <w:snapToGrid w:val="0"/>
          <w:color w:val="auto"/>
          <w:kern w:val="0"/>
          <w:sz w:val="24"/>
          <w:szCs w:val="24"/>
          <w:highlight w:val="none"/>
          <w:lang w:val="en-US" w:eastAsia="zh-CN"/>
        </w:rPr>
        <w:t xml:space="preserve"> 承包人应按安全施工有关规定，采取严格、科学的安全防护措施，确保施工人员（包括第三者）的安全，承担由于自身安全防护措施不力所造成的安全事故责任和发生的费用。 </w:t>
      </w:r>
    </w:p>
    <w:p w14:paraId="2B0653C9">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4.6.3</w:t>
      </w:r>
      <w:r>
        <w:rPr>
          <w:rFonts w:hint="eastAsia" w:ascii="宋体" w:hAnsi="宋体" w:eastAsia="宋体" w:cs="宋体"/>
          <w:bCs/>
          <w:snapToGrid w:val="0"/>
          <w:color w:val="auto"/>
          <w:kern w:val="0"/>
          <w:sz w:val="24"/>
          <w:szCs w:val="24"/>
          <w:highlight w:val="none"/>
          <w:lang w:val="en-US" w:eastAsia="zh-CN"/>
        </w:rPr>
        <w:t xml:space="preserve"> 为保证施工现场的环境卫生，承包人在本招标项目施工过程中，所有的车辆必须按发包人规定的行车路线行驶。 </w:t>
      </w:r>
    </w:p>
    <w:p w14:paraId="28D7EF0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4.7</w:t>
      </w:r>
      <w:r>
        <w:rPr>
          <w:rFonts w:hint="eastAsia" w:ascii="宋体" w:hAnsi="宋体" w:eastAsia="宋体" w:cs="宋体"/>
          <w:bCs/>
          <w:snapToGrid w:val="0"/>
          <w:color w:val="auto"/>
          <w:kern w:val="0"/>
          <w:sz w:val="24"/>
          <w:szCs w:val="24"/>
          <w:highlight w:val="none"/>
          <w:lang w:val="en-US" w:eastAsia="zh-CN"/>
        </w:rPr>
        <w:t xml:space="preserve"> 监督实施 </w:t>
      </w:r>
    </w:p>
    <w:p w14:paraId="2ADAD4E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须服从发包人对工程质量、进度、成本的全方位监督，施工中的年度计划、季度计划、月度计划、施工方案等应报送监理单位审批和发包人备案。施工中的质量保障措施等资料均应及时报送监理单位和发包人备案。 </w:t>
      </w:r>
    </w:p>
    <w:p w14:paraId="6A320FF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4.8</w:t>
      </w:r>
      <w:r>
        <w:rPr>
          <w:rFonts w:hint="eastAsia" w:ascii="宋体" w:hAnsi="宋体" w:eastAsia="宋体" w:cs="宋体"/>
          <w:bCs/>
          <w:snapToGrid w:val="0"/>
          <w:color w:val="auto"/>
          <w:kern w:val="0"/>
          <w:sz w:val="24"/>
          <w:szCs w:val="24"/>
          <w:highlight w:val="none"/>
          <w:lang w:val="en-US" w:eastAsia="zh-CN"/>
        </w:rPr>
        <w:t xml:space="preserve"> 材料的采购和使用 </w:t>
      </w:r>
    </w:p>
    <w:p w14:paraId="1D350628">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招标人有权拒绝承包人提供的不合格或不符合绿色施工要求的材料，并要求承包人立即进行更换。承包人应按发包人确认后的材料的规格、颜色要求采购。如果变更规格或颜色，必须经发包人同意后，报有关审核部门重新核定单价后方可采购，并相应调整合同价款。材料必须先提供样板给发包人确定其规格、颜色、等级等，发包人同意后方可使用。 </w:t>
      </w:r>
    </w:p>
    <w:p w14:paraId="14E9F47B">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4.9 </w:t>
      </w:r>
      <w:r>
        <w:rPr>
          <w:rFonts w:hint="eastAsia" w:ascii="宋体" w:hAnsi="宋体" w:eastAsia="宋体" w:cs="宋体"/>
          <w:bCs/>
          <w:snapToGrid w:val="0"/>
          <w:color w:val="auto"/>
          <w:kern w:val="0"/>
          <w:sz w:val="24"/>
          <w:szCs w:val="24"/>
          <w:highlight w:val="none"/>
          <w:lang w:val="en-US" w:eastAsia="zh-CN"/>
        </w:rPr>
        <w:t xml:space="preserve">竣工资料移交 </w:t>
      </w:r>
    </w:p>
    <w:p w14:paraId="7875BB0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项目竣工验收时，承包人应向监理单位和发包人提供符合国家档案部门备案要求的，编制成册的竣工图及有关的技术档案资料（含声像档案）一式份。 </w:t>
      </w:r>
    </w:p>
    <w:p w14:paraId="655587F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w:t>
      </w:r>
      <w:r>
        <w:rPr>
          <w:rFonts w:hint="eastAsia" w:ascii="宋体" w:hAnsi="宋体" w:eastAsia="宋体" w:cs="宋体"/>
          <w:bCs/>
          <w:snapToGrid w:val="0"/>
          <w:color w:val="auto"/>
          <w:kern w:val="0"/>
          <w:sz w:val="24"/>
          <w:szCs w:val="24"/>
          <w:highlight w:val="none"/>
          <w:lang w:val="en-US" w:eastAsia="zh-CN"/>
        </w:rPr>
        <w:t xml:space="preserve"> 质量保证</w:t>
      </w:r>
    </w:p>
    <w:p w14:paraId="46D960E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4.10.1</w:t>
      </w:r>
      <w:r>
        <w:rPr>
          <w:rFonts w:hint="eastAsia" w:ascii="宋体" w:hAnsi="宋体" w:eastAsia="宋体" w:cs="宋体"/>
          <w:bCs/>
          <w:snapToGrid w:val="0"/>
          <w:color w:val="auto"/>
          <w:kern w:val="0"/>
          <w:sz w:val="24"/>
          <w:szCs w:val="24"/>
          <w:highlight w:val="none"/>
          <w:lang w:val="en-US" w:eastAsia="zh-CN"/>
        </w:rPr>
        <w:t xml:space="preserve"> 本招标项目缺陷责任期为</w:t>
      </w:r>
      <w:r>
        <w:rPr>
          <w:rFonts w:hint="eastAsia" w:ascii="宋体" w:hAnsi="宋体" w:eastAsia="宋体" w:cs="宋体"/>
          <w:bCs/>
          <w:snapToGrid w:val="0"/>
          <w:color w:val="auto"/>
          <w:kern w:val="0"/>
          <w:sz w:val="24"/>
          <w:szCs w:val="24"/>
          <w:highlight w:val="none"/>
          <w:u w:val="single"/>
          <w:lang w:val="en-US" w:eastAsia="zh-CN"/>
        </w:rPr>
        <w:t>2</w:t>
      </w:r>
      <w:r>
        <w:rPr>
          <w:rFonts w:hint="eastAsia" w:ascii="宋体" w:hAnsi="宋体" w:eastAsia="宋体" w:cs="宋体"/>
          <w:bCs/>
          <w:snapToGrid w:val="0"/>
          <w:color w:val="auto"/>
          <w:kern w:val="0"/>
          <w:sz w:val="24"/>
          <w:szCs w:val="24"/>
          <w:highlight w:val="none"/>
          <w:lang w:val="en-US" w:eastAsia="zh-CN"/>
        </w:rPr>
        <w:t>年（自通过竣工验收之日起计算），在此期间预留金额为结算价</w:t>
      </w:r>
      <w:r>
        <w:rPr>
          <w:rFonts w:hint="eastAsia" w:ascii="宋体" w:hAnsi="宋体" w:eastAsia="宋体" w:cs="宋体"/>
          <w:bCs/>
          <w:snapToGrid w:val="0"/>
          <w:color w:val="auto"/>
          <w:kern w:val="0"/>
          <w:sz w:val="24"/>
          <w:szCs w:val="24"/>
          <w:highlight w:val="none"/>
          <w:u w:val="single"/>
          <w:lang w:val="en-US" w:eastAsia="zh-CN"/>
        </w:rPr>
        <w:t>3%</w:t>
      </w:r>
      <w:r>
        <w:rPr>
          <w:rFonts w:hint="eastAsia" w:ascii="宋体" w:hAnsi="宋体" w:eastAsia="宋体" w:cs="宋体"/>
          <w:bCs/>
          <w:snapToGrid w:val="0"/>
          <w:color w:val="auto"/>
          <w:kern w:val="0"/>
          <w:sz w:val="24"/>
          <w:szCs w:val="24"/>
          <w:highlight w:val="none"/>
          <w:lang w:val="en-US" w:eastAsia="zh-CN"/>
        </w:rPr>
        <w:t xml:space="preserve">的质量保证。 </w:t>
      </w:r>
    </w:p>
    <w:p w14:paraId="469C1C4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4.10.2</w:t>
      </w:r>
      <w:r>
        <w:rPr>
          <w:rFonts w:hint="eastAsia" w:ascii="宋体" w:hAnsi="宋体" w:eastAsia="宋体" w:cs="宋体"/>
          <w:bCs/>
          <w:snapToGrid w:val="0"/>
          <w:color w:val="auto"/>
          <w:kern w:val="0"/>
          <w:sz w:val="24"/>
          <w:szCs w:val="24"/>
          <w:highlight w:val="none"/>
          <w:lang w:val="en-US" w:eastAsia="zh-CN"/>
        </w:rPr>
        <w:t xml:space="preserve"> 质量保证的形式包括质量保证金、质量保证担保、质量保证保险三种，由承包人自主选择。 </w:t>
      </w:r>
    </w:p>
    <w:p w14:paraId="20473DB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（1）采用质量保证金形式的，在结清审定总造价时一次性扣留相应金额作为质量保证金。   （2）采用质量保证担保或质量保证保险的，承包人应在竣工验收时向发包人提交有效的商业保函、银行保函或保险合同（或保险单）原件，商业保函、银行保函或保险合同（或保险单）的有效期不得短于缺陷责任期。 </w:t>
      </w:r>
    </w:p>
    <w:p w14:paraId="4A05D64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4.10.3</w:t>
      </w:r>
      <w:r>
        <w:rPr>
          <w:rFonts w:hint="eastAsia" w:ascii="宋体" w:hAnsi="宋体" w:eastAsia="宋体" w:cs="宋体"/>
          <w:bCs/>
          <w:snapToGrid w:val="0"/>
          <w:color w:val="auto"/>
          <w:kern w:val="0"/>
          <w:sz w:val="24"/>
          <w:szCs w:val="24"/>
          <w:highlight w:val="none"/>
          <w:lang w:val="en-US" w:eastAsia="zh-CN"/>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 </w:t>
      </w:r>
    </w:p>
    <w:p w14:paraId="67EF86D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由他人原因造成的缺陷，发包人负责组织维修，承包人不承担费用，且发包人不得从质量保证中扣除费用。 </w:t>
      </w:r>
    </w:p>
    <w:p w14:paraId="61591BB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4.10.4</w:t>
      </w:r>
      <w:r>
        <w:rPr>
          <w:rFonts w:hint="eastAsia" w:ascii="宋体" w:hAnsi="宋体" w:eastAsia="宋体" w:cs="宋体"/>
          <w:bCs/>
          <w:snapToGrid w:val="0"/>
          <w:color w:val="auto"/>
          <w:kern w:val="0"/>
          <w:sz w:val="24"/>
          <w:szCs w:val="24"/>
          <w:highlight w:val="none"/>
          <w:lang w:val="en-US" w:eastAsia="zh-CN"/>
        </w:rPr>
        <w:t xml:space="preserve"> 缺陷责任期内，承包人应认真履行合同约定的责任。缺陷责任期到期后，承包人向发包人申请退还质量保证，发包人应按照《建设工程质量保证金管理办法》有关规定将质量保证退还给承包人。  </w:t>
      </w:r>
    </w:p>
    <w:p w14:paraId="6C6D1B9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4.11</w:t>
      </w:r>
      <w:r>
        <w:rPr>
          <w:rFonts w:hint="eastAsia" w:ascii="宋体" w:hAnsi="宋体" w:eastAsia="宋体" w:cs="宋体"/>
          <w:bCs/>
          <w:snapToGrid w:val="0"/>
          <w:color w:val="auto"/>
          <w:kern w:val="0"/>
          <w:sz w:val="24"/>
          <w:szCs w:val="24"/>
          <w:highlight w:val="none"/>
          <w:lang w:val="en-US" w:eastAsia="zh-CN"/>
        </w:rPr>
        <w:t xml:space="preserve"> 不良行为处理 </w:t>
      </w:r>
    </w:p>
    <w:p w14:paraId="30E2AD5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及其有关人员有下列行为之一的，发包人应及时向建设行政主管部门报告。除按照有关法律法规进行处罚外，不良行为将记入企业及有关个人诚信档案，并在韶关市住房和城乡建设管理局网站（http://zgj.sg.gov.cn）公示。 </w:t>
      </w:r>
    </w:p>
    <w:p w14:paraId="2B42415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（1）转包、违法分包或违反投标承诺分包工程的； </w:t>
      </w:r>
    </w:p>
    <w:p w14:paraId="58DC77A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（2）非原参加投标中标的项目经理负责组织施工或在实施过程中擅自更换项目经理的、项目的其他主要管理人员与中标文件确定的人员不相符的；</w:t>
      </w:r>
    </w:p>
    <w:p w14:paraId="4C558358">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（3）投标文件确定的大型机械设备没有进入施工现场的； </w:t>
      </w:r>
    </w:p>
    <w:p w14:paraId="1CABF0B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（4）与建设单位、监理单位串通，签认虚假工程量或工程造价的； </w:t>
      </w:r>
    </w:p>
    <w:p w14:paraId="4F229B39">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（5）项目经理施工现场管理不到位的； </w:t>
      </w:r>
    </w:p>
    <w:p w14:paraId="7C19023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（6）项目经理在非本人资格证书注册单位从事工程项目施工管理的； </w:t>
      </w:r>
    </w:p>
    <w:p w14:paraId="40E9B52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（7）项目经理同时承担超过一个工程项目的； </w:t>
      </w:r>
    </w:p>
    <w:p w14:paraId="3E1CBA9F">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（8）违反有关法律法规、规章规定的其它行为。 </w:t>
      </w:r>
    </w:p>
    <w:p w14:paraId="01E936B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4.12 </w:t>
      </w:r>
      <w:r>
        <w:rPr>
          <w:rFonts w:hint="eastAsia" w:ascii="宋体" w:hAnsi="宋体" w:eastAsia="宋体" w:cs="宋体"/>
          <w:bCs/>
          <w:snapToGrid w:val="0"/>
          <w:color w:val="auto"/>
          <w:kern w:val="0"/>
          <w:sz w:val="24"/>
          <w:szCs w:val="24"/>
          <w:highlight w:val="none"/>
          <w:lang w:val="en-US" w:eastAsia="zh-CN"/>
        </w:rPr>
        <w:t xml:space="preserve">信用评价条款内容 </w:t>
      </w:r>
    </w:p>
    <w:p w14:paraId="567BAED9">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由发包人决定是否对施工单位的履约情况进行信用评价。若进行信用评价，评价条款由发包人自拟，条款内容可参考人员到位情况、服务配合程度、服务成果质量、项目后期服务及信用评价结果的运用等。 </w:t>
      </w:r>
    </w:p>
    <w:p w14:paraId="7CB2114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4.13</w:t>
      </w:r>
      <w:r>
        <w:rPr>
          <w:rFonts w:hint="eastAsia" w:ascii="宋体" w:hAnsi="宋体" w:eastAsia="宋体" w:cs="宋体"/>
          <w:bCs/>
          <w:snapToGrid w:val="0"/>
          <w:color w:val="auto"/>
          <w:kern w:val="0"/>
          <w:sz w:val="24"/>
          <w:szCs w:val="24"/>
          <w:highlight w:val="none"/>
          <w:lang w:val="en-US" w:eastAsia="zh-CN"/>
        </w:rPr>
        <w:t xml:space="preserve"> 危险性较大的分部分项工程安全管理约定。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 </w:t>
      </w:r>
    </w:p>
    <w:p w14:paraId="28B76C1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承包人应根据《危险性较大的分部分项工程安全管理规定》（住房和城乡建设部令第 37号）、《住房和城乡建设部办公厅关于实施〈危险性较大的分部分项工程安全管理规定〉有关问题的通知》（建办质〔2018〕31号）、《广东省住房和城乡建设厅关于房屋市政工程危险性较大的分部分项工程安全管理的实施细则的通知》（粤建规范〔2019〕2号）和《广东省安全生产委员会办公室 广东省住房和城乡建设厅关于严格落实危险性较大的分部分项工程“六不施工”要求的通知》（粤安办〔2020〕151号）等有关危险性较大的分部分项工程的法规规定通知，履行建设工程安全生产管理职责。 </w:t>
      </w:r>
    </w:p>
    <w:p w14:paraId="603403E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4.14</w:t>
      </w:r>
      <w:r>
        <w:rPr>
          <w:rFonts w:hint="eastAsia" w:ascii="宋体" w:hAnsi="宋体" w:eastAsia="宋体" w:cs="宋体"/>
          <w:bCs/>
          <w:snapToGrid w:val="0"/>
          <w:color w:val="auto"/>
          <w:kern w:val="0"/>
          <w:sz w:val="24"/>
          <w:szCs w:val="24"/>
          <w:highlight w:val="none"/>
          <w:lang w:val="en-US" w:eastAsia="zh-CN"/>
        </w:rPr>
        <w:t xml:space="preserve"> 承包人在工程实施过程中，按照国家、省、市的相关规定制定相关的专项安全施工方案（如高支模、基坑支护、沉井等），编制专项施工方案报监理人、发包人审批后方可开展专项工程的施工。 </w:t>
      </w:r>
    </w:p>
    <w:p w14:paraId="5B5A7925">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4.15</w:t>
      </w:r>
      <w:r>
        <w:rPr>
          <w:rFonts w:hint="eastAsia" w:ascii="宋体" w:hAnsi="宋体" w:eastAsia="宋体" w:cs="宋体"/>
          <w:bCs/>
          <w:snapToGrid w:val="0"/>
          <w:color w:val="auto"/>
          <w:kern w:val="0"/>
          <w:sz w:val="24"/>
          <w:szCs w:val="24"/>
          <w:highlight w:val="none"/>
          <w:lang w:val="en-US" w:eastAsia="zh-CN"/>
        </w:rPr>
        <w:t xml:space="preserve"> 承包人须按照《韶关市建筑垃圾管理条例》（2021年5月1日起施行），将弃土运至发包人指定的场所，否则发包人有权要求承包人无条件将弃土从违约弃土点运至发包人指定的场所并扣除违约金人民币</w:t>
      </w:r>
      <w:r>
        <w:rPr>
          <w:rFonts w:hint="eastAsia" w:ascii="宋体" w:hAnsi="宋体" w:eastAsia="宋体" w:cs="宋体"/>
          <w:color w:val="auto"/>
          <w:kern w:val="2"/>
          <w:sz w:val="24"/>
          <w:szCs w:val="24"/>
          <w:highlight w:val="none"/>
          <w:u w:val="none"/>
          <w:shd w:val="clear" w:color="auto" w:fill="FFFFFF"/>
          <w:lang w:val="en-US" w:eastAsia="zh-CN" w:bidi="ar-SA"/>
        </w:rPr>
        <w:t>1</w:t>
      </w:r>
      <w:r>
        <w:rPr>
          <w:rFonts w:hint="eastAsia" w:ascii="宋体" w:hAnsi="宋体" w:eastAsia="宋体" w:cs="宋体"/>
          <w:bCs/>
          <w:snapToGrid w:val="0"/>
          <w:color w:val="auto"/>
          <w:kern w:val="0"/>
          <w:sz w:val="24"/>
          <w:szCs w:val="24"/>
          <w:highlight w:val="none"/>
          <w:lang w:val="en-US" w:eastAsia="zh-CN"/>
        </w:rPr>
        <w:t xml:space="preserve">万元/次。承包人对建筑垃圾须按《韶关市建筑垃圾管理条例》（2021年5月1日起施行）的相关规定进行排放和运输，投标人在投标报价时综合考虑在报价内。承包人应在施工现场建立洗车槽和临时排水系统等确保外运车辆（土方运输车辆应符合韶关市相关规定）不带泥上路，投标人在投标报价时综合考虑在报价内，发包人不另行支付该部分费用）。建设单位、施工单位应当在施工工地出入口显著位置公示建筑垃圾处理方案主要信息，包括建设工程垃圾种类、产生量、外运处置去向等信息及各相关单位名称、联系人及联系电话等。 </w:t>
      </w:r>
    </w:p>
    <w:p w14:paraId="4C3BE4BB">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4.16 </w:t>
      </w:r>
      <w:r>
        <w:rPr>
          <w:rFonts w:hint="eastAsia" w:ascii="宋体" w:hAnsi="宋体" w:eastAsia="宋体" w:cs="宋体"/>
          <w:bCs/>
          <w:snapToGrid w:val="0"/>
          <w:color w:val="auto"/>
          <w:kern w:val="0"/>
          <w:sz w:val="24"/>
          <w:szCs w:val="24"/>
          <w:highlight w:val="none"/>
          <w:lang w:val="en-US" w:eastAsia="zh-CN"/>
        </w:rPr>
        <w:t xml:space="preserve">工程竣工验收后15日内，承包人应按市城建档案馆的要求（质量、数量），将编制成册的施工档案资料（含声像档案和电子档案）提供给发包人、市城建档案馆、市住建管理局、管养单位及监理单位，并承担档案涉及的所有费用（制作标准和相关要求按市城建档案馆的有关规定执行）。承包人提交符合城建档案馆要求的竣工资料经发包人确认签收后，即可办理工程结算手续。 </w:t>
      </w:r>
    </w:p>
    <w:p w14:paraId="133969C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4.17</w:t>
      </w:r>
      <w:r>
        <w:rPr>
          <w:rFonts w:hint="eastAsia" w:ascii="宋体" w:hAnsi="宋体" w:eastAsia="宋体" w:cs="宋体"/>
          <w:bCs/>
          <w:snapToGrid w:val="0"/>
          <w:color w:val="auto"/>
          <w:kern w:val="0"/>
          <w:sz w:val="24"/>
          <w:szCs w:val="24"/>
          <w:highlight w:val="none"/>
          <w:lang w:val="en-US" w:eastAsia="zh-CN"/>
        </w:rPr>
        <w:t xml:space="preserve"> 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w:t>
      </w:r>
    </w:p>
    <w:p w14:paraId="5780874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4.18</w:t>
      </w:r>
      <w:r>
        <w:rPr>
          <w:rFonts w:hint="eastAsia" w:ascii="宋体" w:hAnsi="宋体" w:eastAsia="宋体" w:cs="宋体"/>
          <w:bCs/>
          <w:snapToGrid w:val="0"/>
          <w:color w:val="auto"/>
          <w:kern w:val="0"/>
          <w:sz w:val="24"/>
          <w:szCs w:val="24"/>
          <w:highlight w:val="none"/>
          <w:lang w:val="en-US" w:eastAsia="zh-CN"/>
        </w:rPr>
        <w:t xml:space="preserve"> 承包人中标后必须按规定及时缴交工人工资保证金、环境噪声排污费等。 </w:t>
      </w:r>
    </w:p>
    <w:p w14:paraId="4074636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4.19</w:t>
      </w:r>
      <w:r>
        <w:rPr>
          <w:rFonts w:hint="eastAsia" w:ascii="宋体" w:hAnsi="宋体" w:eastAsia="宋体" w:cs="宋体"/>
          <w:bCs/>
          <w:snapToGrid w:val="0"/>
          <w:color w:val="auto"/>
          <w:kern w:val="0"/>
          <w:sz w:val="24"/>
          <w:szCs w:val="24"/>
          <w:highlight w:val="none"/>
          <w:lang w:val="en-US" w:eastAsia="zh-CN"/>
        </w:rPr>
        <w:t xml:space="preserve"> 工程质量保修期按《中华人民共和国建筑法》和《建设工程质量管理条例》等相关规定实施。 </w:t>
      </w:r>
    </w:p>
    <w:p w14:paraId="697813B9">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4.20</w:t>
      </w:r>
      <w:r>
        <w:rPr>
          <w:rFonts w:hint="eastAsia" w:ascii="宋体" w:hAnsi="宋体" w:eastAsia="宋体" w:cs="宋体"/>
          <w:bCs/>
          <w:snapToGrid w:val="0"/>
          <w:color w:val="auto"/>
          <w:kern w:val="0"/>
          <w:sz w:val="24"/>
          <w:szCs w:val="24"/>
          <w:highlight w:val="none"/>
          <w:lang w:val="en-US" w:eastAsia="zh-CN"/>
        </w:rPr>
        <w:t xml:space="preserve"> 如项目实施过程中发生了工程变更及工程签证，承包人需根据发包人发布的《工程变更管理办法》和《工程签证管理办法》完善工程变更签证相关程序。 </w:t>
      </w:r>
    </w:p>
    <w:p w14:paraId="0CC6AD9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4.21</w:t>
      </w:r>
      <w:r>
        <w:rPr>
          <w:rFonts w:hint="eastAsia" w:ascii="宋体" w:hAnsi="宋体" w:eastAsia="宋体" w:cs="宋体"/>
          <w:bCs/>
          <w:snapToGrid w:val="0"/>
          <w:color w:val="auto"/>
          <w:kern w:val="0"/>
          <w:sz w:val="24"/>
          <w:szCs w:val="24"/>
          <w:highlight w:val="none"/>
          <w:lang w:val="en-US" w:eastAsia="zh-CN"/>
        </w:rPr>
        <w:t xml:space="preserve"> 承包人需按相关规定要求，设置本工程符合相关要求的永久性标牌及规划公示牌，投标人在投标报价时综合考虑在报价内，发包人不另行支付该部分费用。 </w:t>
      </w:r>
    </w:p>
    <w:p w14:paraId="431F086B">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4.22</w:t>
      </w:r>
      <w:r>
        <w:rPr>
          <w:rFonts w:hint="eastAsia" w:ascii="宋体" w:hAnsi="宋体" w:eastAsia="宋体" w:cs="宋体"/>
          <w:bCs/>
          <w:snapToGrid w:val="0"/>
          <w:color w:val="auto"/>
          <w:kern w:val="0"/>
          <w:sz w:val="24"/>
          <w:szCs w:val="24"/>
          <w:highlight w:val="none"/>
          <w:lang w:val="en-US" w:eastAsia="zh-CN"/>
        </w:rPr>
        <w:t xml:space="preserve"> 承包人应在项目所在地住建管理部门办理诚信登记，发包人将严格按住建管理部门诚信登记管理办法对承包人履约情况进行考核。 </w:t>
      </w:r>
    </w:p>
    <w:p w14:paraId="30DB632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4.23</w:t>
      </w:r>
      <w:r>
        <w:rPr>
          <w:rFonts w:hint="eastAsia" w:ascii="宋体" w:hAnsi="宋体" w:eastAsia="宋体" w:cs="宋体"/>
          <w:bCs/>
          <w:snapToGrid w:val="0"/>
          <w:color w:val="auto"/>
          <w:kern w:val="0"/>
          <w:sz w:val="24"/>
          <w:szCs w:val="24"/>
          <w:highlight w:val="none"/>
          <w:lang w:val="en-US" w:eastAsia="zh-CN"/>
        </w:rPr>
        <w:t xml:space="preserve"> 承包人应按韶关市住房和城乡建设管理局、韶关市人力资源和社会保障局等职能部门对用工实名制的相关规定，落实工人及相关软硬件设施要求。</w:t>
      </w:r>
    </w:p>
    <w:p w14:paraId="3325F48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w:t>
      </w:r>
      <w:r>
        <w:rPr>
          <w:rFonts w:hint="eastAsia" w:ascii="宋体" w:hAnsi="宋体" w:eastAsia="宋体" w:cs="宋体"/>
          <w:bCs/>
          <w:snapToGrid w:val="0"/>
          <w:color w:val="auto"/>
          <w:kern w:val="0"/>
          <w:sz w:val="24"/>
          <w:szCs w:val="24"/>
          <w:highlight w:val="none"/>
          <w:lang w:val="en-US" w:eastAsia="zh-CN"/>
        </w:rPr>
        <w:t xml:space="preserve"> 质量违约</w:t>
      </w:r>
    </w:p>
    <w:p w14:paraId="254839D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4.24.1</w:t>
      </w:r>
      <w:r>
        <w:rPr>
          <w:rFonts w:hint="eastAsia" w:ascii="宋体" w:hAnsi="宋体" w:eastAsia="宋体" w:cs="宋体"/>
          <w:bCs/>
          <w:snapToGrid w:val="0"/>
          <w:color w:val="auto"/>
          <w:kern w:val="0"/>
          <w:sz w:val="24"/>
          <w:szCs w:val="24"/>
          <w:highlight w:val="none"/>
          <w:lang w:val="en-US" w:eastAsia="zh-CN"/>
        </w:rPr>
        <w:t xml:space="preserve">材料违约处理：若发现材料不符合国家标准或发包人在技术规范中规定的标准，视为承包人违约，按现行《建设工程质量管理条例》处理。 </w:t>
      </w:r>
    </w:p>
    <w:p w14:paraId="373C1099">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4.24.1.1</w:t>
      </w:r>
      <w:r>
        <w:rPr>
          <w:rFonts w:hint="eastAsia" w:ascii="宋体" w:hAnsi="宋体" w:eastAsia="宋体" w:cs="宋体"/>
          <w:bCs/>
          <w:snapToGrid w:val="0"/>
          <w:color w:val="auto"/>
          <w:kern w:val="0"/>
          <w:sz w:val="24"/>
          <w:szCs w:val="24"/>
          <w:highlight w:val="none"/>
          <w:lang w:val="en-US" w:eastAsia="zh-CN"/>
        </w:rPr>
        <w:t xml:space="preserve"> 成品采购项目在采购前，承包人必须先行书面征求监理人、发包人的同意并一起看样定版后方能实施。未经监理人、发包人同意擅自先行采购和实施的，否则因不符合设计要求返工造成的费用由承包人承担。</w:t>
      </w:r>
    </w:p>
    <w:p w14:paraId="0C86CF2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w:t>
      </w:r>
      <w:r>
        <w:rPr>
          <w:rFonts w:hint="eastAsia" w:ascii="宋体" w:hAnsi="宋体" w:eastAsia="宋体" w:cs="宋体"/>
          <w:b w:val="0"/>
          <w:bCs/>
          <w:snapToGrid w:val="0"/>
          <w:color w:val="auto"/>
          <w:kern w:val="0"/>
          <w:sz w:val="24"/>
          <w:szCs w:val="24"/>
          <w:highlight w:val="none"/>
          <w:lang w:val="en-US" w:eastAsia="zh-CN"/>
        </w:rPr>
        <w:t xml:space="preserve">工程质量违约： </w:t>
      </w:r>
    </w:p>
    <w:p w14:paraId="03C2D13C">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4.24.2.1</w:t>
      </w:r>
      <w:r>
        <w:rPr>
          <w:rFonts w:hint="eastAsia" w:ascii="宋体" w:hAnsi="宋体" w:eastAsia="宋体" w:cs="宋体"/>
          <w:b w:val="0"/>
          <w:bCs/>
          <w:snapToGrid w:val="0"/>
          <w:color w:val="auto"/>
          <w:kern w:val="0"/>
          <w:sz w:val="24"/>
          <w:szCs w:val="24"/>
          <w:highlight w:val="none"/>
          <w:lang w:val="en-US" w:eastAsia="zh-CN"/>
        </w:rPr>
        <w:t xml:space="preserve"> 在施工过程中经监理单位日常巡查或抽检发现未达到合格标准，责令承包人进行整改，如未按规定时间进行整改或整改不到位的，每次按5000元缴纳违约金给发包人，在进度款或结算款中一并扣除。</w:t>
      </w:r>
    </w:p>
    <w:p w14:paraId="7B719FDD">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4.24.2.2</w:t>
      </w:r>
      <w:r>
        <w:rPr>
          <w:rFonts w:hint="eastAsia" w:ascii="宋体" w:hAnsi="宋体" w:eastAsia="宋体" w:cs="宋体"/>
          <w:b w:val="0"/>
          <w:bCs/>
          <w:snapToGrid w:val="0"/>
          <w:color w:val="auto"/>
          <w:kern w:val="0"/>
          <w:sz w:val="24"/>
          <w:szCs w:val="24"/>
          <w:highlight w:val="none"/>
          <w:lang w:val="en-US" w:eastAsia="zh-CN"/>
        </w:rPr>
        <w:t xml:space="preserve"> 工程质量标准须达到国家验收合格标准。如未达到合格标准，除无偿返工至合格外，还要按合同价款的</w:t>
      </w:r>
      <w:r>
        <w:rPr>
          <w:rFonts w:hint="eastAsia" w:ascii="宋体" w:hAnsi="宋体" w:eastAsia="宋体" w:cs="宋体"/>
          <w:b w:val="0"/>
          <w:bCs/>
          <w:snapToGrid w:val="0"/>
          <w:color w:val="auto"/>
          <w:kern w:val="0"/>
          <w:sz w:val="24"/>
          <w:szCs w:val="24"/>
          <w:highlight w:val="none"/>
          <w:u w:val="single"/>
          <w:lang w:val="en-US" w:eastAsia="zh-CN"/>
        </w:rPr>
        <w:t xml:space="preserve"> 1 </w:t>
      </w:r>
      <w:r>
        <w:rPr>
          <w:rFonts w:hint="eastAsia" w:ascii="宋体" w:hAnsi="宋体" w:eastAsia="宋体" w:cs="宋体"/>
          <w:b w:val="0"/>
          <w:bCs/>
          <w:snapToGrid w:val="0"/>
          <w:color w:val="auto"/>
          <w:kern w:val="0"/>
          <w:sz w:val="24"/>
          <w:szCs w:val="24"/>
          <w:highlight w:val="none"/>
          <w:lang w:val="en-US" w:eastAsia="zh-CN"/>
        </w:rPr>
        <w:t xml:space="preserve">%向招标人支付质量违约金，工期不予顺延。 </w:t>
      </w:r>
    </w:p>
    <w:p w14:paraId="33B5E46B">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w:t>
      </w:r>
      <w:r>
        <w:rPr>
          <w:rFonts w:hint="eastAsia" w:ascii="宋体" w:hAnsi="宋体" w:eastAsia="宋体" w:cs="宋体"/>
          <w:b w:val="0"/>
          <w:bCs/>
          <w:snapToGrid w:val="0"/>
          <w:color w:val="auto"/>
          <w:kern w:val="0"/>
          <w:sz w:val="24"/>
          <w:szCs w:val="24"/>
          <w:highlight w:val="none"/>
          <w:lang w:val="en-US" w:eastAsia="zh-CN"/>
        </w:rPr>
        <w:t xml:space="preserve"> 重大责任事故违约 </w:t>
      </w:r>
    </w:p>
    <w:p w14:paraId="630F88F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4.25.1</w:t>
      </w:r>
      <w:r>
        <w:rPr>
          <w:rFonts w:hint="eastAsia" w:ascii="宋体" w:hAnsi="宋体" w:eastAsia="宋体" w:cs="宋体"/>
          <w:b w:val="0"/>
          <w:bCs/>
          <w:snapToGrid w:val="0"/>
          <w:color w:val="auto"/>
          <w:kern w:val="0"/>
          <w:sz w:val="24"/>
          <w:szCs w:val="24"/>
          <w:highlight w:val="none"/>
          <w:lang w:val="en-US" w:eastAsia="zh-CN"/>
        </w:rPr>
        <w:t xml:space="preserve"> 承包人因违反国家安全质量法规及合同有关条款约定，出现火灾、坍塌、人员重</w:t>
      </w:r>
    </w:p>
    <w:p w14:paraId="794FC1FE">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伤、死亡等重大责任事故，则承包人应承担全部损失，并按相关法规接受行政处罚；如造成发包人及第三人利益的损害，该等损害赔偿责任均由承包人承担。同时，每出现一次重大责任事故，按人民币50万元缴纳惩罚性违约金。</w:t>
      </w:r>
    </w:p>
    <w:p w14:paraId="57FFA0F7">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4.25.2</w:t>
      </w:r>
      <w:r>
        <w:rPr>
          <w:rFonts w:hint="eastAsia" w:ascii="宋体" w:hAnsi="宋体" w:eastAsia="宋体" w:cs="宋体"/>
          <w:b w:val="0"/>
          <w:bCs/>
          <w:snapToGrid w:val="0"/>
          <w:color w:val="auto"/>
          <w:kern w:val="0"/>
          <w:sz w:val="24"/>
          <w:szCs w:val="24"/>
          <w:highlight w:val="none"/>
          <w:lang w:val="en-US" w:eastAsia="zh-CN"/>
        </w:rPr>
        <w:t xml:space="preserve"> 因施工造成的道路交通中断、通讯中断、管线漏水漏气等责任事故，由承包人承担全部损失。同时，缴纳违约金</w:t>
      </w:r>
      <w:r>
        <w:rPr>
          <w:rFonts w:hint="eastAsia" w:ascii="宋体" w:hAnsi="宋体" w:eastAsia="宋体" w:cs="宋体"/>
          <w:b w:val="0"/>
          <w:bCs/>
          <w:snapToGrid w:val="0"/>
          <w:color w:val="auto"/>
          <w:kern w:val="0"/>
          <w:sz w:val="24"/>
          <w:szCs w:val="24"/>
          <w:highlight w:val="none"/>
          <w:u w:val="none"/>
          <w:lang w:val="en-US" w:eastAsia="zh-CN"/>
        </w:rPr>
        <w:t>1</w:t>
      </w:r>
      <w:r>
        <w:rPr>
          <w:rFonts w:hint="eastAsia" w:ascii="宋体" w:hAnsi="宋体" w:eastAsia="宋体" w:cs="宋体"/>
          <w:b w:val="0"/>
          <w:bCs/>
          <w:snapToGrid w:val="0"/>
          <w:color w:val="auto"/>
          <w:kern w:val="0"/>
          <w:sz w:val="24"/>
          <w:szCs w:val="24"/>
          <w:highlight w:val="none"/>
          <w:lang w:val="en-US" w:eastAsia="zh-CN"/>
        </w:rPr>
        <w:t>万元/次。</w:t>
      </w:r>
    </w:p>
    <w:p w14:paraId="04CBFDD8">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4.26</w:t>
      </w:r>
      <w:r>
        <w:rPr>
          <w:rFonts w:hint="eastAsia" w:ascii="宋体" w:hAnsi="宋体" w:eastAsia="宋体" w:cs="宋体"/>
          <w:b w:val="0"/>
          <w:bCs/>
          <w:snapToGrid w:val="0"/>
          <w:color w:val="auto"/>
          <w:kern w:val="0"/>
          <w:sz w:val="24"/>
          <w:szCs w:val="24"/>
          <w:highlight w:val="none"/>
          <w:lang w:val="en-US" w:eastAsia="zh-CN"/>
        </w:rPr>
        <w:t xml:space="preserve"> 用工违约 </w:t>
      </w:r>
    </w:p>
    <w:p w14:paraId="5A147C8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4.26.1</w:t>
      </w:r>
      <w:r>
        <w:rPr>
          <w:rFonts w:hint="eastAsia" w:ascii="宋体" w:hAnsi="宋体" w:eastAsia="宋体" w:cs="宋体"/>
          <w:b w:val="0"/>
          <w:bCs/>
          <w:snapToGrid w:val="0"/>
          <w:color w:val="auto"/>
          <w:kern w:val="0"/>
          <w:sz w:val="24"/>
          <w:szCs w:val="24"/>
          <w:highlight w:val="none"/>
          <w:lang w:val="en-US" w:eastAsia="zh-CN"/>
        </w:rPr>
        <w:t xml:space="preserve"> 在合同履行期间，如经查实承包人拖欠或克扣农民工或劳务工工资，导致劳资纠纷或发生危及公共安全或正常社会秩序的事件的，按承包人违约处理，承包人应按拖欠或克扣农民工工资总金额2倍的标准向发包人缴纳惩罚性违约金，同时发包人将有关情况报告相关行政主管部门。（若因承包人原因，在工程完工后的第一笔进度款支付完成后，仍申请工人工资的，视为承包人拖欠工人工资）</w:t>
      </w:r>
    </w:p>
    <w:p w14:paraId="0509886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4.27</w:t>
      </w:r>
      <w:r>
        <w:rPr>
          <w:rFonts w:hint="eastAsia" w:ascii="宋体" w:hAnsi="宋体" w:eastAsia="宋体" w:cs="宋体"/>
          <w:b w:val="0"/>
          <w:bCs/>
          <w:snapToGrid w:val="0"/>
          <w:color w:val="auto"/>
          <w:kern w:val="0"/>
          <w:sz w:val="24"/>
          <w:szCs w:val="24"/>
          <w:highlight w:val="none"/>
          <w:lang w:val="en-US" w:eastAsia="zh-CN"/>
        </w:rPr>
        <w:t xml:space="preserve"> 安全文明施工违约 </w:t>
      </w:r>
    </w:p>
    <w:p w14:paraId="54F09CA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4.27.1</w:t>
      </w:r>
      <w:r>
        <w:rPr>
          <w:rFonts w:hint="eastAsia" w:ascii="宋体" w:hAnsi="宋体" w:eastAsia="宋体" w:cs="宋体"/>
          <w:b w:val="0"/>
          <w:bCs/>
          <w:snapToGrid w:val="0"/>
          <w:color w:val="auto"/>
          <w:kern w:val="0"/>
          <w:sz w:val="24"/>
          <w:szCs w:val="24"/>
          <w:highlight w:val="none"/>
          <w:lang w:val="en-US" w:eastAsia="zh-CN"/>
        </w:rPr>
        <w:t xml:space="preserve"> 如承包人违反国家、广东省、发包人及合同关于安全文明施工的规定，但尚未造成安全责任事故，承包人应及时改正行为并赔偿相关方的损失，如未及时整改，针对每一违约行为每持续一天应缴纳违约金1000元。</w:t>
      </w:r>
    </w:p>
    <w:p w14:paraId="4E84D1E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.2</w:t>
      </w:r>
      <w:r>
        <w:rPr>
          <w:rFonts w:hint="default" w:ascii="宋体" w:hAnsi="宋体" w:eastAsia="宋体" w:cs="宋体"/>
          <w:b w:val="0"/>
          <w:bCs/>
          <w:snapToGrid w:val="0"/>
          <w:color w:val="auto"/>
          <w:kern w:val="0"/>
          <w:sz w:val="24"/>
          <w:szCs w:val="24"/>
          <w:highlight w:val="none"/>
          <w:lang w:val="en-US" w:eastAsia="zh-CN"/>
        </w:rPr>
        <w:t xml:space="preserve"> 承包人必须接受发包人及监理单位组织的安全、文明施工的检查，检查中的不合格项目、安全隐患必须在规定的时间内整改完成，否则每拖延一天处以2000元人民币违约金，直至整改合格。</w:t>
      </w:r>
    </w:p>
    <w:p w14:paraId="3762A11B">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rPr>
          <w:rFonts w:hint="eastAsia"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lang w:val="en-US" w:eastAsia="zh-CN"/>
        </w:rPr>
        <w:t xml:space="preserve">3 </w:t>
      </w:r>
      <w:r>
        <w:rPr>
          <w:rFonts w:hint="eastAsia" w:ascii="宋体" w:hAnsi="宋体" w:eastAsia="宋体" w:cs="宋体"/>
          <w:b w:val="0"/>
          <w:bCs/>
          <w:snapToGrid w:val="0"/>
          <w:color w:val="auto"/>
          <w:kern w:val="0"/>
          <w:sz w:val="24"/>
          <w:szCs w:val="24"/>
          <w:highlight w:val="none"/>
          <w:lang w:val="en-US" w:eastAsia="zh-CN"/>
        </w:rPr>
        <w:t>承包人现场施工人员未按相关规定佩戴安全帽和反光衣进入施工区域的，经现场发包人（监理单位）管理人员确认后，承包人须按100元/人/次缴纳违约金。</w:t>
      </w:r>
    </w:p>
    <w:p w14:paraId="3EC9890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lang w:val="en-US" w:eastAsia="zh-CN"/>
        </w:rPr>
        <w:t xml:space="preserve">4 </w:t>
      </w:r>
      <w:r>
        <w:rPr>
          <w:rFonts w:hint="default" w:ascii="宋体" w:hAnsi="宋体" w:eastAsia="宋体" w:cs="宋体"/>
          <w:b w:val="0"/>
          <w:bCs/>
          <w:snapToGrid w:val="0"/>
          <w:color w:val="auto"/>
          <w:kern w:val="0"/>
          <w:sz w:val="24"/>
          <w:szCs w:val="24"/>
          <w:highlight w:val="none"/>
          <w:lang w:val="en-US" w:eastAsia="zh-CN"/>
        </w:rPr>
        <w:t>承包人现场施工人员存在野蛮施工行为，经现场发包人（含监理单位）管理人员确认后，承包人须按</w:t>
      </w:r>
      <w:r>
        <w:rPr>
          <w:rFonts w:hint="default" w:ascii="宋体" w:hAnsi="宋体" w:eastAsia="宋体" w:cs="宋体"/>
          <w:b w:val="0"/>
          <w:bCs/>
          <w:snapToGrid w:val="0"/>
          <w:color w:val="auto"/>
          <w:kern w:val="0"/>
          <w:sz w:val="24"/>
          <w:szCs w:val="24"/>
          <w:highlight w:val="none"/>
          <w:u w:val="none"/>
          <w:lang w:val="en-US" w:eastAsia="zh-CN"/>
        </w:rPr>
        <w:t>2万</w:t>
      </w:r>
      <w:r>
        <w:rPr>
          <w:rFonts w:hint="default" w:ascii="宋体" w:hAnsi="宋体" w:eastAsia="宋体" w:cs="宋体"/>
          <w:b w:val="0"/>
          <w:bCs/>
          <w:snapToGrid w:val="0"/>
          <w:color w:val="auto"/>
          <w:kern w:val="0"/>
          <w:sz w:val="24"/>
          <w:szCs w:val="24"/>
          <w:highlight w:val="none"/>
          <w:lang w:val="en-US" w:eastAsia="zh-CN"/>
        </w:rPr>
        <w:t>元/次缴纳违约金；如因野蛮施工或未取得夜间施工许可施工并引起投诉或网络问政的，承包人须按</w:t>
      </w:r>
      <w:r>
        <w:rPr>
          <w:rFonts w:hint="default" w:ascii="宋体" w:hAnsi="宋体" w:eastAsia="宋体" w:cs="宋体"/>
          <w:b w:val="0"/>
          <w:bCs/>
          <w:snapToGrid w:val="0"/>
          <w:color w:val="auto"/>
          <w:kern w:val="0"/>
          <w:sz w:val="24"/>
          <w:szCs w:val="24"/>
          <w:highlight w:val="none"/>
          <w:u w:val="none"/>
          <w:lang w:val="en-US" w:eastAsia="zh-CN"/>
        </w:rPr>
        <w:t>0.5</w:t>
      </w:r>
      <w:r>
        <w:rPr>
          <w:rFonts w:hint="default" w:ascii="宋体" w:hAnsi="宋体" w:eastAsia="宋体" w:cs="宋体"/>
          <w:b w:val="0"/>
          <w:bCs/>
          <w:snapToGrid w:val="0"/>
          <w:color w:val="auto"/>
          <w:kern w:val="0"/>
          <w:sz w:val="24"/>
          <w:szCs w:val="24"/>
          <w:highlight w:val="none"/>
          <w:lang w:val="en-US" w:eastAsia="zh-CN"/>
        </w:rPr>
        <w:t>万元/次缴纳违约金；并承担因上述行为所造成的全部责任。</w:t>
      </w:r>
    </w:p>
    <w:p w14:paraId="4D3D835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val="0"/>
          <w:bCs/>
          <w:snapToGrid w:val="0"/>
          <w:color w:val="auto"/>
          <w:kern w:val="0"/>
          <w:sz w:val="24"/>
          <w:szCs w:val="24"/>
          <w:highlight w:val="none"/>
          <w:lang w:val="en-US" w:eastAsia="zh-CN"/>
        </w:rPr>
        <w:t xml:space="preserve"> 其他违约 </w:t>
      </w:r>
    </w:p>
    <w:p w14:paraId="0D3B48F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.1</w:t>
      </w:r>
      <w:r>
        <w:rPr>
          <w:rFonts w:hint="default" w:ascii="宋体" w:hAnsi="宋体" w:eastAsia="宋体" w:cs="宋体"/>
          <w:b w:val="0"/>
          <w:bCs/>
          <w:snapToGrid w:val="0"/>
          <w:color w:val="auto"/>
          <w:kern w:val="0"/>
          <w:sz w:val="24"/>
          <w:szCs w:val="24"/>
          <w:highlight w:val="none"/>
          <w:lang w:val="en-US" w:eastAsia="zh-CN"/>
        </w:rPr>
        <w:t xml:space="preserve"> 承包人安排在施工场地的主要管理人员（主要指项目经理、项目技术负责人和专职安全生产管理人员）应与承包人投标文件承诺的名单一致，并保持相对稳定。未经总监理工程师批准，上述人员不应无故不到位或被替换。若确实无法到位或需替换，需经总监理工程师审核并报发包人批准后，承包人可安排同等资历的人员替换；在日常检查及相关会议中主要管理人员不到岗，按500元/人/次缴纳违约金给发包人。</w:t>
      </w:r>
    </w:p>
    <w:p w14:paraId="6AB1019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.2</w:t>
      </w:r>
      <w:r>
        <w:rPr>
          <w:rFonts w:hint="default" w:ascii="宋体" w:hAnsi="宋体" w:eastAsia="宋体" w:cs="宋体"/>
          <w:b w:val="0"/>
          <w:bCs/>
          <w:snapToGrid w:val="0"/>
          <w:color w:val="auto"/>
          <w:kern w:val="0"/>
          <w:sz w:val="24"/>
          <w:szCs w:val="24"/>
          <w:highlight w:val="none"/>
          <w:lang w:val="en-US" w:eastAsia="zh-CN"/>
        </w:rPr>
        <w:t xml:space="preserve"> 中标人施工资料必须与形象进度同步，如发包人在日常检查中发现不同步的现象的，视为违约并扣除违约金2000元/每次</w:t>
      </w:r>
      <w:r>
        <w:rPr>
          <w:rFonts w:hint="eastAsia" w:ascii="宋体" w:hAnsi="宋体" w:eastAsia="宋体" w:cs="宋体"/>
          <w:b w:val="0"/>
          <w:bCs/>
          <w:snapToGrid w:val="0"/>
          <w:color w:val="auto"/>
          <w:kern w:val="0"/>
          <w:sz w:val="24"/>
          <w:szCs w:val="24"/>
          <w:highlight w:val="none"/>
          <w:lang w:val="en-US" w:eastAsia="zh-CN"/>
        </w:rPr>
        <w:t>。</w:t>
      </w:r>
    </w:p>
    <w:p w14:paraId="09BA159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.3</w:t>
      </w:r>
      <w:r>
        <w:rPr>
          <w:rFonts w:hint="default" w:ascii="宋体" w:hAnsi="宋体" w:eastAsia="宋体" w:cs="宋体"/>
          <w:b w:val="0"/>
          <w:bCs/>
          <w:snapToGrid w:val="0"/>
          <w:color w:val="auto"/>
          <w:kern w:val="0"/>
          <w:sz w:val="24"/>
          <w:szCs w:val="24"/>
          <w:highlight w:val="none"/>
          <w:lang w:val="en-US" w:eastAsia="zh-CN"/>
        </w:rPr>
        <w:t xml:space="preserve"> 承包人没有正当合理的理由中途退场，可扣除承包人已递交的所有履约风险保证金。承包人因上述违约行为而须缴纳的违约金在工程进度款中或结算时一并扣除。</w:t>
      </w:r>
    </w:p>
    <w:p w14:paraId="3A14451C">
      <w:pPr>
        <w:keepNext w:val="0"/>
        <w:keepLines w:val="0"/>
        <w:widowControl w:val="0"/>
        <w:kinsoku/>
        <w:wordWrap w:val="0"/>
        <w:topLinePunct/>
        <w:autoSpaceDE/>
        <w:autoSpaceDN/>
        <w:spacing w:line="360" w:lineRule="auto"/>
        <w:ind w:right="84" w:rightChars="40" w:firstLine="482" w:firstLineChars="200"/>
        <w:rPr>
          <w:rFonts w:hint="eastAsia" w:ascii="宋体" w:hAnsi="宋体" w:eastAsia="宋体" w:cs="宋体"/>
          <w:b w:val="0"/>
          <w:bCs/>
          <w:i w:val="0"/>
          <w:iCs w:val="0"/>
          <w:caps w:val="0"/>
          <w:color w:val="auto"/>
          <w:spacing w:val="0"/>
          <w:sz w:val="24"/>
          <w:szCs w:val="24"/>
          <w:highlight w:val="none"/>
          <w:shd w:val="clear"/>
          <w:lang w:eastAsia="zh-CN"/>
        </w:rPr>
      </w:pPr>
      <w:r>
        <w:rPr>
          <w:rFonts w:hint="default" w:ascii="宋体" w:hAnsi="宋体" w:eastAsia="宋体" w:cs="宋体"/>
          <w:b/>
          <w:bCs w:val="0"/>
          <w:color w:val="auto"/>
          <w:sz w:val="24"/>
          <w:szCs w:val="24"/>
          <w:highlight w:val="none"/>
          <w:lang w:val="en-US" w:eastAsia="zh-CN"/>
        </w:rPr>
        <w:t>5.</w:t>
      </w:r>
      <w:r>
        <w:rPr>
          <w:rFonts w:hint="eastAsia" w:ascii="宋体" w:hAnsi="宋体" w:eastAsia="宋体" w:cs="宋体"/>
          <w:b w:val="0"/>
          <w:bCs/>
          <w:i w:val="0"/>
          <w:iCs w:val="0"/>
          <w:caps w:val="0"/>
          <w:color w:val="auto"/>
          <w:spacing w:val="0"/>
          <w:sz w:val="24"/>
          <w:szCs w:val="24"/>
          <w:highlight w:val="none"/>
          <w:shd w:val="clear"/>
          <w:lang w:eastAsia="zh-CN"/>
        </w:rPr>
        <w:t>甲供主材及设备的接收、安装与保护责任</w:t>
      </w:r>
    </w:p>
    <w:p w14:paraId="5813D55C">
      <w:pPr>
        <w:keepNext w:val="0"/>
        <w:keepLines w:val="0"/>
        <w:widowControl w:val="0"/>
        <w:kinsoku/>
        <w:wordWrap w:val="0"/>
        <w:topLinePunct/>
        <w:autoSpaceDE/>
        <w:autoSpaceDN/>
        <w:spacing w:line="360" w:lineRule="auto"/>
        <w:ind w:right="84" w:rightChars="40" w:firstLine="480" w:firstLineChars="200"/>
        <w:rPr>
          <w:rFonts w:hint="default"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承包人应严格按照本合同附件</w:t>
      </w:r>
      <w:r>
        <w:rPr>
          <w:rFonts w:hint="eastAsia" w:ascii="宋体" w:hAnsi="宋体" w:eastAsia="宋体" w:cs="宋体"/>
          <w:bCs/>
          <w:color w:val="auto"/>
          <w:sz w:val="24"/>
          <w:szCs w:val="24"/>
          <w:highlight w:val="none"/>
          <w:lang w:val="en-US" w:eastAsia="zh-CN"/>
        </w:rPr>
        <w:t>《甲供主材设备清单》</w:t>
      </w:r>
      <w:r>
        <w:rPr>
          <w:rFonts w:hint="default" w:ascii="宋体" w:hAnsi="宋体" w:eastAsia="宋体" w:cs="宋体"/>
          <w:bCs/>
          <w:color w:val="auto"/>
          <w:sz w:val="24"/>
          <w:szCs w:val="24"/>
          <w:highlight w:val="none"/>
          <w:lang w:val="en-US" w:eastAsia="zh-CN"/>
        </w:rPr>
        <w:t>所列内容，承担以下责任：</w:t>
      </w:r>
    </w:p>
    <w:p w14:paraId="143FFF07">
      <w:pPr>
        <w:keepNext w:val="0"/>
        <w:keepLines w:val="0"/>
        <w:widowControl w:val="0"/>
        <w:kinsoku/>
        <w:wordWrap w:val="0"/>
        <w:topLinePunct/>
        <w:autoSpaceDE/>
        <w:autoSpaceDN/>
        <w:spacing w:line="360" w:lineRule="auto"/>
        <w:ind w:right="84" w:rightChars="40" w:firstLine="480" w:firstLineChars="200"/>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（1）在甲供主材设备运抵现场后，配合发包人完成接收、保管工作</w:t>
      </w:r>
      <w:r>
        <w:rPr>
          <w:rFonts w:hint="default" w:ascii="宋体" w:hAnsi="宋体" w:eastAsia="宋体" w:cs="宋体"/>
          <w:bCs/>
          <w:color w:val="auto"/>
          <w:sz w:val="24"/>
          <w:szCs w:val="24"/>
          <w:highlight w:val="none"/>
          <w:lang w:val="en-US" w:eastAsia="zh-CN"/>
        </w:rPr>
        <w:t>；</w:t>
      </w:r>
    </w:p>
    <w:p w14:paraId="73DED972">
      <w:pPr>
        <w:keepNext w:val="0"/>
        <w:keepLines w:val="0"/>
        <w:widowControl w:val="0"/>
        <w:kinsoku/>
        <w:wordWrap w:val="0"/>
        <w:topLinePunct/>
        <w:autoSpaceDE/>
        <w:autoSpaceDN/>
        <w:spacing w:line="360" w:lineRule="auto"/>
        <w:ind w:right="84" w:rightChars="40" w:firstLine="480" w:firstLineChars="200"/>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w:t>
      </w:r>
      <w:r>
        <w:rPr>
          <w:rFonts w:hint="default" w:ascii="宋体" w:hAnsi="宋体" w:eastAsia="宋体" w:cs="宋体"/>
          <w:bCs/>
          <w:color w:val="auto"/>
          <w:sz w:val="24"/>
          <w:szCs w:val="24"/>
          <w:highlight w:val="none"/>
          <w:lang w:val="en-US" w:eastAsia="zh-CN"/>
        </w:rPr>
        <w:t>负责甲供设备的卸货、场内运输、就位及安装（含</w:t>
      </w:r>
      <w:r>
        <w:rPr>
          <w:rFonts w:hint="eastAsia" w:ascii="宋体" w:hAnsi="宋体" w:eastAsia="宋体" w:cs="宋体"/>
          <w:bCs/>
          <w:color w:val="auto"/>
          <w:sz w:val="24"/>
          <w:szCs w:val="24"/>
          <w:highlight w:val="none"/>
          <w:lang w:val="en-US" w:eastAsia="zh-CN"/>
        </w:rPr>
        <w:t>所需</w:t>
      </w:r>
      <w:r>
        <w:rPr>
          <w:rFonts w:hint="default" w:ascii="宋体" w:hAnsi="宋体" w:eastAsia="宋体" w:cs="宋体"/>
          <w:bCs/>
          <w:color w:val="auto"/>
          <w:sz w:val="24"/>
          <w:szCs w:val="24"/>
          <w:highlight w:val="none"/>
          <w:lang w:val="en-US" w:eastAsia="zh-CN"/>
        </w:rPr>
        <w:t>的</w:t>
      </w:r>
      <w:r>
        <w:rPr>
          <w:rFonts w:hint="eastAsia" w:ascii="宋体" w:hAnsi="宋体" w:eastAsia="宋体" w:cs="宋体"/>
          <w:bCs/>
          <w:color w:val="auto"/>
          <w:sz w:val="24"/>
          <w:szCs w:val="24"/>
          <w:highlight w:val="none"/>
          <w:lang w:val="en-US" w:eastAsia="zh-CN"/>
        </w:rPr>
        <w:t>辅材、机具</w:t>
      </w:r>
      <w:r>
        <w:rPr>
          <w:rFonts w:hint="default" w:ascii="宋体" w:hAnsi="宋体" w:eastAsia="宋体" w:cs="宋体"/>
          <w:bCs/>
          <w:color w:val="auto"/>
          <w:sz w:val="24"/>
          <w:szCs w:val="24"/>
          <w:highlight w:val="none"/>
          <w:lang w:val="en-US" w:eastAsia="zh-CN"/>
        </w:rPr>
        <w:t>及</w:t>
      </w:r>
      <w:r>
        <w:rPr>
          <w:rFonts w:hint="eastAsia" w:ascii="宋体" w:hAnsi="宋体" w:eastAsia="宋体" w:cs="宋体"/>
          <w:bCs/>
          <w:color w:val="auto"/>
          <w:sz w:val="24"/>
          <w:szCs w:val="24"/>
          <w:highlight w:val="none"/>
          <w:lang w:val="en-US" w:eastAsia="zh-CN"/>
        </w:rPr>
        <w:t>技术</w:t>
      </w:r>
      <w:r>
        <w:rPr>
          <w:rFonts w:hint="default" w:ascii="宋体" w:hAnsi="宋体" w:eastAsia="宋体" w:cs="宋体"/>
          <w:bCs/>
          <w:color w:val="auto"/>
          <w:sz w:val="24"/>
          <w:szCs w:val="24"/>
          <w:highlight w:val="none"/>
          <w:lang w:val="en-US" w:eastAsia="zh-CN"/>
        </w:rPr>
        <w:t>措施）；</w:t>
      </w:r>
    </w:p>
    <w:p w14:paraId="44FC7F93">
      <w:pPr>
        <w:keepNext w:val="0"/>
        <w:keepLines w:val="0"/>
        <w:widowControl w:val="0"/>
        <w:kinsoku/>
        <w:wordWrap w:val="0"/>
        <w:topLinePunct/>
        <w:autoSpaceDE/>
        <w:autoSpaceDN/>
        <w:spacing w:line="360" w:lineRule="auto"/>
        <w:ind w:right="84" w:rightChars="40" w:firstLine="480" w:firstLineChars="200"/>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w:t>
      </w:r>
      <w:r>
        <w:rPr>
          <w:rFonts w:hint="default" w:ascii="宋体" w:hAnsi="宋体" w:eastAsia="宋体" w:cs="宋体"/>
          <w:bCs/>
          <w:color w:val="auto"/>
          <w:sz w:val="24"/>
          <w:szCs w:val="24"/>
          <w:highlight w:val="none"/>
          <w:lang w:val="en-US" w:eastAsia="zh-CN"/>
        </w:rPr>
        <w:t>负责甲供设备在安装完成至竣工验收移交期间的成品保护，确保其完好无损；</w:t>
      </w:r>
    </w:p>
    <w:p w14:paraId="4993C819">
      <w:pPr>
        <w:keepNext w:val="0"/>
        <w:keepLines w:val="0"/>
        <w:widowControl w:val="0"/>
        <w:kinsoku/>
        <w:wordWrap w:val="0"/>
        <w:topLinePunct/>
        <w:autoSpaceDE/>
        <w:autoSpaceDN/>
        <w:spacing w:line="360" w:lineRule="auto"/>
        <w:ind w:right="84" w:rightChars="40" w:firstLine="480" w:firstLineChars="200"/>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（4）</w:t>
      </w:r>
      <w:r>
        <w:rPr>
          <w:rFonts w:hint="default" w:ascii="宋体" w:hAnsi="宋体" w:eastAsia="宋体" w:cs="宋体"/>
          <w:bCs/>
          <w:color w:val="auto"/>
          <w:sz w:val="24"/>
          <w:szCs w:val="24"/>
          <w:highlight w:val="none"/>
          <w:lang w:val="en-US" w:eastAsia="zh-CN"/>
        </w:rPr>
        <w:t>配合发包人及相关单位办理甲供设备的进场报验、质量验收、资料归档及政府或行业主管部门要求的各类验收手续；</w:t>
      </w:r>
    </w:p>
    <w:p w14:paraId="550C5245">
      <w:pPr>
        <w:keepNext w:val="0"/>
        <w:keepLines w:val="0"/>
        <w:widowControl w:val="0"/>
        <w:kinsoku/>
        <w:wordWrap w:val="0"/>
        <w:topLinePunct/>
        <w:autoSpaceDE/>
        <w:autoSpaceDN/>
        <w:spacing w:line="360" w:lineRule="auto"/>
        <w:ind w:right="84" w:rightChars="40" w:firstLine="480" w:firstLineChars="200"/>
        <w:rPr>
          <w:rFonts w:hint="default"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上述工作所涉及的人工、机械、措施、管理及配合等一切费用，均已包含在合同总价中，由承包人自行承担，不再另行计取。</w:t>
      </w:r>
    </w:p>
    <w:p w14:paraId="59D8B12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default"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6.</w:t>
      </w:r>
      <w:r>
        <w:rPr>
          <w:rFonts w:hint="eastAsia" w:ascii="宋体" w:hAnsi="宋体" w:eastAsia="宋体" w:cs="宋体"/>
          <w:b w:val="0"/>
          <w:bCs/>
          <w:snapToGrid w:val="0"/>
          <w:color w:val="auto"/>
          <w:kern w:val="0"/>
          <w:sz w:val="24"/>
          <w:szCs w:val="24"/>
          <w:highlight w:val="none"/>
          <w:lang w:val="en-US" w:eastAsia="zh-CN"/>
        </w:rPr>
        <w:t>其他未尽事宜可由招标人与中标人自行协商在施工合同中约定。</w:t>
      </w:r>
    </w:p>
    <w:p w14:paraId="27206239">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5946EF20">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71069E8E">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20318F7A">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1640FAF2">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3C4B1A80">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3B265CB4">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4AFEF962">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571BC0C7">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187E0098">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outlineLvl w:val="9"/>
        <w:rPr>
          <w:rFonts w:hint="eastAsia" w:ascii="宋体" w:hAnsi="宋体" w:eastAsia="宋体" w:cs="宋体"/>
          <w:b/>
          <w:bCs/>
          <w:color w:val="auto"/>
          <w:spacing w:val="-3"/>
          <w:sz w:val="24"/>
          <w:szCs w:val="24"/>
          <w:highlight w:val="none"/>
        </w:rPr>
      </w:pPr>
      <w:bookmarkStart w:id="170" w:name="bookmark96"/>
      <w:bookmarkEnd w:id="170"/>
    </w:p>
    <w:p w14:paraId="0FA943C1">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pacing w:val="-3"/>
          <w:sz w:val="24"/>
          <w:szCs w:val="24"/>
          <w:highlight w:val="none"/>
        </w:rPr>
        <w:br w:type="page"/>
      </w:r>
    </w:p>
    <w:p w14:paraId="3A0C8961">
      <w:pPr>
        <w:keepNext w:val="0"/>
        <w:keepLines w:val="0"/>
        <w:pageBreakBefore w:val="0"/>
        <w:widowControl w:val="0"/>
        <w:kinsoku/>
        <w:wordWrap w:val="0"/>
        <w:overflowPunct/>
        <w:topLinePunct/>
        <w:autoSpaceDE/>
        <w:autoSpaceDN/>
        <w:bidi w:val="0"/>
        <w:adjustRightInd w:val="0"/>
        <w:snapToGrid w:val="0"/>
        <w:spacing w:before="78" w:line="219" w:lineRule="auto"/>
        <w:ind w:left="3273" w:right="84" w:rightChars="40"/>
        <w:outlineLvl w:val="0"/>
        <w:rPr>
          <w:rFonts w:hint="eastAsia" w:ascii="宋体" w:hAnsi="宋体" w:eastAsia="宋体" w:cs="宋体"/>
          <w:color w:val="auto"/>
          <w:highlight w:val="none"/>
        </w:rPr>
      </w:pPr>
      <w:bookmarkStart w:id="171" w:name="_Toc29623"/>
      <w:r>
        <w:rPr>
          <w:rFonts w:hint="eastAsia" w:ascii="宋体" w:hAnsi="宋体" w:eastAsia="宋体" w:cs="宋体"/>
          <w:b/>
          <w:bCs/>
          <w:color w:val="auto"/>
          <w:spacing w:val="-3"/>
          <w:sz w:val="24"/>
          <w:szCs w:val="24"/>
          <w:highlight w:val="none"/>
        </w:rPr>
        <w:t>第四章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技术要求</w:t>
      </w:r>
      <w:bookmarkEnd w:id="171"/>
    </w:p>
    <w:p w14:paraId="05F2AAB7">
      <w:pPr>
        <w:pStyle w:val="6"/>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3EDD40F4">
      <w:pPr>
        <w:pStyle w:val="49"/>
        <w:keepNext/>
        <w:keepLines/>
        <w:spacing w:line="360" w:lineRule="auto"/>
        <w:ind w:firstLine="480"/>
        <w:jc w:val="both"/>
        <w:rPr>
          <w:rFonts w:hint="eastAsia" w:hAnsi="宋体"/>
          <w:b/>
          <w:color w:val="auto"/>
          <w:kern w:val="2"/>
          <w:sz w:val="24"/>
          <w:szCs w:val="24"/>
          <w:highlight w:val="none"/>
        </w:rPr>
      </w:pPr>
      <w:bookmarkStart w:id="172" w:name="_Toc16624718"/>
      <w:bookmarkStart w:id="173" w:name="_Toc16624372"/>
      <w:bookmarkStart w:id="174" w:name="_Toc16624434"/>
      <w:bookmarkStart w:id="175" w:name="_Toc8650"/>
      <w:bookmarkStart w:id="176" w:name="_Toc26211"/>
      <w:bookmarkStart w:id="177" w:name="_Toc24726"/>
      <w:bookmarkStart w:id="178" w:name="_Toc23896"/>
      <w:r>
        <w:rPr>
          <w:rFonts w:hint="eastAsia" w:hAnsi="宋体"/>
          <w:b/>
          <w:color w:val="auto"/>
          <w:kern w:val="2"/>
          <w:sz w:val="24"/>
          <w:szCs w:val="24"/>
          <w:highlight w:val="none"/>
        </w:rPr>
        <w:t>1 工程的技术要求</w:t>
      </w:r>
      <w:bookmarkEnd w:id="172"/>
      <w:bookmarkEnd w:id="173"/>
      <w:bookmarkEnd w:id="174"/>
      <w:bookmarkEnd w:id="175"/>
      <w:bookmarkEnd w:id="176"/>
      <w:bookmarkEnd w:id="177"/>
      <w:bookmarkEnd w:id="178"/>
    </w:p>
    <w:p w14:paraId="7D88CDFB">
      <w:pPr>
        <w:spacing w:line="360" w:lineRule="auto"/>
        <w:rPr>
          <w:rFonts w:hAnsi="宋体"/>
          <w:bCs/>
          <w:color w:val="auto"/>
          <w:sz w:val="24"/>
          <w:szCs w:val="24"/>
          <w:highlight w:val="none"/>
        </w:rPr>
      </w:pPr>
      <w:r>
        <w:rPr>
          <w:b/>
          <w:color w:val="auto"/>
          <w:sz w:val="24"/>
          <w:szCs w:val="24"/>
          <w:highlight w:val="none"/>
        </w:rPr>
        <w:t xml:space="preserve">  </w:t>
      </w:r>
      <w:r>
        <w:rPr>
          <w:bCs/>
          <w:color w:val="auto"/>
          <w:sz w:val="24"/>
          <w:szCs w:val="24"/>
          <w:highlight w:val="none"/>
        </w:rPr>
        <w:t xml:space="preserve">  1.1 </w:t>
      </w:r>
      <w:r>
        <w:rPr>
          <w:rFonts w:hAnsi="宋体"/>
          <w:bCs/>
          <w:color w:val="auto"/>
          <w:sz w:val="24"/>
          <w:szCs w:val="24"/>
          <w:highlight w:val="none"/>
        </w:rPr>
        <w:t>本工程必须达到且不限于以下规范的要求：</w:t>
      </w:r>
    </w:p>
    <w:p w14:paraId="2D73ABD9">
      <w:pPr>
        <w:numPr>
          <w:ilvl w:val="0"/>
          <w:numId w:val="4"/>
        </w:numPr>
        <w:spacing w:line="360" w:lineRule="auto"/>
        <w:rPr>
          <w:bCs/>
          <w:color w:val="auto"/>
          <w:sz w:val="24"/>
          <w:szCs w:val="24"/>
          <w:highlight w:val="none"/>
        </w:rPr>
      </w:pPr>
      <w:r>
        <w:rPr>
          <w:bCs/>
          <w:color w:val="auto"/>
          <w:sz w:val="24"/>
          <w:szCs w:val="24"/>
          <w:highlight w:val="none"/>
        </w:rPr>
        <w:t>《</w:t>
      </w:r>
      <w:r>
        <w:rPr>
          <w:rFonts w:hint="eastAsia"/>
          <w:bCs/>
          <w:color w:val="auto"/>
          <w:sz w:val="24"/>
          <w:szCs w:val="24"/>
          <w:highlight w:val="none"/>
          <w:lang w:eastAsia="zh-CN"/>
        </w:rPr>
        <w:t>光伏发电站设计标准</w:t>
      </w:r>
      <w:r>
        <w:rPr>
          <w:bCs/>
          <w:color w:val="auto"/>
          <w:sz w:val="24"/>
          <w:szCs w:val="24"/>
          <w:highlight w:val="none"/>
        </w:rPr>
        <w:t>》</w:t>
      </w:r>
      <w:r>
        <w:rPr>
          <w:rFonts w:hint="eastAsia" w:eastAsia="宋体"/>
          <w:bCs/>
          <w:color w:val="auto"/>
          <w:sz w:val="24"/>
          <w:szCs w:val="24"/>
          <w:highlight w:val="none"/>
          <w:lang w:eastAsia="zh-CN"/>
        </w:rPr>
        <w:t>（</w:t>
      </w:r>
      <w:r>
        <w:rPr>
          <w:bCs/>
          <w:color w:val="auto"/>
          <w:sz w:val="24"/>
          <w:szCs w:val="24"/>
          <w:highlight w:val="none"/>
        </w:rPr>
        <w:t xml:space="preserve"> </w:t>
      </w:r>
      <w:r>
        <w:rPr>
          <w:rFonts w:hint="eastAsia"/>
          <w:bCs/>
          <w:color w:val="auto"/>
          <w:sz w:val="24"/>
          <w:szCs w:val="24"/>
          <w:highlight w:val="none"/>
          <w:lang w:eastAsia="zh-CN"/>
        </w:rPr>
        <w:t>GB 50797-2012[2024年局部修订]）</w:t>
      </w:r>
      <w:r>
        <w:rPr>
          <w:bCs/>
          <w:color w:val="auto"/>
          <w:sz w:val="24"/>
          <w:szCs w:val="24"/>
          <w:highlight w:val="none"/>
        </w:rPr>
        <w:t xml:space="preserve"> </w:t>
      </w:r>
    </w:p>
    <w:p w14:paraId="189CF45F">
      <w:pPr>
        <w:numPr>
          <w:ilvl w:val="0"/>
          <w:numId w:val="4"/>
        </w:numPr>
        <w:spacing w:line="360" w:lineRule="auto"/>
        <w:rPr>
          <w:bCs/>
          <w:color w:val="auto"/>
          <w:sz w:val="24"/>
          <w:szCs w:val="24"/>
          <w:highlight w:val="none"/>
        </w:rPr>
      </w:pPr>
      <w:r>
        <w:rPr>
          <w:bCs/>
          <w:color w:val="auto"/>
          <w:sz w:val="24"/>
          <w:szCs w:val="24"/>
          <w:highlight w:val="none"/>
        </w:rPr>
        <w:t>《分布式电源孤岛运行控制规范》</w:t>
      </w:r>
      <w:r>
        <w:rPr>
          <w:rFonts w:hint="eastAsia" w:eastAsia="宋体"/>
          <w:bCs/>
          <w:color w:val="auto"/>
          <w:sz w:val="24"/>
          <w:szCs w:val="24"/>
          <w:highlight w:val="none"/>
          <w:lang w:eastAsia="zh-CN"/>
        </w:rPr>
        <w:t>（NB/T 33013-2024）</w:t>
      </w:r>
      <w:r>
        <w:rPr>
          <w:bCs/>
          <w:color w:val="auto"/>
          <w:sz w:val="24"/>
          <w:szCs w:val="24"/>
          <w:highlight w:val="none"/>
        </w:rPr>
        <w:t xml:space="preserve"> </w:t>
      </w:r>
    </w:p>
    <w:p w14:paraId="1DC761F0">
      <w:pPr>
        <w:numPr>
          <w:ilvl w:val="0"/>
          <w:numId w:val="4"/>
        </w:numPr>
        <w:spacing w:line="360" w:lineRule="auto"/>
        <w:rPr>
          <w:bCs/>
          <w:color w:val="auto"/>
          <w:sz w:val="24"/>
          <w:szCs w:val="24"/>
          <w:highlight w:val="none"/>
        </w:rPr>
      </w:pPr>
      <w:r>
        <w:rPr>
          <w:bCs/>
          <w:color w:val="auto"/>
          <w:sz w:val="24"/>
          <w:szCs w:val="24"/>
          <w:highlight w:val="none"/>
        </w:rPr>
        <w:t>《分布式电源接入电网监控系统功能规范》</w:t>
      </w:r>
      <w:r>
        <w:rPr>
          <w:rFonts w:hint="eastAsia" w:eastAsia="宋体"/>
          <w:bCs/>
          <w:color w:val="auto"/>
          <w:sz w:val="24"/>
          <w:szCs w:val="24"/>
          <w:highlight w:val="none"/>
          <w:lang w:eastAsia="zh-CN"/>
        </w:rPr>
        <w:t>（</w:t>
      </w:r>
      <w:r>
        <w:rPr>
          <w:bCs/>
          <w:color w:val="auto"/>
          <w:sz w:val="24"/>
          <w:szCs w:val="24"/>
          <w:highlight w:val="none"/>
        </w:rPr>
        <w:t>NB/T 33012-2014</w:t>
      </w:r>
      <w:r>
        <w:rPr>
          <w:rFonts w:hint="eastAsia" w:eastAsia="宋体"/>
          <w:bCs/>
          <w:color w:val="auto"/>
          <w:sz w:val="24"/>
          <w:szCs w:val="24"/>
          <w:highlight w:val="none"/>
          <w:lang w:eastAsia="zh-CN"/>
        </w:rPr>
        <w:t>）</w:t>
      </w:r>
      <w:r>
        <w:rPr>
          <w:bCs/>
          <w:color w:val="auto"/>
          <w:sz w:val="24"/>
          <w:szCs w:val="24"/>
          <w:highlight w:val="none"/>
        </w:rPr>
        <w:t xml:space="preserve"> </w:t>
      </w:r>
    </w:p>
    <w:p w14:paraId="42023BFC">
      <w:pPr>
        <w:numPr>
          <w:ilvl w:val="0"/>
          <w:numId w:val="4"/>
        </w:numPr>
        <w:spacing w:line="360" w:lineRule="auto"/>
        <w:rPr>
          <w:bCs/>
          <w:color w:val="auto"/>
          <w:sz w:val="24"/>
          <w:szCs w:val="24"/>
          <w:highlight w:val="none"/>
        </w:rPr>
      </w:pPr>
      <w:r>
        <w:rPr>
          <w:bCs/>
          <w:color w:val="auto"/>
          <w:sz w:val="24"/>
          <w:szCs w:val="24"/>
          <w:highlight w:val="none"/>
        </w:rPr>
        <w:t>《分布式电源接入电网运行控制规范》</w:t>
      </w:r>
      <w:r>
        <w:rPr>
          <w:rFonts w:hint="eastAsia" w:eastAsia="宋体"/>
          <w:bCs/>
          <w:color w:val="auto"/>
          <w:sz w:val="24"/>
          <w:szCs w:val="24"/>
          <w:highlight w:val="none"/>
          <w:lang w:eastAsia="zh-CN"/>
        </w:rPr>
        <w:t>（</w:t>
      </w:r>
      <w:r>
        <w:rPr>
          <w:bCs/>
          <w:color w:val="auto"/>
          <w:sz w:val="24"/>
          <w:szCs w:val="24"/>
          <w:highlight w:val="none"/>
        </w:rPr>
        <w:t>NB/T 33010-2014</w:t>
      </w:r>
      <w:r>
        <w:rPr>
          <w:rFonts w:hint="eastAsia" w:eastAsia="宋体"/>
          <w:bCs/>
          <w:color w:val="auto"/>
          <w:sz w:val="24"/>
          <w:szCs w:val="24"/>
          <w:highlight w:val="none"/>
          <w:lang w:eastAsia="zh-CN"/>
        </w:rPr>
        <w:t>）</w:t>
      </w:r>
      <w:r>
        <w:rPr>
          <w:bCs/>
          <w:color w:val="auto"/>
          <w:sz w:val="24"/>
          <w:szCs w:val="24"/>
          <w:highlight w:val="none"/>
        </w:rPr>
        <w:t xml:space="preserve"> </w:t>
      </w:r>
    </w:p>
    <w:p w14:paraId="055CC5EA">
      <w:pPr>
        <w:numPr>
          <w:ilvl w:val="0"/>
          <w:numId w:val="4"/>
        </w:numPr>
        <w:spacing w:line="360" w:lineRule="auto"/>
        <w:rPr>
          <w:rFonts w:ascii="Times New Roman"/>
          <w:bCs/>
          <w:color w:val="auto"/>
          <w:sz w:val="24"/>
          <w:szCs w:val="24"/>
          <w:highlight w:val="none"/>
        </w:rPr>
      </w:pPr>
      <w:r>
        <w:rPr>
          <w:rFonts w:ascii="Times New Roman"/>
          <w:bCs/>
          <w:color w:val="auto"/>
          <w:sz w:val="24"/>
          <w:szCs w:val="24"/>
          <w:highlight w:val="none"/>
        </w:rPr>
        <w:t>《光伏发电站接入电力系统技术规定》</w:t>
      </w:r>
      <w:r>
        <w:rPr>
          <w:rFonts w:hint="eastAsia" w:ascii="Times New Roman" w:eastAsia="宋体"/>
          <w:bCs/>
          <w:color w:val="auto"/>
          <w:sz w:val="24"/>
          <w:szCs w:val="24"/>
          <w:highlight w:val="none"/>
          <w:lang w:eastAsia="zh-CN"/>
        </w:rPr>
        <w:t>（</w:t>
      </w:r>
      <w:r>
        <w:rPr>
          <w:rFonts w:ascii="Times New Roman"/>
          <w:bCs/>
          <w:color w:val="auto"/>
          <w:sz w:val="24"/>
          <w:szCs w:val="24"/>
          <w:highlight w:val="none"/>
        </w:rPr>
        <w:t>GB/T 19964-2024</w:t>
      </w:r>
      <w:r>
        <w:rPr>
          <w:rFonts w:hint="eastAsia" w:ascii="Times New Roman" w:eastAsia="宋体"/>
          <w:bCs/>
          <w:color w:val="auto"/>
          <w:sz w:val="24"/>
          <w:szCs w:val="24"/>
          <w:highlight w:val="none"/>
          <w:lang w:eastAsia="zh-CN"/>
        </w:rPr>
        <w:t>）</w:t>
      </w:r>
      <w:r>
        <w:rPr>
          <w:rFonts w:ascii="Times New Roman"/>
          <w:bCs/>
          <w:color w:val="auto"/>
          <w:sz w:val="24"/>
          <w:szCs w:val="24"/>
          <w:highlight w:val="none"/>
        </w:rPr>
        <w:t xml:space="preserve"> </w:t>
      </w:r>
    </w:p>
    <w:p w14:paraId="01CEDFA8">
      <w:pPr>
        <w:numPr>
          <w:ilvl w:val="0"/>
          <w:numId w:val="4"/>
        </w:numPr>
        <w:spacing w:line="360" w:lineRule="auto"/>
        <w:rPr>
          <w:bCs/>
          <w:color w:val="auto"/>
          <w:sz w:val="24"/>
          <w:szCs w:val="24"/>
          <w:highlight w:val="none"/>
        </w:rPr>
      </w:pPr>
      <w:r>
        <w:rPr>
          <w:bCs/>
          <w:color w:val="auto"/>
          <w:sz w:val="24"/>
          <w:szCs w:val="24"/>
          <w:highlight w:val="none"/>
        </w:rPr>
        <w:t>《光伏发电站接入电力系统设计规范》</w:t>
      </w:r>
      <w:r>
        <w:rPr>
          <w:rFonts w:hint="eastAsia" w:eastAsia="宋体"/>
          <w:bCs/>
          <w:color w:val="auto"/>
          <w:sz w:val="24"/>
          <w:szCs w:val="24"/>
          <w:highlight w:val="none"/>
          <w:lang w:eastAsia="zh-CN"/>
        </w:rPr>
        <w:t>（</w:t>
      </w:r>
      <w:r>
        <w:rPr>
          <w:bCs/>
          <w:color w:val="auto"/>
          <w:sz w:val="24"/>
          <w:szCs w:val="24"/>
          <w:highlight w:val="none"/>
        </w:rPr>
        <w:t>GB/T 50866-2013</w:t>
      </w:r>
      <w:r>
        <w:rPr>
          <w:rFonts w:hint="eastAsia" w:eastAsia="宋体"/>
          <w:bCs/>
          <w:color w:val="auto"/>
          <w:sz w:val="24"/>
          <w:szCs w:val="24"/>
          <w:highlight w:val="none"/>
          <w:lang w:eastAsia="zh-CN"/>
        </w:rPr>
        <w:t>）</w:t>
      </w:r>
      <w:r>
        <w:rPr>
          <w:bCs/>
          <w:color w:val="auto"/>
          <w:sz w:val="24"/>
          <w:szCs w:val="24"/>
          <w:highlight w:val="none"/>
        </w:rPr>
        <w:t xml:space="preserve"> </w:t>
      </w:r>
    </w:p>
    <w:p w14:paraId="7D878B53">
      <w:pPr>
        <w:numPr>
          <w:ilvl w:val="0"/>
          <w:numId w:val="4"/>
        </w:numPr>
        <w:spacing w:line="360" w:lineRule="auto"/>
        <w:rPr>
          <w:bCs/>
          <w:color w:val="auto"/>
          <w:sz w:val="24"/>
          <w:szCs w:val="24"/>
          <w:highlight w:val="none"/>
        </w:rPr>
      </w:pPr>
      <w:r>
        <w:rPr>
          <w:bCs/>
          <w:color w:val="auto"/>
          <w:sz w:val="24"/>
          <w:szCs w:val="24"/>
          <w:highlight w:val="none"/>
        </w:rPr>
        <w:t>《</w:t>
      </w:r>
      <w:bookmarkStart w:id="179" w:name="OLE_LINK6"/>
      <w:r>
        <w:rPr>
          <w:bCs/>
          <w:color w:val="auto"/>
          <w:sz w:val="24"/>
          <w:szCs w:val="24"/>
          <w:highlight w:val="none"/>
        </w:rPr>
        <w:t>分布式电源并网技术要求》</w:t>
      </w:r>
      <w:bookmarkEnd w:id="179"/>
      <w:r>
        <w:rPr>
          <w:rFonts w:hint="eastAsia" w:eastAsia="宋体"/>
          <w:bCs/>
          <w:color w:val="auto"/>
          <w:sz w:val="24"/>
          <w:szCs w:val="24"/>
          <w:highlight w:val="none"/>
          <w:lang w:eastAsia="zh-CN"/>
        </w:rPr>
        <w:t>（</w:t>
      </w:r>
      <w:r>
        <w:rPr>
          <w:bCs/>
          <w:color w:val="auto"/>
          <w:sz w:val="24"/>
          <w:szCs w:val="24"/>
          <w:highlight w:val="none"/>
        </w:rPr>
        <w:t xml:space="preserve"> GB/T 33593-2017</w:t>
      </w:r>
      <w:r>
        <w:rPr>
          <w:rFonts w:hint="eastAsia" w:eastAsia="宋体"/>
          <w:bCs/>
          <w:color w:val="auto"/>
          <w:sz w:val="24"/>
          <w:szCs w:val="24"/>
          <w:highlight w:val="none"/>
          <w:lang w:eastAsia="zh-CN"/>
        </w:rPr>
        <w:t>）</w:t>
      </w:r>
      <w:r>
        <w:rPr>
          <w:bCs/>
          <w:color w:val="auto"/>
          <w:sz w:val="24"/>
          <w:szCs w:val="24"/>
          <w:highlight w:val="none"/>
        </w:rPr>
        <w:t xml:space="preserve"> </w:t>
      </w:r>
    </w:p>
    <w:p w14:paraId="7DC0530C">
      <w:pPr>
        <w:numPr>
          <w:ilvl w:val="0"/>
          <w:numId w:val="4"/>
        </w:numPr>
        <w:spacing w:line="360" w:lineRule="auto"/>
        <w:rPr>
          <w:bCs/>
          <w:color w:val="auto"/>
          <w:sz w:val="24"/>
          <w:szCs w:val="24"/>
          <w:highlight w:val="none"/>
        </w:rPr>
      </w:pPr>
      <w:r>
        <w:rPr>
          <w:bCs/>
          <w:color w:val="auto"/>
          <w:sz w:val="24"/>
          <w:szCs w:val="24"/>
          <w:highlight w:val="none"/>
        </w:rPr>
        <w:t>《光伏发电站并网运行控制规范》</w:t>
      </w:r>
      <w:r>
        <w:rPr>
          <w:rFonts w:hint="eastAsia" w:eastAsia="宋体"/>
          <w:bCs/>
          <w:color w:val="auto"/>
          <w:sz w:val="24"/>
          <w:szCs w:val="24"/>
          <w:highlight w:val="none"/>
          <w:lang w:eastAsia="zh-CN"/>
        </w:rPr>
        <w:t>（</w:t>
      </w:r>
      <w:r>
        <w:rPr>
          <w:bCs/>
          <w:color w:val="auto"/>
          <w:sz w:val="24"/>
          <w:szCs w:val="24"/>
          <w:highlight w:val="none"/>
        </w:rPr>
        <w:t>GB/T 33599-2017</w:t>
      </w:r>
      <w:r>
        <w:rPr>
          <w:rFonts w:hint="eastAsia" w:eastAsia="宋体"/>
          <w:bCs/>
          <w:color w:val="auto"/>
          <w:sz w:val="24"/>
          <w:szCs w:val="24"/>
          <w:highlight w:val="none"/>
          <w:lang w:eastAsia="zh-CN"/>
        </w:rPr>
        <w:t>）</w:t>
      </w:r>
      <w:r>
        <w:rPr>
          <w:bCs/>
          <w:color w:val="auto"/>
          <w:sz w:val="24"/>
          <w:szCs w:val="24"/>
          <w:highlight w:val="none"/>
        </w:rPr>
        <w:t xml:space="preserve"> </w:t>
      </w:r>
    </w:p>
    <w:p w14:paraId="3C039048">
      <w:pPr>
        <w:numPr>
          <w:ilvl w:val="0"/>
          <w:numId w:val="4"/>
        </w:numPr>
        <w:spacing w:line="360" w:lineRule="auto"/>
        <w:rPr>
          <w:bCs/>
          <w:color w:val="auto"/>
          <w:sz w:val="24"/>
          <w:szCs w:val="24"/>
          <w:highlight w:val="none"/>
        </w:rPr>
      </w:pPr>
      <w:r>
        <w:rPr>
          <w:bCs/>
          <w:color w:val="auto"/>
          <w:sz w:val="24"/>
          <w:szCs w:val="24"/>
          <w:highlight w:val="none"/>
        </w:rPr>
        <w:t>《电力工程直流电源系统设计技术规程》</w:t>
      </w:r>
      <w:r>
        <w:rPr>
          <w:rFonts w:hint="eastAsia" w:eastAsia="宋体"/>
          <w:bCs/>
          <w:color w:val="auto"/>
          <w:sz w:val="24"/>
          <w:szCs w:val="24"/>
          <w:highlight w:val="none"/>
          <w:lang w:eastAsia="zh-CN"/>
        </w:rPr>
        <w:t>（</w:t>
      </w:r>
      <w:r>
        <w:rPr>
          <w:bCs/>
          <w:color w:val="auto"/>
          <w:sz w:val="24"/>
          <w:szCs w:val="24"/>
          <w:highlight w:val="none"/>
        </w:rPr>
        <w:t> DL/T 5044-2014</w:t>
      </w:r>
      <w:r>
        <w:rPr>
          <w:rFonts w:hint="eastAsia" w:eastAsia="宋体"/>
          <w:bCs/>
          <w:color w:val="auto"/>
          <w:sz w:val="24"/>
          <w:szCs w:val="24"/>
          <w:highlight w:val="none"/>
          <w:lang w:eastAsia="zh-CN"/>
        </w:rPr>
        <w:t>）</w:t>
      </w:r>
      <w:r>
        <w:rPr>
          <w:bCs/>
          <w:color w:val="auto"/>
          <w:sz w:val="24"/>
          <w:szCs w:val="24"/>
          <w:highlight w:val="none"/>
        </w:rPr>
        <w:t xml:space="preserve"> </w:t>
      </w:r>
    </w:p>
    <w:p w14:paraId="76486B08">
      <w:pPr>
        <w:numPr>
          <w:ilvl w:val="0"/>
          <w:numId w:val="4"/>
        </w:numPr>
        <w:spacing w:line="360" w:lineRule="auto"/>
        <w:rPr>
          <w:bCs/>
          <w:color w:val="auto"/>
          <w:sz w:val="24"/>
          <w:szCs w:val="24"/>
          <w:highlight w:val="none"/>
        </w:rPr>
      </w:pPr>
      <w:r>
        <w:rPr>
          <w:bCs/>
          <w:color w:val="auto"/>
          <w:sz w:val="24"/>
          <w:szCs w:val="24"/>
          <w:highlight w:val="none"/>
        </w:rPr>
        <w:t>《电力系统安全自动装置设计规范》（GB/T 50703-2011）</w:t>
      </w:r>
    </w:p>
    <w:p w14:paraId="0C8FA084">
      <w:pPr>
        <w:numPr>
          <w:ilvl w:val="0"/>
          <w:numId w:val="4"/>
        </w:numPr>
        <w:spacing w:line="360" w:lineRule="auto"/>
        <w:rPr>
          <w:bCs/>
          <w:color w:val="auto"/>
          <w:sz w:val="24"/>
          <w:szCs w:val="24"/>
          <w:highlight w:val="none"/>
        </w:rPr>
      </w:pPr>
      <w:r>
        <w:rPr>
          <w:bCs/>
          <w:color w:val="auto"/>
          <w:sz w:val="24"/>
          <w:szCs w:val="24"/>
          <w:highlight w:val="none"/>
        </w:rPr>
        <w:t>《电力装置的继电保护和自动装置设计规范》</w:t>
      </w:r>
      <w:r>
        <w:rPr>
          <w:rFonts w:hint="eastAsia" w:eastAsia="宋体"/>
          <w:bCs/>
          <w:color w:val="auto"/>
          <w:sz w:val="24"/>
          <w:szCs w:val="24"/>
          <w:highlight w:val="none"/>
          <w:lang w:eastAsia="zh-CN"/>
        </w:rPr>
        <w:t>（</w:t>
      </w:r>
      <w:r>
        <w:rPr>
          <w:bCs/>
          <w:color w:val="auto"/>
          <w:sz w:val="24"/>
          <w:szCs w:val="24"/>
          <w:highlight w:val="none"/>
        </w:rPr>
        <w:t>GB/T 50062-2008</w:t>
      </w:r>
      <w:r>
        <w:rPr>
          <w:rFonts w:hint="eastAsia" w:eastAsia="宋体"/>
          <w:bCs/>
          <w:color w:val="auto"/>
          <w:sz w:val="24"/>
          <w:szCs w:val="24"/>
          <w:highlight w:val="none"/>
          <w:lang w:eastAsia="zh-CN"/>
        </w:rPr>
        <w:t>）</w:t>
      </w:r>
      <w:r>
        <w:rPr>
          <w:bCs/>
          <w:color w:val="auto"/>
          <w:sz w:val="24"/>
          <w:szCs w:val="24"/>
          <w:highlight w:val="none"/>
        </w:rPr>
        <w:t xml:space="preserve"> </w:t>
      </w:r>
    </w:p>
    <w:p w14:paraId="2F3A2551">
      <w:pPr>
        <w:numPr>
          <w:ilvl w:val="0"/>
          <w:numId w:val="4"/>
        </w:numPr>
        <w:spacing w:line="360" w:lineRule="auto"/>
        <w:rPr>
          <w:bCs/>
          <w:color w:val="auto"/>
          <w:sz w:val="24"/>
          <w:szCs w:val="24"/>
          <w:highlight w:val="none"/>
        </w:rPr>
      </w:pPr>
      <w:r>
        <w:rPr>
          <w:bCs/>
          <w:color w:val="auto"/>
          <w:sz w:val="24"/>
          <w:szCs w:val="24"/>
          <w:highlight w:val="none"/>
        </w:rPr>
        <w:t>《火力发电厂、变电站二次接线设计技术规程》</w:t>
      </w:r>
      <w:r>
        <w:rPr>
          <w:rFonts w:hint="eastAsia" w:eastAsia="宋体"/>
          <w:bCs/>
          <w:color w:val="auto"/>
          <w:sz w:val="24"/>
          <w:szCs w:val="24"/>
          <w:highlight w:val="none"/>
          <w:lang w:eastAsia="zh-CN"/>
        </w:rPr>
        <w:t>（</w:t>
      </w:r>
      <w:r>
        <w:rPr>
          <w:bCs/>
          <w:color w:val="auto"/>
          <w:sz w:val="24"/>
          <w:szCs w:val="24"/>
          <w:highlight w:val="none"/>
        </w:rPr>
        <w:t>DL/T5136-2012</w:t>
      </w:r>
      <w:r>
        <w:rPr>
          <w:rFonts w:hint="eastAsia" w:eastAsia="宋体"/>
          <w:bCs/>
          <w:color w:val="auto"/>
          <w:sz w:val="24"/>
          <w:szCs w:val="24"/>
          <w:highlight w:val="none"/>
          <w:lang w:eastAsia="zh-CN"/>
        </w:rPr>
        <w:t>）</w:t>
      </w:r>
      <w:r>
        <w:rPr>
          <w:bCs/>
          <w:color w:val="auto"/>
          <w:sz w:val="24"/>
          <w:szCs w:val="24"/>
          <w:highlight w:val="none"/>
        </w:rPr>
        <w:t xml:space="preserve"> </w:t>
      </w:r>
    </w:p>
    <w:p w14:paraId="6C64AB07">
      <w:pPr>
        <w:numPr>
          <w:ilvl w:val="0"/>
          <w:numId w:val="4"/>
        </w:numPr>
        <w:spacing w:line="360" w:lineRule="auto"/>
        <w:rPr>
          <w:bCs/>
          <w:color w:val="auto"/>
          <w:sz w:val="24"/>
          <w:szCs w:val="24"/>
          <w:highlight w:val="none"/>
        </w:rPr>
      </w:pPr>
      <w:r>
        <w:rPr>
          <w:bCs/>
          <w:color w:val="auto"/>
          <w:sz w:val="24"/>
          <w:szCs w:val="24"/>
          <w:highlight w:val="none"/>
        </w:rPr>
        <w:t>《电能量计量系统设计规程》</w:t>
      </w:r>
      <w:r>
        <w:rPr>
          <w:rFonts w:hint="eastAsia" w:eastAsia="宋体"/>
          <w:bCs/>
          <w:color w:val="auto"/>
          <w:sz w:val="24"/>
          <w:szCs w:val="24"/>
          <w:highlight w:val="none"/>
          <w:lang w:eastAsia="zh-CN"/>
        </w:rPr>
        <w:t>（</w:t>
      </w:r>
      <w:r>
        <w:rPr>
          <w:bCs/>
          <w:color w:val="auto"/>
          <w:sz w:val="24"/>
          <w:szCs w:val="24"/>
          <w:highlight w:val="none"/>
        </w:rPr>
        <w:t>DL/T 5202-2022</w:t>
      </w:r>
      <w:r>
        <w:rPr>
          <w:rFonts w:hint="eastAsia" w:eastAsia="宋体"/>
          <w:bCs/>
          <w:color w:val="auto"/>
          <w:sz w:val="24"/>
          <w:szCs w:val="24"/>
          <w:highlight w:val="none"/>
          <w:lang w:eastAsia="zh-CN"/>
        </w:rPr>
        <w:t>）</w:t>
      </w:r>
      <w:r>
        <w:rPr>
          <w:bCs/>
          <w:color w:val="auto"/>
          <w:sz w:val="24"/>
          <w:szCs w:val="24"/>
          <w:highlight w:val="none"/>
        </w:rPr>
        <w:t xml:space="preserve"> </w:t>
      </w:r>
    </w:p>
    <w:p w14:paraId="3B9945AD">
      <w:pPr>
        <w:numPr>
          <w:ilvl w:val="0"/>
          <w:numId w:val="4"/>
        </w:numPr>
        <w:spacing w:line="360" w:lineRule="auto"/>
        <w:rPr>
          <w:bCs/>
          <w:color w:val="auto"/>
          <w:sz w:val="24"/>
          <w:szCs w:val="24"/>
          <w:highlight w:val="none"/>
        </w:rPr>
      </w:pPr>
      <w:r>
        <w:rPr>
          <w:bCs/>
          <w:color w:val="auto"/>
          <w:sz w:val="24"/>
          <w:szCs w:val="24"/>
          <w:highlight w:val="none"/>
        </w:rPr>
        <w:t>《</w:t>
      </w:r>
      <w:r>
        <w:rPr>
          <w:rFonts w:hint="eastAsia"/>
          <w:bCs/>
          <w:color w:val="auto"/>
          <w:sz w:val="24"/>
          <w:szCs w:val="24"/>
          <w:highlight w:val="none"/>
          <w:lang w:eastAsia="zh-CN"/>
        </w:rPr>
        <w:t>变电工程总布置设计规程</w:t>
      </w:r>
      <w:r>
        <w:rPr>
          <w:bCs/>
          <w:color w:val="auto"/>
          <w:sz w:val="24"/>
          <w:szCs w:val="24"/>
          <w:highlight w:val="none"/>
        </w:rPr>
        <w:t>》</w:t>
      </w:r>
      <w:r>
        <w:rPr>
          <w:rFonts w:hint="eastAsia" w:eastAsia="宋体"/>
          <w:bCs/>
          <w:color w:val="auto"/>
          <w:sz w:val="24"/>
          <w:szCs w:val="24"/>
          <w:highlight w:val="none"/>
          <w:lang w:eastAsia="zh-CN"/>
        </w:rPr>
        <w:t>（</w:t>
      </w:r>
      <w:r>
        <w:rPr>
          <w:rFonts w:hint="eastAsia"/>
          <w:bCs/>
          <w:color w:val="auto"/>
          <w:sz w:val="24"/>
          <w:szCs w:val="24"/>
          <w:highlight w:val="none"/>
          <w:lang w:eastAsia="zh-CN"/>
        </w:rPr>
        <w:t>DL/T 5056-2024）</w:t>
      </w:r>
      <w:r>
        <w:rPr>
          <w:bCs/>
          <w:color w:val="auto"/>
          <w:sz w:val="24"/>
          <w:szCs w:val="24"/>
          <w:highlight w:val="none"/>
        </w:rPr>
        <w:t xml:space="preserve"> </w:t>
      </w:r>
    </w:p>
    <w:p w14:paraId="32283A8E">
      <w:pPr>
        <w:numPr>
          <w:ilvl w:val="0"/>
          <w:numId w:val="4"/>
        </w:numPr>
        <w:spacing w:line="360" w:lineRule="auto"/>
        <w:rPr>
          <w:bCs/>
          <w:color w:val="auto"/>
          <w:sz w:val="24"/>
          <w:szCs w:val="24"/>
          <w:highlight w:val="none"/>
        </w:rPr>
      </w:pPr>
      <w:r>
        <w:rPr>
          <w:bCs/>
          <w:color w:val="auto"/>
          <w:sz w:val="24"/>
          <w:szCs w:val="24"/>
          <w:highlight w:val="none"/>
        </w:rPr>
        <w:t>《电力设备典型消防规程》</w:t>
      </w:r>
      <w:r>
        <w:rPr>
          <w:rFonts w:hint="eastAsia" w:eastAsia="宋体"/>
          <w:bCs/>
          <w:color w:val="auto"/>
          <w:sz w:val="24"/>
          <w:szCs w:val="24"/>
          <w:highlight w:val="none"/>
          <w:lang w:eastAsia="zh-CN"/>
        </w:rPr>
        <w:t>（</w:t>
      </w:r>
      <w:r>
        <w:rPr>
          <w:bCs/>
          <w:color w:val="auto"/>
          <w:sz w:val="24"/>
          <w:szCs w:val="24"/>
          <w:highlight w:val="none"/>
        </w:rPr>
        <w:t>DL 5027-2015</w:t>
      </w:r>
      <w:r>
        <w:rPr>
          <w:rFonts w:hint="eastAsia" w:eastAsia="宋体"/>
          <w:bCs/>
          <w:color w:val="auto"/>
          <w:sz w:val="24"/>
          <w:szCs w:val="24"/>
          <w:highlight w:val="none"/>
          <w:lang w:eastAsia="zh-CN"/>
        </w:rPr>
        <w:t>）</w:t>
      </w:r>
      <w:r>
        <w:rPr>
          <w:bCs/>
          <w:color w:val="auto"/>
          <w:sz w:val="24"/>
          <w:szCs w:val="24"/>
          <w:highlight w:val="none"/>
        </w:rPr>
        <w:t xml:space="preserve"> </w:t>
      </w:r>
    </w:p>
    <w:p w14:paraId="7758B726">
      <w:pPr>
        <w:numPr>
          <w:ilvl w:val="0"/>
          <w:numId w:val="4"/>
        </w:numPr>
        <w:spacing w:line="360" w:lineRule="auto"/>
        <w:rPr>
          <w:bCs/>
          <w:color w:val="auto"/>
          <w:sz w:val="24"/>
          <w:szCs w:val="24"/>
          <w:highlight w:val="none"/>
        </w:rPr>
      </w:pPr>
      <w:r>
        <w:rPr>
          <w:bCs/>
          <w:color w:val="auto"/>
          <w:sz w:val="24"/>
          <w:szCs w:val="24"/>
          <w:highlight w:val="none"/>
        </w:rPr>
        <w:t>《电能质量公用电网谐波》</w:t>
      </w:r>
      <w:r>
        <w:rPr>
          <w:rFonts w:hint="eastAsia" w:eastAsia="宋体"/>
          <w:bCs/>
          <w:color w:val="auto"/>
          <w:sz w:val="24"/>
          <w:szCs w:val="24"/>
          <w:highlight w:val="none"/>
          <w:lang w:eastAsia="zh-CN"/>
        </w:rPr>
        <w:t>（</w:t>
      </w:r>
      <w:r>
        <w:rPr>
          <w:bCs/>
          <w:color w:val="auto"/>
          <w:sz w:val="24"/>
          <w:szCs w:val="24"/>
          <w:highlight w:val="none"/>
        </w:rPr>
        <w:t>GB/T14549-1993</w:t>
      </w:r>
      <w:r>
        <w:rPr>
          <w:rFonts w:hint="eastAsia" w:eastAsia="宋体"/>
          <w:bCs/>
          <w:color w:val="auto"/>
          <w:sz w:val="24"/>
          <w:szCs w:val="24"/>
          <w:highlight w:val="none"/>
          <w:lang w:eastAsia="zh-CN"/>
        </w:rPr>
        <w:t>）</w:t>
      </w:r>
      <w:r>
        <w:rPr>
          <w:bCs/>
          <w:color w:val="auto"/>
          <w:sz w:val="24"/>
          <w:szCs w:val="24"/>
          <w:highlight w:val="none"/>
        </w:rPr>
        <w:t xml:space="preserve"> </w:t>
      </w:r>
    </w:p>
    <w:p w14:paraId="63601AC6">
      <w:pPr>
        <w:numPr>
          <w:ilvl w:val="0"/>
          <w:numId w:val="4"/>
        </w:numPr>
        <w:spacing w:line="360" w:lineRule="auto"/>
        <w:rPr>
          <w:bCs/>
          <w:color w:val="auto"/>
          <w:sz w:val="24"/>
          <w:szCs w:val="24"/>
          <w:highlight w:val="none"/>
        </w:rPr>
      </w:pPr>
      <w:r>
        <w:rPr>
          <w:bCs/>
          <w:color w:val="auto"/>
          <w:sz w:val="24"/>
          <w:szCs w:val="24"/>
          <w:highlight w:val="none"/>
        </w:rPr>
        <w:t>《电能质量 三相电压不平衡》</w:t>
      </w:r>
      <w:r>
        <w:rPr>
          <w:rFonts w:hint="eastAsia" w:eastAsia="宋体"/>
          <w:bCs/>
          <w:color w:val="auto"/>
          <w:sz w:val="24"/>
          <w:szCs w:val="24"/>
          <w:highlight w:val="none"/>
          <w:lang w:eastAsia="zh-CN"/>
        </w:rPr>
        <w:t>（</w:t>
      </w:r>
      <w:r>
        <w:rPr>
          <w:bCs/>
          <w:color w:val="auto"/>
          <w:sz w:val="24"/>
          <w:szCs w:val="24"/>
          <w:highlight w:val="none"/>
        </w:rPr>
        <w:t>GB/T15543-2008</w:t>
      </w:r>
      <w:r>
        <w:rPr>
          <w:rFonts w:hint="eastAsia" w:eastAsia="宋体"/>
          <w:bCs/>
          <w:color w:val="auto"/>
          <w:sz w:val="24"/>
          <w:szCs w:val="24"/>
          <w:highlight w:val="none"/>
          <w:lang w:eastAsia="zh-CN"/>
        </w:rPr>
        <w:t>）</w:t>
      </w:r>
      <w:r>
        <w:rPr>
          <w:bCs/>
          <w:color w:val="auto"/>
          <w:sz w:val="24"/>
          <w:szCs w:val="24"/>
          <w:highlight w:val="none"/>
        </w:rPr>
        <w:t xml:space="preserve"> </w:t>
      </w:r>
    </w:p>
    <w:p w14:paraId="02D19DE8">
      <w:pPr>
        <w:numPr>
          <w:ilvl w:val="0"/>
          <w:numId w:val="4"/>
        </w:numPr>
        <w:spacing w:line="360" w:lineRule="auto"/>
        <w:rPr>
          <w:bCs/>
          <w:color w:val="auto"/>
          <w:sz w:val="24"/>
          <w:szCs w:val="24"/>
          <w:highlight w:val="none"/>
        </w:rPr>
      </w:pPr>
      <w:r>
        <w:rPr>
          <w:bCs/>
          <w:color w:val="auto"/>
          <w:sz w:val="24"/>
          <w:szCs w:val="24"/>
          <w:highlight w:val="none"/>
        </w:rPr>
        <w:t>《电能质量 供电电压偏差》</w:t>
      </w:r>
      <w:r>
        <w:rPr>
          <w:rFonts w:hint="eastAsia" w:eastAsia="宋体"/>
          <w:bCs/>
          <w:color w:val="auto"/>
          <w:sz w:val="24"/>
          <w:szCs w:val="24"/>
          <w:highlight w:val="none"/>
          <w:lang w:eastAsia="zh-CN"/>
        </w:rPr>
        <w:t>（</w:t>
      </w:r>
      <w:r>
        <w:rPr>
          <w:bCs/>
          <w:color w:val="auto"/>
          <w:sz w:val="24"/>
          <w:szCs w:val="24"/>
          <w:highlight w:val="none"/>
        </w:rPr>
        <w:t>GB/T12325-2008</w:t>
      </w:r>
      <w:r>
        <w:rPr>
          <w:rFonts w:hint="eastAsia" w:eastAsia="宋体"/>
          <w:bCs/>
          <w:color w:val="auto"/>
          <w:sz w:val="24"/>
          <w:szCs w:val="24"/>
          <w:highlight w:val="none"/>
          <w:lang w:eastAsia="zh-CN"/>
        </w:rPr>
        <w:t>）</w:t>
      </w:r>
      <w:r>
        <w:rPr>
          <w:bCs/>
          <w:color w:val="auto"/>
          <w:sz w:val="24"/>
          <w:szCs w:val="24"/>
          <w:highlight w:val="none"/>
        </w:rPr>
        <w:t xml:space="preserve"> </w:t>
      </w:r>
    </w:p>
    <w:p w14:paraId="3057FD3B">
      <w:pPr>
        <w:numPr>
          <w:ilvl w:val="0"/>
          <w:numId w:val="4"/>
        </w:numPr>
        <w:spacing w:line="360" w:lineRule="auto"/>
        <w:rPr>
          <w:bCs/>
          <w:color w:val="auto"/>
          <w:sz w:val="24"/>
          <w:szCs w:val="24"/>
          <w:highlight w:val="none"/>
        </w:rPr>
      </w:pPr>
      <w:r>
        <w:rPr>
          <w:bCs/>
          <w:color w:val="auto"/>
          <w:sz w:val="24"/>
          <w:szCs w:val="24"/>
          <w:highlight w:val="none"/>
        </w:rPr>
        <w:t>《电能质量电力系统频率偏差》</w:t>
      </w:r>
      <w:r>
        <w:rPr>
          <w:rFonts w:hint="eastAsia" w:eastAsia="宋体"/>
          <w:bCs/>
          <w:color w:val="auto"/>
          <w:sz w:val="24"/>
          <w:szCs w:val="24"/>
          <w:highlight w:val="none"/>
          <w:lang w:eastAsia="zh-CN"/>
        </w:rPr>
        <w:t>（</w:t>
      </w:r>
      <w:r>
        <w:rPr>
          <w:bCs/>
          <w:color w:val="auto"/>
          <w:sz w:val="24"/>
          <w:szCs w:val="24"/>
          <w:highlight w:val="none"/>
        </w:rPr>
        <w:t>GB/T15945-2008</w:t>
      </w:r>
      <w:r>
        <w:rPr>
          <w:rFonts w:hint="eastAsia" w:eastAsia="宋体"/>
          <w:bCs/>
          <w:color w:val="auto"/>
          <w:sz w:val="24"/>
          <w:szCs w:val="24"/>
          <w:highlight w:val="none"/>
          <w:lang w:eastAsia="zh-CN"/>
        </w:rPr>
        <w:t>）</w:t>
      </w:r>
    </w:p>
    <w:p w14:paraId="6631F22A">
      <w:pPr>
        <w:numPr>
          <w:ilvl w:val="0"/>
          <w:numId w:val="4"/>
        </w:numPr>
        <w:spacing w:line="360" w:lineRule="auto"/>
        <w:rPr>
          <w:bCs/>
          <w:color w:val="auto"/>
          <w:sz w:val="24"/>
          <w:szCs w:val="24"/>
          <w:highlight w:val="none"/>
        </w:rPr>
      </w:pPr>
      <w:r>
        <w:rPr>
          <w:bCs/>
          <w:color w:val="auto"/>
          <w:sz w:val="24"/>
          <w:szCs w:val="24"/>
          <w:highlight w:val="none"/>
        </w:rPr>
        <w:t>《屋面工程质量验收规范》GB 50207-2012</w:t>
      </w:r>
    </w:p>
    <w:p w14:paraId="35E4D0DA">
      <w:pPr>
        <w:numPr>
          <w:ilvl w:val="0"/>
          <w:numId w:val="4"/>
        </w:numPr>
        <w:spacing w:line="360" w:lineRule="auto"/>
        <w:rPr>
          <w:bCs/>
          <w:color w:val="auto"/>
          <w:sz w:val="24"/>
          <w:szCs w:val="24"/>
          <w:highlight w:val="none"/>
        </w:rPr>
      </w:pPr>
      <w:r>
        <w:rPr>
          <w:bCs/>
          <w:color w:val="auto"/>
          <w:sz w:val="24"/>
          <w:szCs w:val="24"/>
          <w:highlight w:val="none"/>
        </w:rPr>
        <w:t>《建筑电气工程施工质量验收规范》GB 50303-2015</w:t>
      </w:r>
    </w:p>
    <w:p w14:paraId="1CBD65E8">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561"/>
        <w:jc w:val="both"/>
        <w:textAlignment w:val="baseline"/>
        <w:rPr>
          <w:rFonts w:hint="eastAsia"/>
          <w:color w:val="auto"/>
          <w:sz w:val="24"/>
          <w:szCs w:val="24"/>
          <w:highlight w:val="none"/>
        </w:rPr>
        <w:sectPr>
          <w:footerReference r:id="rId12" w:type="default"/>
          <w:pgSz w:w="11906" w:h="16839"/>
          <w:pgMar w:top="1440" w:right="1166" w:bottom="1440" w:left="1080" w:header="0" w:footer="1023" w:gutter="0"/>
          <w:pgBorders>
            <w:top w:val="none" w:sz="0" w:space="0"/>
            <w:left w:val="none" w:sz="0" w:space="0"/>
            <w:bottom w:val="none" w:sz="0" w:space="0"/>
            <w:right w:val="none" w:sz="0" w:space="0"/>
          </w:pgBorders>
          <w:cols w:space="720" w:num="1"/>
        </w:sectPr>
      </w:pPr>
      <w:r>
        <w:rPr>
          <w:b/>
          <w:bCs/>
          <w:color w:val="auto"/>
          <w:sz w:val="24"/>
          <w:szCs w:val="24"/>
          <w:highlight w:val="none"/>
        </w:rPr>
        <w:t>1.2 中标人必须在施工现场准备至少一套上述规范，招标人和监理单位可随时检查中标人的上述规范，并监督中标人按规范要求执行。</w:t>
      </w:r>
    </w:p>
    <w:p w14:paraId="3D29FC41">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jc w:val="center"/>
        <w:outlineLvl w:val="0"/>
        <w:rPr>
          <w:rFonts w:hint="eastAsia" w:ascii="宋体" w:hAnsi="宋体" w:eastAsia="宋体" w:cs="宋体"/>
          <w:color w:val="auto"/>
          <w:sz w:val="24"/>
          <w:szCs w:val="24"/>
          <w:highlight w:val="none"/>
        </w:rPr>
      </w:pPr>
      <w:bookmarkStart w:id="180" w:name="bookmark146"/>
      <w:bookmarkEnd w:id="180"/>
      <w:bookmarkStart w:id="181" w:name="bookmark100"/>
      <w:bookmarkEnd w:id="181"/>
      <w:bookmarkStart w:id="182" w:name="_Toc23471"/>
      <w:r>
        <w:rPr>
          <w:rFonts w:hint="eastAsia" w:ascii="宋体" w:hAnsi="宋体" w:eastAsia="宋体" w:cs="宋体"/>
          <w:b/>
          <w:bCs/>
          <w:color w:val="auto"/>
          <w:spacing w:val="-5"/>
          <w:sz w:val="24"/>
          <w:szCs w:val="24"/>
          <w:highlight w:val="none"/>
        </w:rPr>
        <w:t>第五章</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5"/>
          <w:sz w:val="24"/>
          <w:szCs w:val="24"/>
          <w:highlight w:val="none"/>
        </w:rPr>
        <w:t>图纸和招标工程量清单</w:t>
      </w:r>
      <w:bookmarkEnd w:id="182"/>
    </w:p>
    <w:p w14:paraId="06808BF6">
      <w:pPr>
        <w:pStyle w:val="6"/>
        <w:keepNext w:val="0"/>
        <w:keepLines w:val="0"/>
        <w:pageBreakBefore w:val="0"/>
        <w:widowControl w:val="0"/>
        <w:kinsoku/>
        <w:wordWrap w:val="0"/>
        <w:overflowPunct/>
        <w:topLinePunct/>
        <w:autoSpaceDE/>
        <w:autoSpaceDN/>
        <w:bidi w:val="0"/>
        <w:adjustRightInd w:val="0"/>
        <w:snapToGrid w:val="0"/>
        <w:spacing w:line="283" w:lineRule="auto"/>
        <w:ind w:right="84" w:rightChars="40"/>
        <w:rPr>
          <w:rFonts w:hint="eastAsia" w:ascii="宋体" w:hAnsi="宋体" w:eastAsia="宋体" w:cs="宋体"/>
          <w:color w:val="auto"/>
          <w:highlight w:val="none"/>
        </w:rPr>
      </w:pPr>
    </w:p>
    <w:p w14:paraId="11F347B4">
      <w:pPr>
        <w:pStyle w:val="6"/>
        <w:keepNext w:val="0"/>
        <w:keepLines w:val="0"/>
        <w:pageBreakBefore w:val="0"/>
        <w:widowControl w:val="0"/>
        <w:kinsoku/>
        <w:wordWrap w:val="0"/>
        <w:overflowPunct/>
        <w:topLinePunct/>
        <w:autoSpaceDE/>
        <w:autoSpaceDN/>
        <w:bidi w:val="0"/>
        <w:adjustRightInd w:val="0"/>
        <w:snapToGrid w:val="0"/>
        <w:spacing w:line="284" w:lineRule="auto"/>
        <w:ind w:right="84" w:rightChars="40"/>
        <w:rPr>
          <w:rFonts w:hint="eastAsia" w:ascii="宋体" w:hAnsi="宋体" w:eastAsia="宋体" w:cs="宋体"/>
          <w:color w:val="auto"/>
          <w:highlight w:val="none"/>
        </w:rPr>
      </w:pPr>
    </w:p>
    <w:p w14:paraId="37D8ED3D">
      <w:pPr>
        <w:keepNext w:val="0"/>
        <w:keepLines w:val="0"/>
        <w:pageBreakBefore w:val="0"/>
        <w:widowControl w:val="0"/>
        <w:kinsoku/>
        <w:wordWrap w:val="0"/>
        <w:overflowPunct/>
        <w:topLinePunct/>
        <w:autoSpaceDE/>
        <w:autoSpaceDN/>
        <w:bidi w:val="0"/>
        <w:adjustRightInd w:val="0"/>
        <w:snapToGrid w:val="0"/>
        <w:spacing w:before="78" w:line="219" w:lineRule="auto"/>
        <w:ind w:left="106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 xml:space="preserve">□有，另附复印件         </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rPr>
        <w:t>有，自行网上下载</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rPr>
        <w:t>浏览</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rPr>
        <w:t xml:space="preserve">           □无</w:t>
      </w:r>
    </w:p>
    <w:p w14:paraId="7B85F4A2">
      <w:pPr>
        <w:pStyle w:val="6"/>
        <w:keepNext w:val="0"/>
        <w:keepLines w:val="0"/>
        <w:pageBreakBefore w:val="0"/>
        <w:widowControl w:val="0"/>
        <w:kinsoku/>
        <w:wordWrap w:val="0"/>
        <w:overflowPunct/>
        <w:topLinePunct/>
        <w:autoSpaceDE/>
        <w:autoSpaceDN/>
        <w:bidi w:val="0"/>
        <w:adjustRightInd w:val="0"/>
        <w:snapToGrid w:val="0"/>
        <w:spacing w:line="265" w:lineRule="auto"/>
        <w:ind w:right="84" w:rightChars="40"/>
        <w:rPr>
          <w:rFonts w:hint="eastAsia" w:ascii="宋体" w:hAnsi="宋体" w:eastAsia="宋体" w:cs="宋体"/>
          <w:color w:val="auto"/>
          <w:highlight w:val="none"/>
        </w:rPr>
      </w:pPr>
    </w:p>
    <w:p w14:paraId="34F71022">
      <w:pPr>
        <w:keepNext w:val="0"/>
        <w:keepLines w:val="0"/>
        <w:pageBreakBefore w:val="0"/>
        <w:widowControl w:val="0"/>
        <w:kinsoku/>
        <w:wordWrap w:val="0"/>
        <w:overflowPunct/>
        <w:topLinePunct/>
        <w:autoSpaceDE/>
        <w:autoSpaceDN/>
        <w:bidi w:val="0"/>
        <w:adjustRightInd w:val="0"/>
        <w:snapToGrid w:val="0"/>
        <w:spacing w:line="360" w:lineRule="auto"/>
        <w:ind w:left="715" w:right="84" w:rightChars="40"/>
        <w:textAlignment w:val="baseline"/>
        <w:outlineLvl w:val="2"/>
        <w:rPr>
          <w:rFonts w:hint="eastAsia" w:ascii="宋体" w:hAnsi="宋体" w:eastAsia="宋体" w:cs="宋体"/>
          <w:color w:val="auto"/>
          <w:sz w:val="24"/>
          <w:szCs w:val="24"/>
          <w:highlight w:val="none"/>
        </w:rPr>
      </w:pPr>
      <w:bookmarkStart w:id="183" w:name="_Toc24446"/>
      <w:bookmarkStart w:id="184" w:name="_Toc18677"/>
      <w:r>
        <w:rPr>
          <w:rFonts w:hint="eastAsia" w:ascii="宋体" w:hAnsi="宋体" w:eastAsia="宋体" w:cs="宋体"/>
          <w:b/>
          <w:bCs/>
          <w:color w:val="auto"/>
          <w:spacing w:val="-14"/>
          <w:sz w:val="24"/>
          <w:szCs w:val="24"/>
          <w:highlight w:val="none"/>
        </w:rPr>
        <w:t>1</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14"/>
          <w:sz w:val="24"/>
          <w:szCs w:val="24"/>
          <w:highlight w:val="none"/>
        </w:rPr>
        <w:t>．图纸</w:t>
      </w:r>
      <w:bookmarkEnd w:id="183"/>
      <w:bookmarkEnd w:id="184"/>
    </w:p>
    <w:p w14:paraId="64C8DCC8">
      <w:pPr>
        <w:keepNext w:val="0"/>
        <w:keepLines w:val="0"/>
        <w:pageBreakBefore w:val="0"/>
        <w:widowControl w:val="0"/>
        <w:kinsoku/>
        <w:wordWrap w:val="0"/>
        <w:overflowPunct/>
        <w:topLinePunct/>
        <w:autoSpaceDE/>
        <w:autoSpaceDN/>
        <w:bidi w:val="0"/>
        <w:adjustRightInd w:val="0"/>
        <w:snapToGrid w:val="0"/>
        <w:spacing w:line="360" w:lineRule="auto"/>
        <w:ind w:left="230" w:right="84" w:rightChars="40" w:firstLine="48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本招标文件随文另附施工图（电子文件）一套。</w:t>
      </w:r>
    </w:p>
    <w:p w14:paraId="4FBC3F09">
      <w:pPr>
        <w:pStyle w:val="6"/>
        <w:keepNext w:val="0"/>
        <w:keepLines w:val="0"/>
        <w:pageBreakBefore w:val="0"/>
        <w:widowControl w:val="0"/>
        <w:kinsoku/>
        <w:wordWrap w:val="0"/>
        <w:overflowPunct/>
        <w:topLinePunct/>
        <w:autoSpaceDE/>
        <w:autoSpaceDN/>
        <w:bidi w:val="0"/>
        <w:adjustRightInd w:val="0"/>
        <w:snapToGrid w:val="0"/>
        <w:spacing w:line="360" w:lineRule="auto"/>
        <w:ind w:right="84" w:rightChars="40"/>
        <w:textAlignment w:val="baseline"/>
        <w:rPr>
          <w:rFonts w:hint="eastAsia" w:ascii="宋体" w:hAnsi="宋体" w:eastAsia="宋体" w:cs="宋体"/>
          <w:color w:val="auto"/>
          <w:highlight w:val="none"/>
        </w:rPr>
      </w:pPr>
    </w:p>
    <w:p w14:paraId="2CCABE89">
      <w:pPr>
        <w:keepNext w:val="0"/>
        <w:keepLines w:val="0"/>
        <w:pageBreakBefore w:val="0"/>
        <w:widowControl w:val="0"/>
        <w:kinsoku/>
        <w:wordWrap w:val="0"/>
        <w:overflowPunct/>
        <w:topLinePunct/>
        <w:autoSpaceDE/>
        <w:autoSpaceDN/>
        <w:bidi w:val="0"/>
        <w:adjustRightInd w:val="0"/>
        <w:snapToGrid w:val="0"/>
        <w:spacing w:line="360" w:lineRule="auto"/>
        <w:ind w:left="705" w:right="84" w:rightChars="40"/>
        <w:textAlignment w:val="baseline"/>
        <w:outlineLvl w:val="2"/>
        <w:rPr>
          <w:rFonts w:hint="eastAsia" w:ascii="宋体" w:hAnsi="宋体" w:eastAsia="宋体" w:cs="宋体"/>
          <w:color w:val="auto"/>
          <w:sz w:val="24"/>
          <w:szCs w:val="24"/>
          <w:highlight w:val="none"/>
        </w:rPr>
      </w:pPr>
      <w:bookmarkStart w:id="185" w:name="_Toc9064"/>
      <w:bookmarkStart w:id="186" w:name="_Toc14947"/>
      <w:r>
        <w:rPr>
          <w:rFonts w:hint="eastAsia" w:ascii="宋体" w:hAnsi="宋体" w:eastAsia="宋体" w:cs="宋体"/>
          <w:b/>
          <w:bCs/>
          <w:color w:val="auto"/>
          <w:spacing w:val="-6"/>
          <w:sz w:val="24"/>
          <w:szCs w:val="24"/>
          <w:highlight w:val="none"/>
        </w:rPr>
        <w:t>2</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6"/>
          <w:sz w:val="24"/>
          <w:szCs w:val="24"/>
          <w:highlight w:val="none"/>
        </w:rPr>
        <w:t>．招标工程量清单</w:t>
      </w:r>
      <w:bookmarkEnd w:id="185"/>
      <w:bookmarkEnd w:id="186"/>
    </w:p>
    <w:p w14:paraId="1993B45D">
      <w:pPr>
        <w:keepNext w:val="0"/>
        <w:keepLines w:val="0"/>
        <w:pageBreakBefore w:val="0"/>
        <w:widowControl w:val="0"/>
        <w:kinsoku/>
        <w:wordWrap w:val="0"/>
        <w:overflowPunct/>
        <w:topLinePunct/>
        <w:autoSpaceDE/>
        <w:autoSpaceDN/>
        <w:bidi w:val="0"/>
        <w:adjustRightInd w:val="0"/>
        <w:snapToGrid w:val="0"/>
        <w:spacing w:line="360" w:lineRule="auto"/>
        <w:ind w:left="231"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2.1  </w:t>
      </w:r>
      <w:r>
        <w:rPr>
          <w:rFonts w:hint="eastAsia" w:ascii="宋体" w:hAnsi="宋体" w:eastAsia="宋体" w:cs="宋体"/>
          <w:color w:val="auto"/>
          <w:spacing w:val="-3"/>
          <w:sz w:val="24"/>
          <w:szCs w:val="24"/>
          <w:highlight w:val="none"/>
        </w:rPr>
        <w:t>本招标文件随文另附</w:t>
      </w:r>
      <w:bookmarkStart w:id="187" w:name="OLE_LINK33"/>
      <w:r>
        <w:rPr>
          <w:rFonts w:hint="eastAsia" w:ascii="宋体" w:hAnsi="宋体" w:eastAsia="宋体" w:cs="宋体"/>
          <w:color w:val="auto"/>
          <w:spacing w:val="-3"/>
          <w:sz w:val="24"/>
          <w:szCs w:val="24"/>
          <w:highlight w:val="none"/>
          <w:u w:val="single"/>
        </w:rPr>
        <w:t>招标工程量清单  EXCEL 版</w:t>
      </w:r>
      <w:bookmarkEnd w:id="187"/>
      <w:r>
        <w:rPr>
          <w:rFonts w:hint="eastAsia" w:ascii="宋体" w:hAnsi="宋体" w:eastAsia="宋体" w:cs="宋体"/>
          <w:color w:val="auto"/>
          <w:spacing w:val="37"/>
          <w:sz w:val="24"/>
          <w:szCs w:val="24"/>
          <w:highlight w:val="none"/>
          <w:u w:val="single"/>
        </w:rPr>
        <w:t xml:space="preserve"> </w:t>
      </w:r>
      <w:r>
        <w:rPr>
          <w:rFonts w:hint="eastAsia" w:ascii="宋体" w:hAnsi="宋体" w:eastAsia="宋体" w:cs="宋体"/>
          <w:color w:val="auto"/>
          <w:spacing w:val="-3"/>
          <w:sz w:val="24"/>
          <w:szCs w:val="24"/>
          <w:highlight w:val="none"/>
        </w:rPr>
        <w:t>电子文件一套。</w:t>
      </w:r>
    </w:p>
    <w:p w14:paraId="5099F6CB">
      <w:pPr>
        <w:keepNext w:val="0"/>
        <w:keepLines w:val="0"/>
        <w:pageBreakBefore w:val="0"/>
        <w:widowControl w:val="0"/>
        <w:kinsoku/>
        <w:wordWrap w:val="0"/>
        <w:overflowPunct/>
        <w:topLinePunct/>
        <w:autoSpaceDE/>
        <w:autoSpaceDN/>
        <w:bidi w:val="0"/>
        <w:adjustRightInd w:val="0"/>
        <w:snapToGrid w:val="0"/>
        <w:spacing w:line="360" w:lineRule="auto"/>
        <w:ind w:left="478" w:right="84" w:rightChars="40" w:firstLine="239" w:firstLineChars="100"/>
        <w:textAlignment w:val="baseline"/>
        <w:rPr>
          <w:rFonts w:hint="eastAsia" w:ascii="宋体" w:hAnsi="宋体" w:eastAsia="宋体" w:cs="宋体"/>
          <w:color w:val="auto"/>
          <w:sz w:val="24"/>
          <w:szCs w:val="24"/>
          <w:highlight w:val="none"/>
        </w:rPr>
      </w:pPr>
      <w:bookmarkStart w:id="188" w:name="bookmark147"/>
      <w:bookmarkEnd w:id="188"/>
      <w:r>
        <w:rPr>
          <w:rFonts w:hint="eastAsia" w:ascii="宋体" w:hAnsi="宋体" w:eastAsia="宋体" w:cs="宋体"/>
          <w:b/>
          <w:bCs/>
          <w:color w:val="auto"/>
          <w:spacing w:val="-1"/>
          <w:sz w:val="24"/>
          <w:szCs w:val="24"/>
          <w:highlight w:val="none"/>
        </w:rPr>
        <w:t xml:space="preserve">2.2  </w:t>
      </w:r>
      <w:r>
        <w:rPr>
          <w:rFonts w:hint="eastAsia" w:ascii="宋体" w:hAnsi="宋体" w:eastAsia="宋体" w:cs="宋体"/>
          <w:color w:val="auto"/>
          <w:spacing w:val="-1"/>
          <w:sz w:val="24"/>
          <w:szCs w:val="24"/>
          <w:highlight w:val="none"/>
        </w:rPr>
        <w:t>本工程按照以下依据编制</w:t>
      </w:r>
      <w:r>
        <w:rPr>
          <w:rFonts w:hint="eastAsia" w:ascii="宋体" w:hAnsi="宋体" w:eastAsia="宋体" w:cs="宋体"/>
          <w:color w:val="auto"/>
          <w:spacing w:val="-1"/>
          <w:sz w:val="24"/>
          <w:szCs w:val="24"/>
          <w:highlight w:val="none"/>
          <w:u w:val="single"/>
        </w:rPr>
        <w:t>招标工程量清单</w:t>
      </w:r>
      <w:r>
        <w:rPr>
          <w:rFonts w:hint="eastAsia" w:ascii="宋体" w:hAnsi="宋体" w:eastAsia="宋体" w:cs="宋体"/>
          <w:color w:val="auto"/>
          <w:spacing w:val="-1"/>
          <w:sz w:val="24"/>
          <w:szCs w:val="24"/>
          <w:highlight w:val="none"/>
        </w:rPr>
        <w:t>：</w:t>
      </w:r>
    </w:p>
    <w:p w14:paraId="1E9BA20A">
      <w:pPr>
        <w:keepNext w:val="0"/>
        <w:keepLines w:val="0"/>
        <w:pageBreakBefore w:val="0"/>
        <w:widowControl w:val="0"/>
        <w:kinsoku/>
        <w:wordWrap w:val="0"/>
        <w:overflowPunct/>
        <w:topLinePunct/>
        <w:autoSpaceDE/>
        <w:autoSpaceDN/>
        <w:bidi w:val="0"/>
        <w:adjustRightInd w:val="0"/>
        <w:snapToGrid w:val="0"/>
        <w:spacing w:line="360" w:lineRule="auto"/>
        <w:ind w:left="49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color w:val="auto"/>
          <w:spacing w:val="-1"/>
          <w:sz w:val="24"/>
          <w:szCs w:val="24"/>
          <w:highlight w:val="none"/>
          <w:lang w:eastAsia="zh-CN"/>
        </w:rPr>
        <w:t>《建设工程工程量清单计价标准》（GB/T50500-2024）</w:t>
      </w:r>
      <w:r>
        <w:rPr>
          <w:rFonts w:hint="eastAsia" w:ascii="宋体" w:hAnsi="宋体" w:eastAsia="宋体" w:cs="宋体"/>
          <w:color w:val="auto"/>
          <w:spacing w:val="4"/>
          <w:sz w:val="24"/>
          <w:szCs w:val="24"/>
          <w:highlight w:val="none"/>
        </w:rPr>
        <w:t>；</w:t>
      </w:r>
    </w:p>
    <w:p w14:paraId="1E469E2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（2）投标人应对招标人提供的工程量清单进行认真细致的复核。这种复核包括对</w:t>
      </w:r>
      <w:r>
        <w:rPr>
          <w:rFonts w:hint="eastAsia" w:ascii="宋体" w:hAnsi="宋体" w:eastAsia="宋体" w:cs="宋体"/>
          <w:color w:val="auto"/>
          <w:spacing w:val="-1"/>
          <w:sz w:val="24"/>
          <w:szCs w:val="24"/>
          <w:highlight w:val="none"/>
        </w:rPr>
        <w:t>招标人提供的工程量清单中的子目编码、子目名称、子</w:t>
      </w:r>
      <w:r>
        <w:rPr>
          <w:rFonts w:hint="eastAsia" w:ascii="宋体" w:hAnsi="宋体" w:eastAsia="宋体" w:cs="宋体"/>
          <w:color w:val="auto"/>
          <w:spacing w:val="-2"/>
          <w:sz w:val="24"/>
          <w:szCs w:val="24"/>
          <w:highlight w:val="none"/>
        </w:rPr>
        <w:t>目特征描述、计量单位、工程量</w:t>
      </w:r>
      <w:r>
        <w:rPr>
          <w:rFonts w:hint="eastAsia" w:ascii="宋体" w:hAnsi="宋体" w:eastAsia="宋体" w:cs="宋体"/>
          <w:color w:val="auto"/>
          <w:spacing w:val="-1"/>
          <w:sz w:val="24"/>
          <w:szCs w:val="24"/>
          <w:highlight w:val="none"/>
        </w:rPr>
        <w:t>的准确性以及可能存在的任何书写、打印错误进行检查</w:t>
      </w:r>
      <w:r>
        <w:rPr>
          <w:rFonts w:hint="eastAsia" w:ascii="宋体" w:hAnsi="宋体" w:eastAsia="宋体" w:cs="宋体"/>
          <w:color w:val="auto"/>
          <w:spacing w:val="-2"/>
          <w:sz w:val="24"/>
          <w:szCs w:val="24"/>
          <w:highlight w:val="none"/>
        </w:rPr>
        <w:t>和复核，特别是对“分部分项工</w:t>
      </w:r>
      <w:r>
        <w:rPr>
          <w:rFonts w:hint="eastAsia" w:ascii="宋体" w:hAnsi="宋体" w:eastAsia="宋体" w:cs="宋体"/>
          <w:color w:val="auto"/>
          <w:spacing w:val="-1"/>
          <w:sz w:val="24"/>
          <w:szCs w:val="24"/>
          <w:highlight w:val="none"/>
        </w:rPr>
        <w:t>程量清单与计价表”中每个工作子目的工程量进</w:t>
      </w:r>
      <w:r>
        <w:rPr>
          <w:rFonts w:hint="eastAsia" w:ascii="宋体" w:hAnsi="宋体" w:eastAsia="宋体" w:cs="宋体"/>
          <w:color w:val="auto"/>
          <w:spacing w:val="-2"/>
          <w:sz w:val="24"/>
          <w:szCs w:val="24"/>
          <w:highlight w:val="none"/>
        </w:rPr>
        <w:t>行重新计算和校核。如果投标人</w:t>
      </w:r>
      <w:r>
        <w:rPr>
          <w:rFonts w:hint="eastAsia" w:ascii="宋体" w:hAnsi="宋体" w:eastAsia="宋体" w:cs="宋体"/>
          <w:color w:val="auto"/>
          <w:spacing w:val="-2"/>
          <w:sz w:val="24"/>
          <w:szCs w:val="24"/>
          <w:highlight w:val="none"/>
          <w:lang w:eastAsia="zh-CN"/>
        </w:rPr>
        <w:t>经过检查和复核</w:t>
      </w:r>
      <w:r>
        <w:rPr>
          <w:rFonts w:hint="eastAsia" w:ascii="宋体" w:hAnsi="宋体" w:eastAsia="宋体" w:cs="宋体"/>
          <w:color w:val="auto"/>
          <w:spacing w:val="-1"/>
          <w:sz w:val="24"/>
          <w:szCs w:val="24"/>
          <w:highlight w:val="none"/>
        </w:rPr>
        <w:t>认为招标人提供的工程量清单存在</w:t>
      </w:r>
      <w:r>
        <w:rPr>
          <w:rFonts w:hint="eastAsia" w:ascii="宋体" w:hAnsi="宋体" w:eastAsia="宋体" w:cs="宋体"/>
          <w:color w:val="auto"/>
          <w:spacing w:val="-2"/>
          <w:sz w:val="24"/>
          <w:szCs w:val="24"/>
          <w:highlight w:val="none"/>
        </w:rPr>
        <w:t>差异，则投标人应将此类差异的详细情</w:t>
      </w:r>
      <w:r>
        <w:rPr>
          <w:rFonts w:hint="eastAsia" w:ascii="宋体" w:hAnsi="宋体" w:eastAsia="宋体" w:cs="宋体"/>
          <w:color w:val="auto"/>
          <w:spacing w:val="-8"/>
          <w:sz w:val="24"/>
          <w:szCs w:val="24"/>
          <w:highlight w:val="none"/>
        </w:rPr>
        <w:t>况连同按“投标须知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8"/>
          <w:sz w:val="24"/>
          <w:szCs w:val="24"/>
          <w:highlight w:val="none"/>
        </w:rPr>
        <w:t>”规定提交的要求招标人澄清的其他</w:t>
      </w:r>
      <w:r>
        <w:rPr>
          <w:rFonts w:hint="eastAsia" w:ascii="宋体" w:hAnsi="宋体" w:eastAsia="宋体" w:cs="宋体"/>
          <w:color w:val="auto"/>
          <w:spacing w:val="-9"/>
          <w:sz w:val="24"/>
          <w:szCs w:val="24"/>
          <w:highlight w:val="none"/>
        </w:rPr>
        <w:t>问题一起提交给招标人，招标人</w:t>
      </w:r>
      <w:r>
        <w:rPr>
          <w:rFonts w:hint="eastAsia" w:ascii="宋体" w:hAnsi="宋体" w:eastAsia="宋体" w:cs="宋体"/>
          <w:color w:val="auto"/>
          <w:spacing w:val="-2"/>
          <w:sz w:val="24"/>
          <w:szCs w:val="24"/>
          <w:highlight w:val="none"/>
        </w:rPr>
        <w:t>将根据实际情况决定是否颁发</w:t>
      </w:r>
      <w:r>
        <w:rPr>
          <w:rFonts w:hint="eastAsia" w:ascii="宋体" w:hAnsi="宋体" w:eastAsia="宋体" w:cs="宋体"/>
          <w:color w:val="auto"/>
          <w:spacing w:val="-2"/>
          <w:sz w:val="24"/>
          <w:szCs w:val="24"/>
          <w:highlight w:val="none"/>
          <w:u w:val="single"/>
        </w:rPr>
        <w:t>工程量清单、</w:t>
      </w:r>
      <w:r>
        <w:rPr>
          <w:rFonts w:hint="eastAsia" w:ascii="宋体" w:hAnsi="宋体" w:eastAsia="宋体" w:cs="宋体"/>
          <w:color w:val="auto"/>
          <w:spacing w:val="-8"/>
          <w:sz w:val="24"/>
          <w:szCs w:val="24"/>
          <w:highlight w:val="none"/>
          <w:u w:val="single"/>
          <w:lang w:val="en-US" w:eastAsia="zh-CN"/>
        </w:rPr>
        <w:t>最高投标限价</w:t>
      </w:r>
      <w:r>
        <w:rPr>
          <w:rFonts w:hint="eastAsia" w:ascii="宋体" w:hAnsi="宋体" w:eastAsia="宋体" w:cs="宋体"/>
          <w:color w:val="auto"/>
          <w:spacing w:val="-8"/>
          <w:sz w:val="24"/>
          <w:szCs w:val="24"/>
          <w:highlight w:val="none"/>
        </w:rPr>
        <w:t>的</w:t>
      </w:r>
      <w:r>
        <w:rPr>
          <w:rFonts w:hint="eastAsia" w:ascii="宋体" w:hAnsi="宋体" w:eastAsia="宋体" w:cs="宋体"/>
          <w:color w:val="auto"/>
          <w:spacing w:val="-2"/>
          <w:sz w:val="24"/>
          <w:szCs w:val="24"/>
          <w:highlight w:val="none"/>
        </w:rPr>
        <w:t>补充和</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或</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修改文件。</w:t>
      </w:r>
    </w:p>
    <w:p w14:paraId="5C12A997">
      <w:pPr>
        <w:keepNext w:val="0"/>
        <w:keepLines w:val="0"/>
        <w:pageBreakBefore w:val="0"/>
        <w:widowControl w:val="0"/>
        <w:kinsoku/>
        <w:wordWrap w:val="0"/>
        <w:overflowPunct/>
        <w:topLinePunct/>
        <w:autoSpaceDE/>
        <w:autoSpaceDN/>
        <w:bidi w:val="0"/>
        <w:adjustRightInd w:val="0"/>
        <w:snapToGrid w:val="0"/>
        <w:spacing w:line="360" w:lineRule="auto"/>
        <w:ind w:left="2" w:right="84" w:rightChars="40" w:firstLine="48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（3）本招标工程量清单措施项目中的</w:t>
      </w:r>
      <w:r>
        <w:rPr>
          <w:rFonts w:hint="eastAsia" w:ascii="宋体" w:hAnsi="宋体" w:eastAsia="宋体" w:cs="宋体"/>
          <w:b/>
          <w:bCs/>
          <w:color w:val="auto"/>
          <w:spacing w:val="-6"/>
          <w:sz w:val="24"/>
          <w:szCs w:val="24"/>
          <w:highlight w:val="none"/>
          <w:u w:val="single"/>
        </w:rPr>
        <w:t>暂列金额、暂估价</w:t>
      </w:r>
      <w:r>
        <w:rPr>
          <w:rFonts w:hint="eastAsia" w:ascii="宋体" w:hAnsi="宋体" w:eastAsia="宋体" w:cs="宋体"/>
          <w:color w:val="auto"/>
          <w:spacing w:val="-2"/>
          <w:sz w:val="24"/>
          <w:szCs w:val="24"/>
          <w:highlight w:val="none"/>
        </w:rPr>
        <w:t>不得作为竞争性费用，投标报价必须按本招标工程量清</w:t>
      </w:r>
      <w:r>
        <w:rPr>
          <w:rFonts w:hint="eastAsia" w:ascii="宋体" w:hAnsi="宋体" w:eastAsia="宋体" w:cs="宋体"/>
          <w:color w:val="auto"/>
          <w:spacing w:val="-3"/>
          <w:sz w:val="24"/>
          <w:szCs w:val="24"/>
          <w:highlight w:val="none"/>
        </w:rPr>
        <w:t>单规定</w:t>
      </w:r>
      <w:r>
        <w:rPr>
          <w:rFonts w:hint="eastAsia" w:ascii="宋体" w:hAnsi="宋体" w:eastAsia="宋体" w:cs="宋体"/>
          <w:color w:val="auto"/>
          <w:spacing w:val="-2"/>
          <w:sz w:val="24"/>
          <w:szCs w:val="24"/>
          <w:highlight w:val="none"/>
        </w:rPr>
        <w:t>的金额填</w:t>
      </w:r>
      <w:r>
        <w:rPr>
          <w:rFonts w:hint="eastAsia" w:ascii="宋体" w:hAnsi="宋体" w:eastAsia="宋体" w:cs="宋体"/>
          <w:color w:val="auto"/>
          <w:spacing w:val="-3"/>
          <w:sz w:val="24"/>
          <w:szCs w:val="24"/>
          <w:highlight w:val="none"/>
        </w:rPr>
        <w:t>报。</w:t>
      </w:r>
    </w:p>
    <w:p w14:paraId="1EAD2758">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w:t>
      </w:r>
      <w:r>
        <w:rPr>
          <w:rFonts w:hint="eastAsia" w:ascii="宋体" w:hAnsi="宋体" w:eastAsia="宋体" w:cs="宋体"/>
          <w:color w:val="auto"/>
          <w:spacing w:val="0"/>
          <w:sz w:val="24"/>
          <w:szCs w:val="24"/>
          <w:highlight w:val="none"/>
        </w:rPr>
        <w:t>投标报价使用的表格格式须按照《</w:t>
      </w:r>
      <w:r>
        <w:rPr>
          <w:rFonts w:hint="eastAsia" w:ascii="宋体" w:hAnsi="宋体" w:eastAsia="宋体" w:cs="宋体"/>
          <w:color w:val="auto"/>
          <w:spacing w:val="0"/>
          <w:sz w:val="24"/>
          <w:szCs w:val="24"/>
          <w:highlight w:val="none"/>
          <w:lang w:eastAsia="zh-CN"/>
        </w:rPr>
        <w:t>建设工程工程量清单计价标准</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eastAsia="zh-CN"/>
        </w:rPr>
        <w:t>GB/T50500-2024</w:t>
      </w:r>
      <w:r>
        <w:rPr>
          <w:rFonts w:hint="eastAsia" w:ascii="宋体" w:hAnsi="宋体" w:eastAsia="宋体" w:cs="宋体"/>
          <w:color w:val="auto"/>
          <w:spacing w:val="0"/>
          <w:sz w:val="24"/>
          <w:szCs w:val="24"/>
          <w:highlight w:val="none"/>
        </w:rPr>
        <w:t>）。</w:t>
      </w:r>
    </w:p>
    <w:p w14:paraId="7AA2D226">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（5）《广东省建设工程计价依据（2018）》。具体包括：《广东省房屋建筑与装</w:t>
      </w:r>
      <w:r>
        <w:rPr>
          <w:rFonts w:hint="eastAsia" w:ascii="宋体" w:hAnsi="宋体" w:eastAsia="宋体" w:cs="宋体"/>
          <w:color w:val="auto"/>
          <w:spacing w:val="-1"/>
          <w:sz w:val="24"/>
          <w:szCs w:val="24"/>
          <w:highlight w:val="none"/>
        </w:rPr>
        <w:t>饰工程综合定额（2018）》《广东省市政工程综合定额</w:t>
      </w:r>
      <w:r>
        <w:rPr>
          <w:rFonts w:hint="eastAsia" w:ascii="宋体" w:hAnsi="宋体" w:eastAsia="宋体" w:cs="宋体"/>
          <w:color w:val="auto"/>
          <w:spacing w:val="-2"/>
          <w:sz w:val="24"/>
          <w:szCs w:val="24"/>
          <w:highlight w:val="none"/>
        </w:rPr>
        <w:t>（2018）》《广东省通用安装工</w:t>
      </w:r>
      <w:r>
        <w:rPr>
          <w:rFonts w:hint="eastAsia" w:ascii="宋体" w:hAnsi="宋体" w:eastAsia="宋体" w:cs="宋体"/>
          <w:color w:val="auto"/>
          <w:spacing w:val="-1"/>
          <w:sz w:val="24"/>
          <w:szCs w:val="24"/>
          <w:highlight w:val="none"/>
        </w:rPr>
        <w:t>程综合定额（</w:t>
      </w:r>
      <w:r>
        <w:rPr>
          <w:rFonts w:hint="eastAsia" w:ascii="宋体" w:hAnsi="宋体" w:eastAsia="宋体" w:cs="宋体"/>
          <w:color w:val="auto"/>
          <w:spacing w:val="0"/>
          <w:sz w:val="24"/>
          <w:szCs w:val="24"/>
          <w:highlight w:val="none"/>
        </w:rPr>
        <w:t>2018</w:t>
      </w:r>
      <w:r>
        <w:rPr>
          <w:rFonts w:hint="eastAsia" w:ascii="宋体" w:hAnsi="宋体" w:eastAsia="宋体" w:cs="宋体"/>
          <w:color w:val="auto"/>
          <w:spacing w:val="-1"/>
          <w:sz w:val="24"/>
          <w:szCs w:val="24"/>
          <w:highlight w:val="none"/>
        </w:rPr>
        <w:t>）》《广东省园林绿化工程综合定额</w:t>
      </w:r>
      <w:r>
        <w:rPr>
          <w:rFonts w:hint="eastAsia" w:ascii="宋体" w:hAnsi="宋体" w:eastAsia="宋体" w:cs="宋体"/>
          <w:color w:val="auto"/>
          <w:spacing w:val="-2"/>
          <w:sz w:val="24"/>
          <w:szCs w:val="24"/>
          <w:highlight w:val="none"/>
        </w:rPr>
        <w:t>（2018）》《广东省建设工程施</w:t>
      </w:r>
      <w:r>
        <w:rPr>
          <w:rFonts w:hint="eastAsia" w:ascii="宋体" w:hAnsi="宋体" w:eastAsia="宋体" w:cs="宋体"/>
          <w:color w:val="auto"/>
          <w:spacing w:val="-1"/>
          <w:sz w:val="24"/>
          <w:szCs w:val="24"/>
          <w:highlight w:val="none"/>
        </w:rPr>
        <w:t>工机具台班费用编制规则（2018）》等；</w:t>
      </w:r>
    </w:p>
    <w:p w14:paraId="285AC763">
      <w:pPr>
        <w:keepNext w:val="0"/>
        <w:keepLines w:val="0"/>
        <w:pageBreakBefore w:val="0"/>
        <w:widowControl w:val="0"/>
        <w:kinsoku/>
        <w:wordWrap w:val="0"/>
        <w:overflowPunct/>
        <w:topLinePunct/>
        <w:autoSpaceDE/>
        <w:autoSpaceDN/>
        <w:bidi w:val="0"/>
        <w:adjustRightInd w:val="0"/>
        <w:snapToGrid w:val="0"/>
        <w:spacing w:line="360" w:lineRule="auto"/>
        <w:ind w:left="49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（6）施工图及相关资料；</w:t>
      </w:r>
    </w:p>
    <w:p w14:paraId="10D78A2A">
      <w:pPr>
        <w:keepNext w:val="0"/>
        <w:keepLines w:val="0"/>
        <w:pageBreakBefore w:val="0"/>
        <w:widowControl w:val="0"/>
        <w:kinsoku/>
        <w:wordWrap w:val="0"/>
        <w:overflowPunct/>
        <w:topLinePunct/>
        <w:autoSpaceDE/>
        <w:autoSpaceDN/>
        <w:bidi w:val="0"/>
        <w:adjustRightInd w:val="0"/>
        <w:snapToGrid w:val="0"/>
        <w:spacing w:line="360" w:lineRule="auto"/>
        <w:ind w:left="49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（7）招标文件；</w:t>
      </w:r>
    </w:p>
    <w:p w14:paraId="1179689E">
      <w:pPr>
        <w:keepNext w:val="0"/>
        <w:keepLines w:val="0"/>
        <w:pageBreakBefore w:val="0"/>
        <w:widowControl w:val="0"/>
        <w:kinsoku/>
        <w:wordWrap w:val="0"/>
        <w:overflowPunct/>
        <w:topLinePunct/>
        <w:autoSpaceDE/>
        <w:autoSpaceDN/>
        <w:bidi w:val="0"/>
        <w:adjustRightInd w:val="0"/>
        <w:snapToGrid w:val="0"/>
        <w:spacing w:line="360" w:lineRule="auto"/>
        <w:ind w:left="49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（8）施工现场情况、地勘水文资料、工程特点及常规施工方案；</w:t>
      </w:r>
    </w:p>
    <w:p w14:paraId="04D89882">
      <w:pPr>
        <w:keepNext w:val="0"/>
        <w:keepLines w:val="0"/>
        <w:pageBreakBefore w:val="0"/>
        <w:widowControl w:val="0"/>
        <w:kinsoku/>
        <w:wordWrap w:val="0"/>
        <w:overflowPunct/>
        <w:topLinePunct/>
        <w:autoSpaceDE/>
        <w:autoSpaceDN/>
        <w:bidi w:val="0"/>
        <w:adjustRightInd w:val="0"/>
        <w:snapToGrid w:val="0"/>
        <w:spacing w:line="360" w:lineRule="auto"/>
        <w:ind w:left="49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（9）与建设工程有关的标准、规范、技术资料、材料设备信息价或市场价格等</w:t>
      </w:r>
      <w:r>
        <w:rPr>
          <w:rFonts w:hint="eastAsia" w:ascii="宋体" w:hAnsi="宋体" w:eastAsia="宋体" w:cs="宋体"/>
          <w:color w:val="auto"/>
          <w:spacing w:val="-2"/>
          <w:sz w:val="24"/>
          <w:szCs w:val="24"/>
          <w:highlight w:val="none"/>
        </w:rPr>
        <w:t>。</w:t>
      </w:r>
    </w:p>
    <w:p w14:paraId="47F50304">
      <w:pPr>
        <w:keepNext w:val="0"/>
        <w:keepLines w:val="0"/>
        <w:pageBreakBefore w:val="0"/>
        <w:widowControl w:val="0"/>
        <w:kinsoku/>
        <w:wordWrap w:val="0"/>
        <w:overflowPunct/>
        <w:topLinePunct/>
        <w:autoSpaceDE/>
        <w:autoSpaceDN/>
        <w:bidi w:val="0"/>
        <w:adjustRightInd w:val="0"/>
        <w:snapToGrid w:val="0"/>
        <w:spacing w:line="360" w:lineRule="auto"/>
        <w:ind w:left="705" w:right="84" w:rightChars="40"/>
        <w:textAlignment w:val="baseline"/>
        <w:outlineLvl w:val="2"/>
        <w:rPr>
          <w:rFonts w:hint="default" w:ascii="宋体" w:hAnsi="宋体" w:eastAsia="宋体" w:cs="宋体"/>
          <w:b/>
          <w:bCs/>
          <w:color w:val="auto"/>
          <w:spacing w:val="-6"/>
          <w:sz w:val="24"/>
          <w:szCs w:val="24"/>
          <w:highlight w:val="none"/>
          <w:lang w:val="en-US" w:eastAsia="zh-CN"/>
        </w:rPr>
      </w:pPr>
      <w:bookmarkStart w:id="189" w:name="_Toc31627"/>
      <w:r>
        <w:rPr>
          <w:rFonts w:hint="eastAsia" w:ascii="宋体" w:hAnsi="宋体" w:eastAsia="宋体" w:cs="宋体"/>
          <w:b/>
          <w:bCs/>
          <w:color w:val="auto"/>
          <w:spacing w:val="-6"/>
          <w:sz w:val="24"/>
          <w:szCs w:val="24"/>
          <w:highlight w:val="none"/>
          <w:lang w:val="en-US" w:eastAsia="zh-CN"/>
        </w:rPr>
        <w:t>3.甲供主材设备清单</w:t>
      </w:r>
      <w:bookmarkEnd w:id="189"/>
    </w:p>
    <w:tbl>
      <w:tblPr>
        <w:tblStyle w:val="15"/>
        <w:tblW w:w="927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0"/>
        <w:gridCol w:w="1884"/>
        <w:gridCol w:w="2504"/>
        <w:gridCol w:w="1640"/>
        <w:gridCol w:w="473"/>
        <w:gridCol w:w="669"/>
        <w:gridCol w:w="1658"/>
      </w:tblGrid>
      <w:tr w14:paraId="093FE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7"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625B9C8D">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序号</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5A1566D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名</w:t>
            </w:r>
            <w:r>
              <w:rPr>
                <w:rStyle w:val="48"/>
                <w:rFonts w:hint="eastAsia" w:asciiTheme="minorEastAsia" w:hAnsiTheme="minorEastAsia" w:eastAsiaTheme="minorEastAsia" w:cstheme="minorEastAsia"/>
                <w:color w:val="auto"/>
                <w:sz w:val="18"/>
                <w:szCs w:val="18"/>
                <w:highlight w:val="none"/>
                <w:lang w:val="en-US" w:eastAsia="zh-CN" w:bidi="ar"/>
              </w:rPr>
              <w:t xml:space="preserve">    </w:t>
            </w:r>
            <w:r>
              <w:rPr>
                <w:rStyle w:val="44"/>
                <w:rFonts w:hint="eastAsia" w:asciiTheme="minorEastAsia" w:hAnsiTheme="minorEastAsia" w:eastAsiaTheme="minorEastAsia" w:cstheme="minorEastAsia"/>
                <w:color w:val="auto"/>
                <w:sz w:val="18"/>
                <w:szCs w:val="18"/>
                <w:highlight w:val="none"/>
                <w:lang w:val="en-US" w:eastAsia="zh-CN" w:bidi="ar"/>
              </w:rPr>
              <w:t>称</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2A2A126C">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规</w:t>
            </w:r>
            <w:r>
              <w:rPr>
                <w:rStyle w:val="48"/>
                <w:rFonts w:hint="eastAsia" w:asciiTheme="minorEastAsia" w:hAnsiTheme="minorEastAsia" w:eastAsiaTheme="minorEastAsia" w:cstheme="minorEastAsia"/>
                <w:color w:val="auto"/>
                <w:sz w:val="18"/>
                <w:szCs w:val="18"/>
                <w:highlight w:val="none"/>
                <w:lang w:val="en-US" w:eastAsia="zh-CN" w:bidi="ar"/>
              </w:rPr>
              <w:t xml:space="preserve">    </w:t>
            </w:r>
            <w:r>
              <w:rPr>
                <w:rStyle w:val="44"/>
                <w:rFonts w:hint="eastAsia" w:asciiTheme="minorEastAsia" w:hAnsiTheme="minorEastAsia" w:eastAsiaTheme="minorEastAsia" w:cstheme="minorEastAsia"/>
                <w:color w:val="auto"/>
                <w:sz w:val="18"/>
                <w:szCs w:val="18"/>
                <w:highlight w:val="none"/>
                <w:lang w:val="en-US" w:eastAsia="zh-CN" w:bidi="ar"/>
              </w:rPr>
              <w:t>格</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4D82896A">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材</w:t>
            </w:r>
            <w:r>
              <w:rPr>
                <w:rStyle w:val="48"/>
                <w:rFonts w:hint="eastAsia" w:asciiTheme="minorEastAsia" w:hAnsiTheme="minorEastAsia" w:eastAsiaTheme="minorEastAsia" w:cstheme="minorEastAsia"/>
                <w:color w:val="auto"/>
                <w:sz w:val="18"/>
                <w:szCs w:val="18"/>
                <w:highlight w:val="none"/>
                <w:lang w:val="en-US" w:eastAsia="zh-CN" w:bidi="ar"/>
              </w:rPr>
              <w:t xml:space="preserve">  </w:t>
            </w:r>
            <w:r>
              <w:rPr>
                <w:rStyle w:val="44"/>
                <w:rFonts w:hint="eastAsia" w:asciiTheme="minorEastAsia" w:hAnsiTheme="minorEastAsia" w:eastAsiaTheme="minorEastAsia" w:cstheme="minorEastAsia"/>
                <w:color w:val="auto"/>
                <w:sz w:val="18"/>
                <w:szCs w:val="18"/>
                <w:highlight w:val="none"/>
                <w:lang w:val="en-US" w:eastAsia="zh-CN" w:bidi="ar"/>
              </w:rPr>
              <w:t>料</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256F7A21">
            <w:pPr>
              <w:keepNext w:val="0"/>
              <w:keepLines w:val="0"/>
              <w:pageBreakBefore w:val="0"/>
              <w:widowControl/>
              <w:suppressLineNumbers w:val="0"/>
              <w:kinsoku/>
              <w:wordWrap w:val="0"/>
              <w:overflowPunct/>
              <w:topLinePunct/>
              <w:bidi w:val="0"/>
              <w:jc w:val="center"/>
              <w:textAlignment w:val="center"/>
              <w:rPr>
                <w:rStyle w:val="44"/>
                <w:rFonts w:hint="eastAsia" w:asciiTheme="minorEastAsia" w:hAnsiTheme="minorEastAsia" w:eastAsiaTheme="minorEastAsia" w:cstheme="minorEastAsia"/>
                <w:color w:val="auto"/>
                <w:sz w:val="18"/>
                <w:szCs w:val="18"/>
                <w:highlight w:val="none"/>
                <w:lang w:val="en-US" w:eastAsia="zh-CN" w:bidi="ar"/>
              </w:rPr>
            </w:pPr>
            <w:r>
              <w:rPr>
                <w:rStyle w:val="44"/>
                <w:rFonts w:hint="eastAsia" w:asciiTheme="minorEastAsia" w:hAnsiTheme="minorEastAsia" w:eastAsiaTheme="minorEastAsia" w:cstheme="minorEastAsia"/>
                <w:color w:val="auto"/>
                <w:sz w:val="18"/>
                <w:szCs w:val="18"/>
                <w:highlight w:val="none"/>
                <w:lang w:val="en-US" w:eastAsia="zh-CN" w:bidi="ar"/>
              </w:rPr>
              <w:t>单</w:t>
            </w:r>
          </w:p>
          <w:p w14:paraId="3D991843">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Style w:val="44"/>
                <w:rFonts w:hint="eastAsia" w:asciiTheme="minorEastAsia" w:hAnsiTheme="minorEastAsia" w:eastAsiaTheme="minorEastAsia" w:cstheme="minorEastAsia"/>
                <w:color w:val="auto"/>
                <w:sz w:val="18"/>
                <w:szCs w:val="18"/>
                <w:highlight w:val="none"/>
                <w:lang w:val="en-US" w:eastAsia="zh-CN" w:bidi="ar"/>
              </w:rPr>
              <w:t>位</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2BFD1D3B">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数</w:t>
            </w:r>
          </w:p>
          <w:p w14:paraId="183DFDDA">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Style w:val="44"/>
                <w:rFonts w:hint="eastAsia" w:asciiTheme="minorEastAsia" w:hAnsiTheme="minorEastAsia" w:eastAsiaTheme="minorEastAsia" w:cstheme="minorEastAsia"/>
                <w:color w:val="auto"/>
                <w:sz w:val="18"/>
                <w:szCs w:val="18"/>
                <w:highlight w:val="none"/>
                <w:lang w:val="en-US" w:eastAsia="zh-CN" w:bidi="ar"/>
              </w:rPr>
              <w:t>量</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3F5A9C38">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备</w:t>
            </w:r>
            <w:r>
              <w:rPr>
                <w:rStyle w:val="48"/>
                <w:rFonts w:hint="eastAsia" w:asciiTheme="minorEastAsia" w:hAnsiTheme="minorEastAsia" w:eastAsiaTheme="minorEastAsia" w:cstheme="minorEastAsia"/>
                <w:color w:val="auto"/>
                <w:sz w:val="18"/>
                <w:szCs w:val="18"/>
                <w:highlight w:val="none"/>
                <w:lang w:val="en-US" w:eastAsia="zh-CN" w:bidi="ar"/>
              </w:rPr>
              <w:t xml:space="preserve">  </w:t>
            </w:r>
            <w:r>
              <w:rPr>
                <w:rStyle w:val="44"/>
                <w:rFonts w:hint="eastAsia" w:asciiTheme="minorEastAsia" w:hAnsiTheme="minorEastAsia" w:eastAsiaTheme="minorEastAsia" w:cstheme="minorEastAsia"/>
                <w:color w:val="auto"/>
                <w:sz w:val="18"/>
                <w:szCs w:val="18"/>
                <w:highlight w:val="none"/>
                <w:lang w:val="en-US" w:eastAsia="zh-CN" w:bidi="ar"/>
              </w:rPr>
              <w:t>注</w:t>
            </w:r>
          </w:p>
        </w:tc>
      </w:tr>
      <w:tr w14:paraId="30A5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3D57C19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lang w:val="en-US" w:eastAsia="zh-CN"/>
              </w:rPr>
            </w:pPr>
            <w:r>
              <w:rPr>
                <w:rFonts w:hint="eastAsia" w:asciiTheme="minorEastAsia" w:hAnsiTheme="minorEastAsia" w:eastAsiaTheme="minorEastAsia" w:cstheme="minorEastAsia"/>
                <w:i w:val="0"/>
                <w:iCs w:val="0"/>
                <w:color w:val="auto"/>
                <w:sz w:val="18"/>
                <w:szCs w:val="18"/>
                <w:highlight w:val="none"/>
                <w:u w:val="none"/>
                <w:lang w:val="en-US" w:eastAsia="zh-CN"/>
              </w:rPr>
              <w:t>1</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2AD23AA2">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lang w:eastAsia="zh-CN"/>
              </w:rPr>
            </w:pPr>
            <w:r>
              <w:rPr>
                <w:rFonts w:hint="eastAsia" w:asciiTheme="minorEastAsia" w:hAnsiTheme="minorEastAsia" w:eastAsiaTheme="minorEastAsia" w:cstheme="minorEastAsia"/>
                <w:i w:val="0"/>
                <w:iCs w:val="0"/>
                <w:color w:val="auto"/>
                <w:sz w:val="18"/>
                <w:szCs w:val="18"/>
                <w:highlight w:val="none"/>
                <w:u w:val="none"/>
                <w:lang w:eastAsia="zh-CN"/>
              </w:rPr>
              <w:t>暂无</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33FF5FF0">
            <w:pPr>
              <w:keepNext w:val="0"/>
              <w:keepLines w:val="0"/>
              <w:pageBreakBefore w:val="0"/>
              <w:widowControl/>
              <w:suppressLineNumbers w:val="0"/>
              <w:kinsoku/>
              <w:wordWrap w:val="0"/>
              <w:overflowPunct/>
              <w:topLinePunct/>
              <w:bidi w:val="0"/>
              <w:jc w:val="left"/>
              <w:textAlignment w:val="center"/>
              <w:rPr>
                <w:rFonts w:hint="eastAsia" w:asciiTheme="minorEastAsia" w:hAnsiTheme="minorEastAsia" w:eastAsiaTheme="minorEastAsia" w:cstheme="minorEastAsia"/>
                <w:i w:val="0"/>
                <w:iCs w:val="0"/>
                <w:color w:val="auto"/>
                <w:sz w:val="18"/>
                <w:szCs w:val="18"/>
                <w:highlight w:val="none"/>
                <w:u w:val="none"/>
              </w:rPr>
            </w:pP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3BA8C43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7F1CF8C9">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162734C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5CB3BFDD">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p>
        </w:tc>
      </w:tr>
    </w:tbl>
    <w:p w14:paraId="54B9FDB8">
      <w:pPr>
        <w:rPr>
          <w:rFonts w:hint="eastAsia" w:ascii="宋体" w:hAnsi="宋体" w:eastAsia="宋体" w:cs="宋体"/>
          <w:color w:val="auto"/>
          <w:highlight w:val="none"/>
        </w:rPr>
      </w:pPr>
    </w:p>
    <w:p w14:paraId="02DE9EC2">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eastAsia="zh-CN"/>
        </w:rPr>
        <w:t>注：本招标项目的甲供主材设备清单届时随最高投标限价、图纸、招标工程量清单在投标截止时间15天前以补充通知的形式在广东省招标投标监管网（https://zbtb.gd.gov.cn/）、全国公共资源交易平台（广东省•韶关市）（https://ygp.gdzwfw.gov.cn/ggzy-portal/#/440200/index）公布，各投标人应自行下载。</w:t>
      </w:r>
      <w:r>
        <w:rPr>
          <w:rFonts w:hint="eastAsia" w:ascii="宋体" w:hAnsi="宋体" w:eastAsia="宋体" w:cs="宋体"/>
          <w:color w:val="auto"/>
          <w:highlight w:val="none"/>
        </w:rPr>
        <w:br w:type="page"/>
      </w:r>
    </w:p>
    <w:p w14:paraId="58433338">
      <w:pPr>
        <w:pStyle w:val="6"/>
        <w:keepNext w:val="0"/>
        <w:keepLines w:val="0"/>
        <w:pageBreakBefore w:val="0"/>
        <w:widowControl w:val="0"/>
        <w:kinsoku/>
        <w:wordWrap w:val="0"/>
        <w:overflowPunct/>
        <w:topLinePunct/>
        <w:autoSpaceDE/>
        <w:autoSpaceDN/>
        <w:bidi w:val="0"/>
        <w:adjustRightInd w:val="0"/>
        <w:snapToGrid w:val="0"/>
        <w:spacing w:line="304" w:lineRule="auto"/>
        <w:ind w:right="84" w:rightChars="40"/>
        <w:rPr>
          <w:rFonts w:hint="eastAsia" w:ascii="宋体" w:hAnsi="宋体" w:eastAsia="宋体" w:cs="宋体"/>
          <w:color w:val="auto"/>
          <w:highlight w:val="none"/>
        </w:rPr>
      </w:pPr>
    </w:p>
    <w:p w14:paraId="112B9D29">
      <w:pPr>
        <w:keepNext w:val="0"/>
        <w:keepLines w:val="0"/>
        <w:pageBreakBefore w:val="0"/>
        <w:widowControl w:val="0"/>
        <w:kinsoku/>
        <w:wordWrap w:val="0"/>
        <w:overflowPunct/>
        <w:topLinePunct/>
        <w:autoSpaceDE/>
        <w:autoSpaceDN/>
        <w:bidi w:val="0"/>
        <w:adjustRightInd w:val="0"/>
        <w:snapToGrid w:val="0"/>
        <w:spacing w:before="78" w:line="219" w:lineRule="auto"/>
        <w:ind w:left="3357" w:right="84" w:rightChars="40"/>
        <w:outlineLvl w:val="0"/>
        <w:rPr>
          <w:rFonts w:hint="eastAsia" w:ascii="宋体" w:hAnsi="宋体" w:eastAsia="宋体" w:cs="宋体"/>
          <w:color w:val="auto"/>
          <w:sz w:val="24"/>
          <w:szCs w:val="24"/>
          <w:highlight w:val="none"/>
        </w:rPr>
      </w:pPr>
      <w:bookmarkStart w:id="190" w:name="_Toc29734"/>
      <w:r>
        <w:rPr>
          <w:rFonts w:hint="eastAsia" w:ascii="宋体" w:hAnsi="宋体" w:eastAsia="宋体" w:cs="宋体"/>
          <w:b/>
          <w:bCs/>
          <w:color w:val="auto"/>
          <w:spacing w:val="-3"/>
          <w:sz w:val="24"/>
          <w:szCs w:val="24"/>
          <w:highlight w:val="none"/>
        </w:rPr>
        <w:t>第六章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投标文件格式</w:t>
      </w:r>
      <w:bookmarkEnd w:id="190"/>
    </w:p>
    <w:p w14:paraId="24FCA0A7">
      <w:pPr>
        <w:pStyle w:val="6"/>
        <w:keepNext w:val="0"/>
        <w:keepLines w:val="0"/>
        <w:pageBreakBefore w:val="0"/>
        <w:widowControl w:val="0"/>
        <w:kinsoku/>
        <w:wordWrap w:val="0"/>
        <w:overflowPunct/>
        <w:topLinePunct/>
        <w:autoSpaceDE/>
        <w:autoSpaceDN/>
        <w:bidi w:val="0"/>
        <w:adjustRightInd w:val="0"/>
        <w:snapToGrid w:val="0"/>
        <w:spacing w:line="302" w:lineRule="auto"/>
        <w:ind w:right="84" w:rightChars="40"/>
        <w:jc w:val="right"/>
        <w:rPr>
          <w:rFonts w:hint="eastAsia" w:ascii="宋体" w:hAnsi="宋体" w:eastAsia="宋体" w:cs="宋体"/>
          <w:color w:val="auto"/>
          <w:highlight w:val="none"/>
        </w:rPr>
      </w:pPr>
    </w:p>
    <w:p w14:paraId="63A53B7F">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color w:val="auto"/>
          <w:sz w:val="24"/>
          <w:szCs w:val="24"/>
          <w:highlight w:val="none"/>
        </w:rPr>
      </w:pPr>
      <w:bookmarkStart w:id="191" w:name="_Toc8398"/>
      <w:r>
        <w:rPr>
          <w:rFonts w:hint="eastAsia" w:ascii="宋体" w:hAnsi="宋体" w:eastAsia="宋体" w:cs="宋体"/>
          <w:b/>
          <w:bCs/>
          <w:color w:val="auto"/>
          <w:spacing w:val="-4"/>
          <w:sz w:val="24"/>
          <w:szCs w:val="24"/>
          <w:highlight w:val="none"/>
        </w:rPr>
        <w:t>格式一</w:t>
      </w:r>
      <w:r>
        <w:rPr>
          <w:rFonts w:hint="eastAsia" w:ascii="宋体" w:hAnsi="宋体" w:eastAsia="宋体" w:cs="宋体"/>
          <w:color w:val="auto"/>
          <w:spacing w:val="-4"/>
          <w:sz w:val="24"/>
          <w:szCs w:val="24"/>
          <w:highlight w:val="none"/>
        </w:rPr>
        <w:t xml:space="preserve"> </w:t>
      </w:r>
      <w:r>
        <w:rPr>
          <w:rFonts w:hint="eastAsia" w:ascii="宋体" w:hAnsi="宋体" w:eastAsia="宋体" w:cs="宋体"/>
          <w:b/>
          <w:bCs/>
          <w:color w:val="auto"/>
          <w:spacing w:val="-4"/>
          <w:sz w:val="24"/>
          <w:szCs w:val="24"/>
          <w:highlight w:val="none"/>
        </w:rPr>
        <w:t>封面</w:t>
      </w:r>
      <w:bookmarkEnd w:id="191"/>
    </w:p>
    <w:p w14:paraId="3FD9956B">
      <w:pPr>
        <w:pStyle w:val="6"/>
        <w:keepNext w:val="0"/>
        <w:keepLines w:val="0"/>
        <w:pageBreakBefore w:val="0"/>
        <w:widowControl w:val="0"/>
        <w:kinsoku/>
        <w:wordWrap w:val="0"/>
        <w:overflowPunct/>
        <w:topLinePunct/>
        <w:autoSpaceDE/>
        <w:autoSpaceDN/>
        <w:bidi w:val="0"/>
        <w:adjustRightInd w:val="0"/>
        <w:snapToGrid w:val="0"/>
        <w:spacing w:line="258" w:lineRule="auto"/>
        <w:ind w:right="84" w:rightChars="40"/>
        <w:rPr>
          <w:rFonts w:hint="eastAsia" w:ascii="宋体" w:hAnsi="宋体" w:eastAsia="宋体" w:cs="宋体"/>
          <w:color w:val="auto"/>
          <w:highlight w:val="none"/>
        </w:rPr>
      </w:pPr>
    </w:p>
    <w:p w14:paraId="2A179972">
      <w:pPr>
        <w:pStyle w:val="6"/>
        <w:keepNext w:val="0"/>
        <w:keepLines w:val="0"/>
        <w:pageBreakBefore w:val="0"/>
        <w:widowControl w:val="0"/>
        <w:kinsoku/>
        <w:wordWrap w:val="0"/>
        <w:overflowPunct/>
        <w:topLinePunct/>
        <w:autoSpaceDE/>
        <w:autoSpaceDN/>
        <w:bidi w:val="0"/>
        <w:adjustRightInd w:val="0"/>
        <w:snapToGrid w:val="0"/>
        <w:spacing w:line="259" w:lineRule="auto"/>
        <w:ind w:right="84" w:rightChars="40"/>
        <w:rPr>
          <w:rFonts w:hint="eastAsia" w:ascii="宋体" w:hAnsi="宋体" w:eastAsia="宋体" w:cs="宋体"/>
          <w:color w:val="auto"/>
          <w:highlight w:val="none"/>
        </w:rPr>
      </w:pPr>
    </w:p>
    <w:p w14:paraId="3A3B30D2">
      <w:pPr>
        <w:pStyle w:val="6"/>
        <w:keepNext w:val="0"/>
        <w:keepLines w:val="0"/>
        <w:pageBreakBefore w:val="0"/>
        <w:widowControl w:val="0"/>
        <w:kinsoku/>
        <w:wordWrap w:val="0"/>
        <w:overflowPunct/>
        <w:topLinePunct/>
        <w:autoSpaceDE/>
        <w:autoSpaceDN/>
        <w:bidi w:val="0"/>
        <w:adjustRightInd w:val="0"/>
        <w:snapToGrid w:val="0"/>
        <w:spacing w:line="259" w:lineRule="auto"/>
        <w:ind w:right="84" w:rightChars="40"/>
        <w:rPr>
          <w:rFonts w:hint="eastAsia" w:ascii="宋体" w:hAnsi="宋体" w:eastAsia="宋体" w:cs="宋体"/>
          <w:color w:val="auto"/>
          <w:highlight w:val="none"/>
        </w:rPr>
      </w:pPr>
    </w:p>
    <w:p w14:paraId="09489E79">
      <w:pPr>
        <w:keepNext w:val="0"/>
        <w:keepLines w:val="0"/>
        <w:pageBreakBefore w:val="0"/>
        <w:widowControl w:val="0"/>
        <w:kinsoku/>
        <w:wordWrap w:val="0"/>
        <w:overflowPunct/>
        <w:topLinePunct/>
        <w:autoSpaceDE/>
        <w:autoSpaceDN/>
        <w:bidi w:val="0"/>
        <w:adjustRightInd w:val="0"/>
        <w:snapToGrid w:val="0"/>
        <w:spacing w:before="153" w:line="225" w:lineRule="auto"/>
        <w:ind w:left="-1" w:leftChars="0" w:right="84" w:rightChars="40" w:firstLine="0" w:firstLineChars="0"/>
        <w:jc w:val="center"/>
        <w:rPr>
          <w:rFonts w:hint="eastAsia" w:ascii="宋体" w:hAnsi="宋体" w:eastAsia="宋体" w:cs="宋体"/>
          <w:color w:val="auto"/>
          <w:sz w:val="47"/>
          <w:szCs w:val="47"/>
          <w:highlight w:val="none"/>
        </w:rPr>
      </w:pPr>
      <w:r>
        <w:rPr>
          <w:rFonts w:hint="eastAsia" w:ascii="宋体" w:hAnsi="宋体" w:eastAsia="宋体" w:cs="宋体"/>
          <w:b/>
          <w:bCs/>
          <w:color w:val="auto"/>
          <w:spacing w:val="8"/>
          <w:sz w:val="47"/>
          <w:szCs w:val="47"/>
          <w:highlight w:val="none"/>
          <w:u w:val="single"/>
          <w:lang w:val="en-US" w:eastAsia="zh-CN"/>
        </w:rPr>
        <w:t xml:space="preserve">       </w:t>
      </w:r>
      <w:r>
        <w:rPr>
          <w:rFonts w:hint="eastAsia" w:ascii="宋体" w:hAnsi="宋体" w:eastAsia="宋体" w:cs="宋体"/>
          <w:b/>
          <w:bCs/>
          <w:color w:val="auto"/>
          <w:spacing w:val="8"/>
          <w:sz w:val="47"/>
          <w:szCs w:val="47"/>
          <w:highlight w:val="none"/>
          <w:u w:val="single"/>
        </w:rPr>
        <w:t>（项目名称</w:t>
      </w:r>
      <w:r>
        <w:rPr>
          <w:rFonts w:hint="eastAsia" w:ascii="宋体" w:hAnsi="宋体" w:eastAsia="宋体" w:cs="宋体"/>
          <w:b/>
          <w:bCs/>
          <w:color w:val="auto"/>
          <w:spacing w:val="-32"/>
          <w:sz w:val="47"/>
          <w:szCs w:val="47"/>
          <w:highlight w:val="none"/>
          <w:u w:val="single"/>
        </w:rPr>
        <w:t>）</w:t>
      </w:r>
      <w:r>
        <w:rPr>
          <w:rFonts w:hint="eastAsia" w:ascii="宋体" w:hAnsi="宋体" w:eastAsia="宋体" w:cs="宋体"/>
          <w:b/>
          <w:bCs/>
          <w:color w:val="auto"/>
          <w:spacing w:val="-32"/>
          <w:sz w:val="47"/>
          <w:szCs w:val="47"/>
          <w:highlight w:val="none"/>
          <w:u w:val="none"/>
          <w:lang w:val="en-US" w:eastAsia="zh-CN"/>
        </w:rPr>
        <w:t>施工</w:t>
      </w:r>
      <w:r>
        <w:rPr>
          <w:rFonts w:hint="eastAsia" w:ascii="宋体" w:hAnsi="宋体" w:eastAsia="宋体" w:cs="宋体"/>
          <w:b/>
          <w:bCs/>
          <w:color w:val="auto"/>
          <w:spacing w:val="8"/>
          <w:sz w:val="47"/>
          <w:szCs w:val="47"/>
          <w:highlight w:val="none"/>
        </w:rPr>
        <w:t>招标</w:t>
      </w:r>
    </w:p>
    <w:p w14:paraId="051BDE2B">
      <w:pPr>
        <w:pStyle w:val="6"/>
        <w:keepNext w:val="0"/>
        <w:keepLines w:val="0"/>
        <w:pageBreakBefore w:val="0"/>
        <w:widowControl w:val="0"/>
        <w:kinsoku/>
        <w:wordWrap w:val="0"/>
        <w:overflowPunct/>
        <w:topLinePunct/>
        <w:autoSpaceDE/>
        <w:autoSpaceDN/>
        <w:bidi w:val="0"/>
        <w:adjustRightInd w:val="0"/>
        <w:snapToGrid w:val="0"/>
        <w:spacing w:line="247" w:lineRule="auto"/>
        <w:ind w:right="84" w:rightChars="40"/>
        <w:rPr>
          <w:rFonts w:hint="eastAsia" w:ascii="宋体" w:hAnsi="宋体" w:eastAsia="宋体" w:cs="宋体"/>
          <w:color w:val="auto"/>
          <w:highlight w:val="none"/>
        </w:rPr>
      </w:pPr>
    </w:p>
    <w:p w14:paraId="142E617A">
      <w:pPr>
        <w:pStyle w:val="6"/>
        <w:keepNext w:val="0"/>
        <w:keepLines w:val="0"/>
        <w:pageBreakBefore w:val="0"/>
        <w:widowControl w:val="0"/>
        <w:kinsoku/>
        <w:wordWrap w:val="0"/>
        <w:overflowPunct/>
        <w:topLinePunct/>
        <w:autoSpaceDE/>
        <w:autoSpaceDN/>
        <w:bidi w:val="0"/>
        <w:adjustRightInd w:val="0"/>
        <w:snapToGrid w:val="0"/>
        <w:spacing w:line="247" w:lineRule="auto"/>
        <w:ind w:right="84" w:rightChars="40"/>
        <w:rPr>
          <w:rFonts w:hint="eastAsia" w:ascii="宋体" w:hAnsi="宋体" w:eastAsia="宋体" w:cs="宋体"/>
          <w:color w:val="auto"/>
          <w:highlight w:val="none"/>
        </w:rPr>
      </w:pPr>
    </w:p>
    <w:p w14:paraId="0CB2B9BE">
      <w:pPr>
        <w:pStyle w:val="6"/>
        <w:keepNext w:val="0"/>
        <w:keepLines w:val="0"/>
        <w:pageBreakBefore w:val="0"/>
        <w:widowControl w:val="0"/>
        <w:kinsoku/>
        <w:wordWrap w:val="0"/>
        <w:overflowPunct/>
        <w:topLinePunct/>
        <w:autoSpaceDE/>
        <w:autoSpaceDN/>
        <w:bidi w:val="0"/>
        <w:adjustRightInd w:val="0"/>
        <w:snapToGrid w:val="0"/>
        <w:spacing w:line="247" w:lineRule="auto"/>
        <w:ind w:right="84" w:rightChars="40"/>
        <w:rPr>
          <w:rFonts w:hint="eastAsia" w:ascii="宋体" w:hAnsi="宋体" w:eastAsia="宋体" w:cs="宋体"/>
          <w:color w:val="auto"/>
          <w:highlight w:val="none"/>
        </w:rPr>
      </w:pPr>
    </w:p>
    <w:p w14:paraId="17024E7D">
      <w:pPr>
        <w:pStyle w:val="6"/>
        <w:keepNext w:val="0"/>
        <w:keepLines w:val="0"/>
        <w:pageBreakBefore w:val="0"/>
        <w:widowControl w:val="0"/>
        <w:kinsoku/>
        <w:wordWrap w:val="0"/>
        <w:overflowPunct/>
        <w:topLinePunct/>
        <w:autoSpaceDE/>
        <w:autoSpaceDN/>
        <w:bidi w:val="0"/>
        <w:adjustRightInd w:val="0"/>
        <w:snapToGrid w:val="0"/>
        <w:spacing w:line="247" w:lineRule="auto"/>
        <w:ind w:right="84" w:rightChars="40"/>
        <w:rPr>
          <w:rFonts w:hint="eastAsia" w:ascii="宋体" w:hAnsi="宋体" w:eastAsia="宋体" w:cs="宋体"/>
          <w:color w:val="auto"/>
          <w:highlight w:val="none"/>
        </w:rPr>
      </w:pPr>
    </w:p>
    <w:p w14:paraId="4037DDAA">
      <w:pPr>
        <w:pStyle w:val="6"/>
        <w:keepNext w:val="0"/>
        <w:keepLines w:val="0"/>
        <w:pageBreakBefore w:val="0"/>
        <w:widowControl w:val="0"/>
        <w:kinsoku/>
        <w:wordWrap w:val="0"/>
        <w:overflowPunct/>
        <w:topLinePunct/>
        <w:autoSpaceDE/>
        <w:autoSpaceDN/>
        <w:bidi w:val="0"/>
        <w:adjustRightInd w:val="0"/>
        <w:snapToGrid w:val="0"/>
        <w:spacing w:line="248" w:lineRule="auto"/>
        <w:ind w:right="84" w:rightChars="40"/>
        <w:rPr>
          <w:rFonts w:hint="eastAsia" w:ascii="宋体" w:hAnsi="宋体" w:eastAsia="宋体" w:cs="宋体"/>
          <w:color w:val="auto"/>
          <w:highlight w:val="none"/>
        </w:rPr>
      </w:pPr>
    </w:p>
    <w:p w14:paraId="4FF11120">
      <w:pPr>
        <w:keepNext w:val="0"/>
        <w:keepLines w:val="0"/>
        <w:pageBreakBefore w:val="0"/>
        <w:widowControl w:val="0"/>
        <w:kinsoku/>
        <w:wordWrap w:val="0"/>
        <w:overflowPunct/>
        <w:topLinePunct/>
        <w:autoSpaceDE/>
        <w:autoSpaceDN/>
        <w:bidi w:val="0"/>
        <w:adjustRightInd w:val="0"/>
        <w:snapToGrid w:val="0"/>
        <w:spacing w:before="231" w:line="223" w:lineRule="auto"/>
        <w:ind w:right="84" w:rightChars="40"/>
        <w:jc w:val="center"/>
        <w:rPr>
          <w:rFonts w:hint="eastAsia" w:ascii="宋体" w:hAnsi="宋体" w:eastAsia="宋体" w:cs="宋体"/>
          <w:color w:val="auto"/>
          <w:sz w:val="71"/>
          <w:szCs w:val="71"/>
          <w:highlight w:val="none"/>
        </w:rPr>
      </w:pPr>
      <w:r>
        <w:rPr>
          <w:rFonts w:hint="eastAsia" w:ascii="宋体" w:hAnsi="宋体" w:eastAsia="宋体" w:cs="宋体"/>
          <w:b/>
          <w:bCs/>
          <w:color w:val="auto"/>
          <w:spacing w:val="-26"/>
          <w:sz w:val="71"/>
          <w:szCs w:val="71"/>
          <w:highlight w:val="none"/>
        </w:rPr>
        <w:t>投</w:t>
      </w:r>
      <w:r>
        <w:rPr>
          <w:rFonts w:hint="eastAsia" w:ascii="宋体" w:hAnsi="宋体" w:eastAsia="宋体" w:cs="宋体"/>
          <w:color w:val="auto"/>
          <w:spacing w:val="22"/>
          <w:sz w:val="71"/>
          <w:szCs w:val="71"/>
          <w:highlight w:val="none"/>
        </w:rPr>
        <w:t xml:space="preserve">  </w:t>
      </w:r>
      <w:r>
        <w:rPr>
          <w:rFonts w:hint="eastAsia" w:ascii="宋体" w:hAnsi="宋体" w:eastAsia="宋体" w:cs="宋体"/>
          <w:b/>
          <w:bCs/>
          <w:color w:val="auto"/>
          <w:spacing w:val="-26"/>
          <w:sz w:val="71"/>
          <w:szCs w:val="71"/>
          <w:highlight w:val="none"/>
        </w:rPr>
        <w:t>标</w:t>
      </w:r>
      <w:r>
        <w:rPr>
          <w:rFonts w:hint="eastAsia" w:ascii="宋体" w:hAnsi="宋体" w:eastAsia="宋体" w:cs="宋体"/>
          <w:color w:val="auto"/>
          <w:spacing w:val="23"/>
          <w:sz w:val="71"/>
          <w:szCs w:val="71"/>
          <w:highlight w:val="none"/>
        </w:rPr>
        <w:t xml:space="preserve">  </w:t>
      </w:r>
      <w:r>
        <w:rPr>
          <w:rFonts w:hint="eastAsia" w:ascii="宋体" w:hAnsi="宋体" w:eastAsia="宋体" w:cs="宋体"/>
          <w:b/>
          <w:bCs/>
          <w:color w:val="auto"/>
          <w:spacing w:val="-26"/>
          <w:sz w:val="71"/>
          <w:szCs w:val="71"/>
          <w:highlight w:val="none"/>
        </w:rPr>
        <w:t>文</w:t>
      </w:r>
      <w:r>
        <w:rPr>
          <w:rFonts w:hint="eastAsia" w:ascii="宋体" w:hAnsi="宋体" w:eastAsia="宋体" w:cs="宋体"/>
          <w:color w:val="auto"/>
          <w:spacing w:val="19"/>
          <w:sz w:val="71"/>
          <w:szCs w:val="71"/>
          <w:highlight w:val="none"/>
        </w:rPr>
        <w:t xml:space="preserve">  </w:t>
      </w:r>
      <w:r>
        <w:rPr>
          <w:rFonts w:hint="eastAsia" w:ascii="宋体" w:hAnsi="宋体" w:eastAsia="宋体" w:cs="宋体"/>
          <w:b/>
          <w:bCs/>
          <w:color w:val="auto"/>
          <w:spacing w:val="-26"/>
          <w:sz w:val="71"/>
          <w:szCs w:val="71"/>
          <w:highlight w:val="none"/>
        </w:rPr>
        <w:t>件</w:t>
      </w:r>
    </w:p>
    <w:p w14:paraId="7D635049">
      <w:pPr>
        <w:pStyle w:val="6"/>
        <w:keepNext w:val="0"/>
        <w:keepLines w:val="0"/>
        <w:pageBreakBefore w:val="0"/>
        <w:widowControl w:val="0"/>
        <w:kinsoku/>
        <w:wordWrap w:val="0"/>
        <w:overflowPunct/>
        <w:topLinePunct/>
        <w:autoSpaceDE/>
        <w:autoSpaceDN/>
        <w:bidi w:val="0"/>
        <w:adjustRightInd w:val="0"/>
        <w:snapToGrid w:val="0"/>
        <w:spacing w:line="293" w:lineRule="auto"/>
        <w:ind w:right="84" w:rightChars="40"/>
        <w:rPr>
          <w:rFonts w:hint="eastAsia" w:ascii="宋体" w:hAnsi="宋体" w:eastAsia="宋体" w:cs="宋体"/>
          <w:color w:val="auto"/>
          <w:highlight w:val="none"/>
        </w:rPr>
      </w:pPr>
    </w:p>
    <w:p w14:paraId="24180DFF">
      <w:pPr>
        <w:pStyle w:val="6"/>
        <w:keepNext w:val="0"/>
        <w:keepLines w:val="0"/>
        <w:pageBreakBefore w:val="0"/>
        <w:widowControl w:val="0"/>
        <w:kinsoku/>
        <w:wordWrap w:val="0"/>
        <w:overflowPunct/>
        <w:topLinePunct/>
        <w:autoSpaceDE/>
        <w:autoSpaceDN/>
        <w:bidi w:val="0"/>
        <w:adjustRightInd w:val="0"/>
        <w:snapToGrid w:val="0"/>
        <w:spacing w:line="293" w:lineRule="auto"/>
        <w:ind w:right="84" w:rightChars="40"/>
        <w:rPr>
          <w:rFonts w:hint="eastAsia" w:ascii="宋体" w:hAnsi="宋体" w:eastAsia="宋体" w:cs="宋体"/>
          <w:color w:val="auto"/>
          <w:highlight w:val="none"/>
        </w:rPr>
      </w:pPr>
    </w:p>
    <w:p w14:paraId="62E88C2F">
      <w:pPr>
        <w:keepNext w:val="0"/>
        <w:keepLines w:val="0"/>
        <w:pageBreakBefore w:val="0"/>
        <w:widowControl w:val="0"/>
        <w:kinsoku/>
        <w:wordWrap w:val="0"/>
        <w:overflowPunct/>
        <w:topLinePunct/>
        <w:autoSpaceDE/>
        <w:autoSpaceDN/>
        <w:bidi w:val="0"/>
        <w:adjustRightInd w:val="0"/>
        <w:snapToGrid w:val="0"/>
        <w:spacing w:before="152" w:line="223" w:lineRule="auto"/>
        <w:ind w:right="84" w:rightChars="40"/>
        <w:jc w:val="center"/>
        <w:rPr>
          <w:rFonts w:hint="eastAsia" w:ascii="宋体" w:hAnsi="宋体" w:eastAsia="宋体" w:cs="宋体"/>
          <w:b/>
          <w:bCs/>
          <w:color w:val="auto"/>
          <w:spacing w:val="2"/>
          <w:sz w:val="47"/>
          <w:szCs w:val="47"/>
          <w:highlight w:val="none"/>
        </w:rPr>
      </w:pPr>
      <w:bookmarkStart w:id="192" w:name="bookmark105"/>
      <w:bookmarkEnd w:id="192"/>
      <w:r>
        <w:rPr>
          <w:rFonts w:hint="eastAsia" w:ascii="宋体" w:hAnsi="宋体" w:eastAsia="宋体" w:cs="宋体"/>
          <w:b/>
          <w:bCs/>
          <w:color w:val="auto"/>
          <w:spacing w:val="2"/>
          <w:sz w:val="47"/>
          <w:szCs w:val="47"/>
          <w:highlight w:val="none"/>
        </w:rPr>
        <w:t>（商务标书／经济标书／施工组织设计）</w:t>
      </w:r>
    </w:p>
    <w:p w14:paraId="32427087">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776DAA21">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52CDC023">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07BCDB4F">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14418938">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1BDEA605">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21B7FAB6">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472D1801">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241AE524">
      <w:pPr>
        <w:pStyle w:val="39"/>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116E2975">
      <w:pPr>
        <w:pStyle w:val="39"/>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Cs/>
          <w:snapToGrid w:val="0"/>
          <w:color w:val="auto"/>
          <w:sz w:val="32"/>
          <w:highlight w:val="none"/>
        </w:rPr>
      </w:pPr>
    </w:p>
    <w:p w14:paraId="7612C6B0">
      <w:pPr>
        <w:pStyle w:val="39"/>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Cs/>
          <w:snapToGrid w:val="0"/>
          <w:color w:val="auto"/>
          <w:sz w:val="32"/>
          <w:highlight w:val="none"/>
        </w:rPr>
      </w:pPr>
    </w:p>
    <w:p w14:paraId="316DAF53">
      <w:pPr>
        <w:pStyle w:val="39"/>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275D1952">
      <w:pPr>
        <w:pStyle w:val="39"/>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Cs/>
          <w:snapToGrid w:val="0"/>
          <w:color w:val="auto"/>
          <w:sz w:val="32"/>
          <w:highlight w:val="none"/>
        </w:rPr>
      </w:pPr>
    </w:p>
    <w:p w14:paraId="020DC4FA">
      <w:pPr>
        <w:pStyle w:val="39"/>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Cs/>
          <w:snapToGrid w:val="0"/>
          <w:color w:val="auto"/>
          <w:sz w:val="32"/>
          <w:highlight w:val="none"/>
          <w:u w:val="single"/>
        </w:rPr>
      </w:pPr>
    </w:p>
    <w:p w14:paraId="22D462B6">
      <w:pPr>
        <w:pStyle w:val="39"/>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02684CDB">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49899126">
      <w:pPr>
        <w:keepNext w:val="0"/>
        <w:keepLines w:val="0"/>
        <w:pageBreakBefore w:val="0"/>
        <w:widowControl w:val="0"/>
        <w:kinsoku/>
        <w:wordWrap w:val="0"/>
        <w:overflowPunct/>
        <w:topLinePunct/>
        <w:autoSpaceDE/>
        <w:autoSpaceDN/>
        <w:bidi w:val="0"/>
        <w:adjustRightInd w:val="0"/>
        <w:snapToGrid w:val="0"/>
        <w:ind w:right="84" w:rightChars="40"/>
        <w:outlineLvl w:val="9"/>
        <w:rPr>
          <w:rFonts w:hint="eastAsia"/>
          <w:color w:val="auto"/>
          <w:highlight w:val="none"/>
        </w:rPr>
      </w:pPr>
    </w:p>
    <w:p w14:paraId="3D003B6F">
      <w:pPr>
        <w:keepNext w:val="0"/>
        <w:keepLines w:val="0"/>
        <w:pageBreakBefore w:val="0"/>
        <w:widowControl w:val="0"/>
        <w:kinsoku/>
        <w:wordWrap w:val="0"/>
        <w:overflowPunct/>
        <w:topLinePunct/>
        <w:autoSpaceDE/>
        <w:autoSpaceDN/>
        <w:bidi w:val="0"/>
        <w:adjustRightInd w:val="0"/>
        <w:snapToGrid w:val="0"/>
        <w:spacing w:line="223" w:lineRule="auto"/>
        <w:ind w:right="84" w:rightChars="40"/>
        <w:rPr>
          <w:rFonts w:hint="eastAsia" w:ascii="宋体" w:hAnsi="宋体" w:eastAsia="宋体" w:cs="宋体"/>
          <w:color w:val="auto"/>
          <w:sz w:val="47"/>
          <w:szCs w:val="47"/>
          <w:highlight w:val="none"/>
        </w:rPr>
        <w:sectPr>
          <w:footerReference r:id="rId13"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C334C29">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193" w:name="_Toc14176"/>
      <w:r>
        <w:rPr>
          <w:rFonts w:hint="eastAsia" w:ascii="宋体" w:hAnsi="宋体" w:eastAsia="宋体" w:cs="宋体"/>
          <w:b/>
          <w:bCs/>
          <w:color w:val="auto"/>
          <w:spacing w:val="-4"/>
          <w:sz w:val="24"/>
          <w:szCs w:val="24"/>
          <w:highlight w:val="none"/>
        </w:rPr>
        <w:t>格式二 投标函</w:t>
      </w:r>
      <w:bookmarkEnd w:id="193"/>
    </w:p>
    <w:p w14:paraId="7DA61F02">
      <w:pPr>
        <w:pStyle w:val="6"/>
        <w:keepNext w:val="0"/>
        <w:keepLines w:val="0"/>
        <w:pageBreakBefore w:val="0"/>
        <w:widowControl w:val="0"/>
        <w:kinsoku/>
        <w:wordWrap w:val="0"/>
        <w:overflowPunct/>
        <w:topLinePunct/>
        <w:autoSpaceDE/>
        <w:autoSpaceDN/>
        <w:bidi w:val="0"/>
        <w:adjustRightInd w:val="0"/>
        <w:snapToGrid w:val="0"/>
        <w:spacing w:line="261" w:lineRule="auto"/>
        <w:ind w:right="84" w:rightChars="40"/>
        <w:rPr>
          <w:rFonts w:hint="eastAsia" w:ascii="宋体" w:hAnsi="宋体" w:eastAsia="宋体" w:cs="宋体"/>
          <w:color w:val="auto"/>
          <w:highlight w:val="none"/>
        </w:rPr>
      </w:pPr>
    </w:p>
    <w:p w14:paraId="6040FF9B">
      <w:pPr>
        <w:keepNext w:val="0"/>
        <w:keepLines w:val="0"/>
        <w:pageBreakBefore w:val="0"/>
        <w:widowControl w:val="0"/>
        <w:kinsoku/>
        <w:wordWrap w:val="0"/>
        <w:overflowPunct/>
        <w:topLinePunct/>
        <w:autoSpaceDE/>
        <w:autoSpaceDN/>
        <w:bidi w:val="0"/>
        <w:adjustRightInd w:val="0"/>
        <w:snapToGrid w:val="0"/>
        <w:spacing w:before="97" w:line="221" w:lineRule="auto"/>
        <w:ind w:left="3799" w:right="84" w:rightChars="40"/>
        <w:outlineLvl w:val="9"/>
        <w:rPr>
          <w:rFonts w:hint="eastAsia" w:ascii="宋体" w:hAnsi="宋体" w:eastAsia="宋体" w:cs="宋体"/>
          <w:color w:val="auto"/>
          <w:sz w:val="30"/>
          <w:szCs w:val="30"/>
          <w:highlight w:val="none"/>
        </w:rPr>
      </w:pPr>
      <w:bookmarkStart w:id="194" w:name="bookmark148"/>
      <w:bookmarkEnd w:id="194"/>
      <w:bookmarkStart w:id="195" w:name="_Toc297"/>
      <w:bookmarkStart w:id="196" w:name="_Toc27397"/>
      <w:bookmarkStart w:id="197" w:name="_Toc317"/>
      <w:r>
        <w:rPr>
          <w:rFonts w:hint="eastAsia" w:ascii="宋体" w:hAnsi="宋体" w:eastAsia="宋体" w:cs="宋体"/>
          <w:b/>
          <w:bCs/>
          <w:color w:val="auto"/>
          <w:spacing w:val="-13"/>
          <w:sz w:val="30"/>
          <w:szCs w:val="30"/>
          <w:highlight w:val="none"/>
        </w:rPr>
        <w:t>投</w:t>
      </w:r>
      <w:r>
        <w:rPr>
          <w:rFonts w:hint="eastAsia" w:ascii="宋体" w:hAnsi="宋体" w:eastAsia="宋体" w:cs="宋体"/>
          <w:color w:val="auto"/>
          <w:spacing w:val="6"/>
          <w:sz w:val="30"/>
          <w:szCs w:val="30"/>
          <w:highlight w:val="none"/>
        </w:rPr>
        <w:t xml:space="preserve">  </w:t>
      </w:r>
      <w:r>
        <w:rPr>
          <w:rFonts w:hint="eastAsia" w:ascii="宋体" w:hAnsi="宋体" w:eastAsia="宋体" w:cs="宋体"/>
          <w:b/>
          <w:bCs/>
          <w:color w:val="auto"/>
          <w:spacing w:val="-13"/>
          <w:sz w:val="30"/>
          <w:szCs w:val="30"/>
          <w:highlight w:val="none"/>
        </w:rPr>
        <w:t>标</w:t>
      </w:r>
      <w:r>
        <w:rPr>
          <w:rFonts w:hint="eastAsia" w:ascii="宋体" w:hAnsi="宋体" w:eastAsia="宋体" w:cs="宋体"/>
          <w:color w:val="auto"/>
          <w:spacing w:val="17"/>
          <w:sz w:val="30"/>
          <w:szCs w:val="30"/>
          <w:highlight w:val="none"/>
        </w:rPr>
        <w:t xml:space="preserve">  </w:t>
      </w:r>
      <w:r>
        <w:rPr>
          <w:rFonts w:hint="eastAsia" w:ascii="宋体" w:hAnsi="宋体" w:eastAsia="宋体" w:cs="宋体"/>
          <w:b/>
          <w:bCs/>
          <w:color w:val="auto"/>
          <w:spacing w:val="-13"/>
          <w:sz w:val="30"/>
          <w:szCs w:val="30"/>
          <w:highlight w:val="none"/>
        </w:rPr>
        <w:t>函</w:t>
      </w:r>
      <w:bookmarkEnd w:id="195"/>
      <w:bookmarkEnd w:id="196"/>
      <w:bookmarkEnd w:id="197"/>
    </w:p>
    <w:p w14:paraId="3721B4C6">
      <w:pPr>
        <w:pStyle w:val="6"/>
        <w:keepNext w:val="0"/>
        <w:keepLines w:val="0"/>
        <w:pageBreakBefore w:val="0"/>
        <w:widowControl w:val="0"/>
        <w:kinsoku/>
        <w:wordWrap w:val="0"/>
        <w:overflowPunct/>
        <w:topLinePunct/>
        <w:autoSpaceDE/>
        <w:autoSpaceDN/>
        <w:bidi w:val="0"/>
        <w:adjustRightInd w:val="0"/>
        <w:snapToGrid w:val="0"/>
        <w:spacing w:line="249" w:lineRule="auto"/>
        <w:ind w:right="84" w:rightChars="40"/>
        <w:rPr>
          <w:rFonts w:hint="eastAsia" w:ascii="宋体" w:hAnsi="宋体" w:eastAsia="宋体" w:cs="宋体"/>
          <w:color w:val="auto"/>
          <w:highlight w:val="none"/>
        </w:rPr>
      </w:pPr>
    </w:p>
    <w:p w14:paraId="304436DA">
      <w:pPr>
        <w:pStyle w:val="6"/>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14:paraId="1E03F19F">
      <w:pPr>
        <w:pStyle w:val="6"/>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14:paraId="3D2B3D5B">
      <w:pPr>
        <w:keepNext w:val="0"/>
        <w:keepLines w:val="0"/>
        <w:pageBreakBefore w:val="0"/>
        <w:widowControl w:val="0"/>
        <w:kinsoku/>
        <w:wordWrap w:val="0"/>
        <w:overflowPunct/>
        <w:topLinePunct/>
        <w:autoSpaceDE/>
        <w:autoSpaceDN/>
        <w:bidi w:val="0"/>
        <w:adjustRightInd w:val="0"/>
        <w:snapToGrid w:val="0"/>
        <w:spacing w:before="78" w:line="221" w:lineRule="auto"/>
        <w:ind w:left="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致</w:t>
      </w:r>
      <w:r>
        <w:rPr>
          <w:rFonts w:hint="eastAsia" w:ascii="宋体" w:hAnsi="宋体" w:eastAsia="宋体" w:cs="宋体"/>
          <w:color w:val="auto"/>
          <w:spacing w:val="-30"/>
          <w:sz w:val="24"/>
          <w:szCs w:val="24"/>
          <w:highlight w:val="none"/>
        </w:rPr>
        <w:t>：</w:t>
      </w:r>
      <w:r>
        <w:rPr>
          <w:rFonts w:hint="eastAsia" w:ascii="宋体" w:hAnsi="宋体" w:eastAsia="宋体" w:cs="宋体"/>
          <w:color w:val="auto"/>
          <w:spacing w:val="-30"/>
          <w:sz w:val="24"/>
          <w:szCs w:val="24"/>
          <w:highlight w:val="none"/>
          <w:u w:val="single"/>
          <w:lang w:val="en-US" w:eastAsia="zh-CN"/>
        </w:rPr>
        <w:t xml:space="preserve">                    </w:t>
      </w:r>
      <w:r>
        <w:rPr>
          <w:rFonts w:hint="eastAsia" w:ascii="宋体" w:hAnsi="宋体" w:eastAsia="宋体" w:cs="宋体"/>
          <w:color w:val="auto"/>
          <w:spacing w:val="-30"/>
          <w:sz w:val="24"/>
          <w:szCs w:val="24"/>
          <w:highlight w:val="none"/>
        </w:rPr>
        <w:t>（</w:t>
      </w:r>
      <w:r>
        <w:rPr>
          <w:rFonts w:hint="eastAsia" w:ascii="宋体" w:hAnsi="宋体" w:eastAsia="宋体" w:cs="宋体"/>
          <w:color w:val="auto"/>
          <w:spacing w:val="7"/>
          <w:sz w:val="24"/>
          <w:szCs w:val="24"/>
          <w:highlight w:val="none"/>
        </w:rPr>
        <w:t>招标人名称）</w:t>
      </w:r>
    </w:p>
    <w:p w14:paraId="61738A9A">
      <w:pPr>
        <w:pStyle w:val="6"/>
        <w:keepNext w:val="0"/>
        <w:keepLines w:val="0"/>
        <w:pageBreakBefore w:val="0"/>
        <w:widowControl w:val="0"/>
        <w:kinsoku/>
        <w:wordWrap w:val="0"/>
        <w:overflowPunct/>
        <w:topLinePunct/>
        <w:autoSpaceDE/>
        <w:autoSpaceDN/>
        <w:bidi w:val="0"/>
        <w:adjustRightInd w:val="0"/>
        <w:snapToGrid w:val="0"/>
        <w:spacing w:before="156" w:line="328" w:lineRule="auto"/>
        <w:ind w:left="9" w:right="84" w:rightChars="40" w:firstLine="58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我方考察现场并充分研究</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（项目名称</w:t>
      </w:r>
      <w:r>
        <w:rPr>
          <w:rFonts w:hint="eastAsia" w:ascii="宋体" w:hAnsi="宋体" w:eastAsia="宋体" w:cs="宋体"/>
          <w:color w:val="auto"/>
          <w:spacing w:val="-12"/>
          <w:sz w:val="24"/>
          <w:szCs w:val="24"/>
          <w:highlight w:val="none"/>
        </w:rPr>
        <w:t>）（</w:t>
      </w:r>
      <w:r>
        <w:rPr>
          <w:rFonts w:hint="eastAsia" w:ascii="宋体" w:hAnsi="宋体" w:eastAsia="宋体" w:cs="宋体"/>
          <w:color w:val="auto"/>
          <w:sz w:val="24"/>
          <w:szCs w:val="24"/>
          <w:highlight w:val="none"/>
        </w:rPr>
        <w:t>以下简称“本项目</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工程</w:t>
      </w:r>
      <w:r>
        <w:rPr>
          <w:rFonts w:hint="eastAsia" w:ascii="宋体" w:hAnsi="宋体" w:eastAsia="宋体" w:cs="宋体"/>
          <w:color w:val="auto"/>
          <w:sz w:val="24"/>
          <w:szCs w:val="24"/>
          <w:highlight w:val="none"/>
        </w:rPr>
        <w:t>施工招标文件</w:t>
      </w:r>
      <w:r>
        <w:rPr>
          <w:rFonts w:hint="eastAsia" w:ascii="宋体" w:hAnsi="宋体" w:eastAsia="宋体" w:cs="宋体"/>
          <w:color w:val="auto"/>
          <w:spacing w:val="-2"/>
          <w:sz w:val="24"/>
          <w:szCs w:val="24"/>
          <w:highlight w:val="none"/>
        </w:rPr>
        <w:t>所有内容后，结合自身资质、能力和特点，愿意接受招标文件的全部内容和条件，兹以</w:t>
      </w:r>
      <w:r>
        <w:rPr>
          <w:rFonts w:hint="eastAsia" w:ascii="宋体" w:hAnsi="宋体" w:eastAsia="宋体" w:cs="宋体"/>
          <w:color w:val="auto"/>
          <w:spacing w:val="-5"/>
          <w:sz w:val="24"/>
          <w:szCs w:val="24"/>
          <w:highlight w:val="none"/>
        </w:rPr>
        <w:t>人民币（大写</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2"/>
          <w:sz w:val="24"/>
          <w:szCs w:val="24"/>
          <w:highlight w:val="none"/>
          <w:u w:val="single"/>
        </w:rPr>
        <w:t xml:space="preserve">       </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的投标总价竞投本项目施工。</w:t>
      </w:r>
    </w:p>
    <w:p w14:paraId="062DCBF0">
      <w:pPr>
        <w:keepNext w:val="0"/>
        <w:keepLines w:val="0"/>
        <w:pageBreakBefore w:val="0"/>
        <w:widowControl w:val="0"/>
        <w:kinsoku/>
        <w:wordWrap w:val="0"/>
        <w:overflowPunct/>
        <w:topLinePunct/>
        <w:autoSpaceDE/>
        <w:autoSpaceDN/>
        <w:bidi w:val="0"/>
        <w:adjustRightInd w:val="0"/>
        <w:snapToGrid w:val="0"/>
        <w:spacing w:before="39" w:line="323" w:lineRule="auto"/>
        <w:ind w:right="84" w:rightChars="40" w:firstLine="57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在我方的上述投标总价中，包括：</w:t>
      </w:r>
      <w:r>
        <w:rPr>
          <w:rFonts w:hint="eastAsia" w:ascii="宋体" w:hAnsi="宋体" w:eastAsia="宋体" w:cs="宋体"/>
          <w:color w:val="auto"/>
          <w:spacing w:val="-2"/>
          <w:sz w:val="24"/>
          <w:szCs w:val="24"/>
          <w:highlight w:val="none"/>
          <w:lang w:eastAsia="zh-CN"/>
        </w:rPr>
        <w:t>安全生产措施费</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none"/>
          <w:lang w:eastAsia="zh-CN"/>
        </w:rPr>
        <w:t>；暂列金额</w:t>
      </w:r>
      <w:r>
        <w:rPr>
          <w:rFonts w:hint="eastAsia" w:ascii="宋体" w:hAnsi="宋体" w:eastAsia="宋体" w:cs="宋体"/>
          <w:color w:val="auto"/>
          <w:spacing w:val="-2"/>
          <w:sz w:val="24"/>
          <w:szCs w:val="24"/>
          <w:highlight w:val="none"/>
          <w:u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none"/>
          <w:lang w:eastAsia="zh-CN"/>
        </w:rPr>
        <w:t>；暂估价</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8"/>
          <w:sz w:val="24"/>
          <w:szCs w:val="24"/>
          <w:highlight w:val="none"/>
        </w:rPr>
        <w:t>。</w:t>
      </w:r>
    </w:p>
    <w:p w14:paraId="21DC1993">
      <w:pPr>
        <w:keepNext w:val="0"/>
        <w:keepLines w:val="0"/>
        <w:pageBreakBefore w:val="0"/>
        <w:widowControl w:val="0"/>
        <w:kinsoku/>
        <w:wordWrap w:val="0"/>
        <w:overflowPunct/>
        <w:topLinePunct/>
        <w:autoSpaceDE/>
        <w:autoSpaceDN/>
        <w:bidi w:val="0"/>
        <w:adjustRightInd w:val="0"/>
        <w:snapToGrid w:val="0"/>
        <w:spacing w:before="38" w:line="280" w:lineRule="auto"/>
        <w:ind w:left="13" w:right="84" w:rightChars="40" w:firstLine="56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  如果我方中标，我方保证按照合同约定的开工日期开始本项目的施工</w:t>
      </w:r>
      <w:r>
        <w:rPr>
          <w:rFonts w:hint="eastAsia" w:ascii="宋体" w:hAnsi="宋体" w:eastAsia="宋体" w:cs="宋体"/>
          <w:color w:val="auto"/>
          <w:sz w:val="24"/>
          <w:szCs w:val="24"/>
          <w:highlight w:val="none"/>
        </w:rPr>
        <w:t>，</w:t>
      </w:r>
      <w:bookmarkStart w:id="198" w:name="OLE_LINK34"/>
      <w:r>
        <w:rPr>
          <w:rFonts w:hint="eastAsia" w:ascii="宋体" w:hAnsi="宋体" w:eastAsia="宋体" w:cs="宋体"/>
          <w:color w:val="auto"/>
          <w:sz w:val="24"/>
          <w:szCs w:val="24"/>
          <w:highlight w:val="none"/>
          <w:u w:val="single"/>
          <w:lang w:val="en-US" w:eastAsia="zh-CN"/>
        </w:rPr>
        <w:t xml:space="preserve">     </w:t>
      </w:r>
      <w:bookmarkEnd w:id="198"/>
      <w:r>
        <w:rPr>
          <w:rFonts w:hint="eastAsia" w:ascii="宋体" w:hAnsi="宋体" w:eastAsia="宋体" w:cs="宋体"/>
          <w:color w:val="auto"/>
          <w:sz w:val="24"/>
          <w:szCs w:val="24"/>
          <w:highlight w:val="none"/>
        </w:rPr>
        <w:t xml:space="preserve">个日历 </w:t>
      </w:r>
      <w:r>
        <w:rPr>
          <w:rFonts w:hint="eastAsia" w:ascii="宋体" w:hAnsi="宋体" w:eastAsia="宋体" w:cs="宋体"/>
          <w:color w:val="auto"/>
          <w:spacing w:val="-1"/>
          <w:sz w:val="24"/>
          <w:szCs w:val="24"/>
          <w:highlight w:val="none"/>
        </w:rPr>
        <w:t>天内竣工，并确保工程质量达到</w:t>
      </w:r>
      <w:r>
        <w:rPr>
          <w:rFonts w:hint="eastAsia" w:ascii="宋体" w:hAnsi="宋体" w:eastAsia="宋体" w:cs="宋体"/>
          <w:color w:val="auto"/>
          <w:spacing w:val="-1"/>
          <w:sz w:val="24"/>
          <w:szCs w:val="24"/>
          <w:highlight w:val="none"/>
          <w:u w:val="single"/>
          <w:lang w:val="en-US" w:eastAsia="zh-CN"/>
        </w:rPr>
        <w:t xml:space="preserve">     </w:t>
      </w:r>
      <w:r>
        <w:rPr>
          <w:rFonts w:hint="eastAsia" w:ascii="宋体" w:hAnsi="宋体" w:eastAsia="宋体" w:cs="宋体"/>
          <w:color w:val="auto"/>
          <w:spacing w:val="-1"/>
          <w:sz w:val="24"/>
          <w:szCs w:val="24"/>
          <w:highlight w:val="none"/>
        </w:rPr>
        <w:t>标准和维修其中的任何缺陷。</w:t>
      </w:r>
    </w:p>
    <w:p w14:paraId="3B3FD196">
      <w:pPr>
        <w:keepNext w:val="0"/>
        <w:keepLines w:val="0"/>
        <w:pageBreakBefore w:val="0"/>
        <w:widowControl w:val="0"/>
        <w:kinsoku/>
        <w:wordWrap w:val="0"/>
        <w:overflowPunct/>
        <w:topLinePunct/>
        <w:autoSpaceDE/>
        <w:autoSpaceDN/>
        <w:bidi w:val="0"/>
        <w:adjustRightInd w:val="0"/>
        <w:snapToGrid w:val="0"/>
        <w:spacing w:before="152" w:line="279" w:lineRule="auto"/>
        <w:ind w:left="11" w:right="84" w:rightChars="40" w:firstLine="5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  本投标函在你方接收我方递交的投标文件之日起、到招标</w:t>
      </w:r>
      <w:r>
        <w:rPr>
          <w:rFonts w:hint="eastAsia" w:ascii="宋体" w:hAnsi="宋体" w:eastAsia="宋体" w:cs="宋体"/>
          <w:color w:val="auto"/>
          <w:sz w:val="24"/>
          <w:szCs w:val="24"/>
          <w:highlight w:val="none"/>
        </w:rPr>
        <w:t>文件规定的投标有效</w:t>
      </w:r>
      <w:r>
        <w:rPr>
          <w:rFonts w:hint="eastAsia" w:ascii="宋体" w:hAnsi="宋体" w:eastAsia="宋体" w:cs="宋体"/>
          <w:color w:val="auto"/>
          <w:spacing w:val="-1"/>
          <w:sz w:val="24"/>
          <w:szCs w:val="24"/>
          <w:highlight w:val="none"/>
        </w:rPr>
        <w:t>期期满前对我方具有约束力。我方随时准备接受你方发出的中标通知书。</w:t>
      </w:r>
    </w:p>
    <w:p w14:paraId="29684DEE">
      <w:pPr>
        <w:keepNext w:val="0"/>
        <w:keepLines w:val="0"/>
        <w:pageBreakBefore w:val="0"/>
        <w:widowControl w:val="0"/>
        <w:kinsoku/>
        <w:wordWrap w:val="0"/>
        <w:overflowPunct/>
        <w:topLinePunct/>
        <w:autoSpaceDE/>
        <w:autoSpaceDN/>
        <w:bidi w:val="0"/>
        <w:adjustRightInd w:val="0"/>
        <w:snapToGrid w:val="0"/>
        <w:spacing w:before="156" w:line="279" w:lineRule="auto"/>
        <w:ind w:left="11" w:right="84" w:rightChars="40" w:firstLine="5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我方在此声明，我方不存在本项目招标</w:t>
      </w:r>
      <w:r>
        <w:rPr>
          <w:rFonts w:hint="eastAsia" w:ascii="宋体" w:hAnsi="宋体" w:eastAsia="宋体" w:cs="宋体"/>
          <w:color w:val="auto"/>
          <w:spacing w:val="-1"/>
          <w:sz w:val="24"/>
          <w:szCs w:val="24"/>
          <w:highlight w:val="none"/>
        </w:rPr>
        <w:t>文件第一章第三节第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2.4</w:t>
      </w:r>
      <w:r>
        <w:rPr>
          <w:rFonts w:hint="eastAsia" w:ascii="宋体" w:hAnsi="宋体" w:eastAsia="宋体" w:cs="宋体"/>
          <w:color w:val="auto"/>
          <w:spacing w:val="-1"/>
          <w:sz w:val="24"/>
          <w:szCs w:val="24"/>
          <w:highlight w:val="none"/>
        </w:rPr>
        <w:t>条“禁止投标</w:t>
      </w:r>
      <w:r>
        <w:rPr>
          <w:rFonts w:hint="eastAsia" w:ascii="宋体" w:hAnsi="宋体" w:eastAsia="宋体" w:cs="宋体"/>
          <w:color w:val="auto"/>
          <w:spacing w:val="-6"/>
          <w:sz w:val="24"/>
          <w:szCs w:val="24"/>
          <w:highlight w:val="none"/>
        </w:rPr>
        <w:t>条款</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6"/>
          <w:sz w:val="24"/>
          <w:szCs w:val="24"/>
          <w:highlight w:val="none"/>
        </w:rPr>
        <w:t>”所列出的任何一种情形，并愿意承担因我</w:t>
      </w:r>
      <w:r>
        <w:rPr>
          <w:rFonts w:hint="eastAsia" w:ascii="宋体" w:hAnsi="宋体" w:eastAsia="宋体" w:cs="宋体"/>
          <w:color w:val="auto"/>
          <w:spacing w:val="-7"/>
          <w:sz w:val="24"/>
          <w:szCs w:val="24"/>
          <w:highlight w:val="none"/>
        </w:rPr>
        <w:t>方就此弄虚作假所引起的一切法律后果。</w:t>
      </w:r>
    </w:p>
    <w:p w14:paraId="1741B50F">
      <w:pPr>
        <w:keepNext w:val="0"/>
        <w:keepLines w:val="0"/>
        <w:pageBreakBefore w:val="0"/>
        <w:widowControl w:val="0"/>
        <w:kinsoku/>
        <w:wordWrap w:val="0"/>
        <w:overflowPunct/>
        <w:topLinePunct/>
        <w:autoSpaceDE/>
        <w:autoSpaceDN/>
        <w:bidi w:val="0"/>
        <w:adjustRightInd w:val="0"/>
        <w:snapToGrid w:val="0"/>
        <w:spacing w:before="153" w:line="280" w:lineRule="auto"/>
        <w:ind w:left="9" w:right="84" w:rightChars="40" w:firstLine="57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5.</w:t>
      </w:r>
      <w:r>
        <w:rPr>
          <w:rFonts w:hint="eastAsia" w:ascii="宋体" w:hAnsi="宋体" w:eastAsia="宋体" w:cs="宋体"/>
          <w:color w:val="auto"/>
          <w:spacing w:val="-2"/>
          <w:sz w:val="24"/>
          <w:szCs w:val="24"/>
          <w:highlight w:val="none"/>
        </w:rPr>
        <w:t>我方在此承诺，所递交投标文件的全部内容均为真实、有效、准确的，并愿意承担因我方就此弄虚作假所引起的一切法律后果，同时理解和同意有可能被要求提供更</w:t>
      </w:r>
    </w:p>
    <w:p w14:paraId="721C7958">
      <w:pPr>
        <w:keepNext w:val="0"/>
        <w:keepLines w:val="0"/>
        <w:pageBreakBefore w:val="0"/>
        <w:widowControl w:val="0"/>
        <w:kinsoku/>
        <w:wordWrap w:val="0"/>
        <w:overflowPunct/>
        <w:topLinePunct/>
        <w:autoSpaceDE/>
        <w:autoSpaceDN/>
        <w:bidi w:val="0"/>
        <w:adjustRightInd w:val="0"/>
        <w:snapToGrid w:val="0"/>
        <w:spacing w:before="153" w:line="221" w:lineRule="auto"/>
        <w:ind w:left="2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多的资料。</w:t>
      </w:r>
    </w:p>
    <w:p w14:paraId="6570D1E8">
      <w:pPr>
        <w:keepNext w:val="0"/>
        <w:keepLines w:val="0"/>
        <w:pageBreakBefore w:val="0"/>
        <w:widowControl w:val="0"/>
        <w:kinsoku/>
        <w:wordWrap w:val="0"/>
        <w:overflowPunct/>
        <w:topLinePunct/>
        <w:autoSpaceDE/>
        <w:autoSpaceDN/>
        <w:bidi w:val="0"/>
        <w:adjustRightInd w:val="0"/>
        <w:snapToGrid w:val="0"/>
        <w:spacing w:before="153" w:line="326" w:lineRule="auto"/>
        <w:ind w:left="13" w:right="84" w:rightChars="40" w:firstLine="56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6.我方理解你方不一定要接纳收到的最低投标总价或任何投标总价的投标人中标，</w:t>
      </w:r>
      <w:r>
        <w:rPr>
          <w:rFonts w:hint="eastAsia" w:ascii="宋体" w:hAnsi="宋体" w:eastAsia="宋体" w:cs="宋体"/>
          <w:color w:val="auto"/>
          <w:spacing w:val="-1"/>
          <w:sz w:val="24"/>
          <w:szCs w:val="24"/>
          <w:highlight w:val="none"/>
        </w:rPr>
        <w:t>也不要求你方解释我方是否中标的原因。</w:t>
      </w:r>
    </w:p>
    <w:p w14:paraId="6A8CEDBF">
      <w:pPr>
        <w:pStyle w:val="6"/>
        <w:keepNext w:val="0"/>
        <w:keepLines w:val="0"/>
        <w:pageBreakBefore w:val="0"/>
        <w:widowControl w:val="0"/>
        <w:kinsoku/>
        <w:wordWrap w:val="0"/>
        <w:overflowPunct/>
        <w:topLinePunct/>
        <w:autoSpaceDE/>
        <w:autoSpaceDN/>
        <w:bidi w:val="0"/>
        <w:adjustRightInd w:val="0"/>
        <w:snapToGrid w:val="0"/>
        <w:spacing w:line="276" w:lineRule="auto"/>
        <w:ind w:right="84" w:rightChars="40"/>
        <w:rPr>
          <w:rFonts w:hint="eastAsia" w:ascii="宋体" w:hAnsi="宋体" w:eastAsia="宋体" w:cs="宋体"/>
          <w:color w:val="auto"/>
          <w:highlight w:val="none"/>
        </w:rPr>
      </w:pPr>
    </w:p>
    <w:p w14:paraId="03A0641C">
      <w:pPr>
        <w:pStyle w:val="6"/>
        <w:keepNext w:val="0"/>
        <w:keepLines w:val="0"/>
        <w:pageBreakBefore w:val="0"/>
        <w:widowControl w:val="0"/>
        <w:kinsoku/>
        <w:wordWrap w:val="0"/>
        <w:overflowPunct/>
        <w:topLinePunct/>
        <w:autoSpaceDE/>
        <w:autoSpaceDN/>
        <w:bidi w:val="0"/>
        <w:adjustRightInd w:val="0"/>
        <w:snapToGrid w:val="0"/>
        <w:spacing w:line="277" w:lineRule="auto"/>
        <w:ind w:right="84" w:rightChars="40"/>
        <w:rPr>
          <w:rFonts w:hint="eastAsia" w:ascii="宋体" w:hAnsi="宋体" w:eastAsia="宋体" w:cs="宋体"/>
          <w:color w:val="auto"/>
          <w:highlight w:val="none"/>
        </w:rPr>
      </w:pPr>
    </w:p>
    <w:p w14:paraId="4C0763DF">
      <w:pPr>
        <w:pStyle w:val="6"/>
        <w:keepNext w:val="0"/>
        <w:keepLines w:val="0"/>
        <w:pageBreakBefore w:val="0"/>
        <w:widowControl w:val="0"/>
        <w:kinsoku/>
        <w:wordWrap w:val="0"/>
        <w:overflowPunct/>
        <w:topLinePunct/>
        <w:autoSpaceDE/>
        <w:autoSpaceDN/>
        <w:bidi w:val="0"/>
        <w:adjustRightInd w:val="0"/>
        <w:snapToGrid w:val="0"/>
        <w:spacing w:line="277" w:lineRule="auto"/>
        <w:ind w:right="84" w:rightChars="40"/>
        <w:rPr>
          <w:rFonts w:hint="eastAsia" w:ascii="宋体" w:hAnsi="宋体" w:eastAsia="宋体" w:cs="宋体"/>
          <w:color w:val="auto"/>
          <w:highlight w:val="none"/>
        </w:rPr>
      </w:pPr>
    </w:p>
    <w:p w14:paraId="0ACEF158">
      <w:pPr>
        <w:keepNext w:val="0"/>
        <w:keepLines w:val="0"/>
        <w:pageBreakBefore w:val="0"/>
        <w:widowControl w:val="0"/>
        <w:kinsoku/>
        <w:wordWrap w:val="0"/>
        <w:overflowPunct/>
        <w:topLinePunct/>
        <w:autoSpaceDE/>
        <w:autoSpaceDN/>
        <w:bidi w:val="0"/>
        <w:adjustRightInd w:val="0"/>
        <w:snapToGrid w:val="0"/>
        <w:spacing w:before="79" w:line="219" w:lineRule="auto"/>
        <w:ind w:right="84" w:rightChars="40" w:firstLine="5856" w:firstLineChars="240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576B723E">
      <w:pPr>
        <w:pStyle w:val="6"/>
        <w:keepNext w:val="0"/>
        <w:keepLines w:val="0"/>
        <w:pageBreakBefore w:val="0"/>
        <w:widowControl w:val="0"/>
        <w:kinsoku/>
        <w:wordWrap w:val="0"/>
        <w:overflowPunct/>
        <w:topLinePunct/>
        <w:autoSpaceDE/>
        <w:autoSpaceDN/>
        <w:bidi w:val="0"/>
        <w:adjustRightInd w:val="0"/>
        <w:snapToGrid w:val="0"/>
        <w:spacing w:line="256" w:lineRule="auto"/>
        <w:ind w:right="84" w:rightChars="40"/>
        <w:jc w:val="right"/>
        <w:rPr>
          <w:rFonts w:hint="eastAsia" w:ascii="宋体" w:hAnsi="宋体" w:eastAsia="宋体" w:cs="宋体"/>
          <w:color w:val="auto"/>
          <w:highlight w:val="none"/>
        </w:rPr>
      </w:pPr>
    </w:p>
    <w:p w14:paraId="11251475">
      <w:pPr>
        <w:pStyle w:val="6"/>
        <w:keepNext w:val="0"/>
        <w:keepLines w:val="0"/>
        <w:pageBreakBefore w:val="0"/>
        <w:widowControl w:val="0"/>
        <w:kinsoku/>
        <w:wordWrap w:val="0"/>
        <w:overflowPunct/>
        <w:topLinePunct/>
        <w:autoSpaceDE/>
        <w:autoSpaceDN/>
        <w:bidi w:val="0"/>
        <w:adjustRightInd w:val="0"/>
        <w:snapToGrid w:val="0"/>
        <w:spacing w:line="256" w:lineRule="auto"/>
        <w:ind w:right="84" w:rightChars="40"/>
        <w:jc w:val="right"/>
        <w:rPr>
          <w:rFonts w:hint="eastAsia" w:ascii="宋体" w:hAnsi="宋体" w:eastAsia="宋体" w:cs="宋体"/>
          <w:color w:val="auto"/>
          <w:highlight w:val="none"/>
        </w:rPr>
      </w:pPr>
    </w:p>
    <w:p w14:paraId="4F389E08">
      <w:pPr>
        <w:keepNext w:val="0"/>
        <w:keepLines w:val="0"/>
        <w:pageBreakBefore w:val="0"/>
        <w:widowControl w:val="0"/>
        <w:kinsoku/>
        <w:wordWrap w:val="0"/>
        <w:overflowPunct/>
        <w:topLinePunct/>
        <w:autoSpaceDE/>
        <w:autoSpaceDN/>
        <w:bidi w:val="0"/>
        <w:adjustRightInd w:val="0"/>
        <w:snapToGrid w:val="0"/>
        <w:spacing w:before="78" w:line="219" w:lineRule="auto"/>
        <w:ind w:left="3922"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7737F680">
      <w:pPr>
        <w:pStyle w:val="6"/>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4AE24947">
      <w:pPr>
        <w:pStyle w:val="6"/>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0AACB13C">
      <w:pPr>
        <w:keepNext w:val="0"/>
        <w:keepLines w:val="0"/>
        <w:pageBreakBefore w:val="0"/>
        <w:widowControl w:val="0"/>
        <w:kinsoku/>
        <w:wordWrap w:val="0"/>
        <w:overflowPunct/>
        <w:topLinePunct/>
        <w:autoSpaceDE/>
        <w:autoSpaceDN/>
        <w:bidi w:val="0"/>
        <w:adjustRightInd w:val="0"/>
        <w:snapToGrid w:val="0"/>
        <w:spacing w:before="79" w:line="220" w:lineRule="auto"/>
        <w:ind w:left="6970" w:right="84" w:rightChars="4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日</w:t>
      </w:r>
    </w:p>
    <w:p w14:paraId="4D849C4E">
      <w:pPr>
        <w:keepNext w:val="0"/>
        <w:keepLines w:val="0"/>
        <w:pageBreakBefore w:val="0"/>
        <w:widowControl w:val="0"/>
        <w:kinsoku/>
        <w:wordWrap w:val="0"/>
        <w:overflowPunct/>
        <w:topLinePunct/>
        <w:autoSpaceDE/>
        <w:autoSpaceDN/>
        <w:bidi w:val="0"/>
        <w:adjustRightInd w:val="0"/>
        <w:snapToGrid w:val="0"/>
        <w:spacing w:line="220" w:lineRule="auto"/>
        <w:ind w:right="84" w:rightChars="40"/>
        <w:rPr>
          <w:rFonts w:hint="eastAsia" w:ascii="宋体" w:hAnsi="宋体" w:eastAsia="宋体" w:cs="宋体"/>
          <w:color w:val="auto"/>
          <w:sz w:val="24"/>
          <w:szCs w:val="24"/>
          <w:highlight w:val="none"/>
        </w:rPr>
        <w:sectPr>
          <w:footerReference r:id="rId14"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3CE94E0">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199" w:name="_Toc15931"/>
      <w:r>
        <w:rPr>
          <w:rFonts w:hint="eastAsia" w:ascii="宋体" w:hAnsi="宋体" w:eastAsia="宋体" w:cs="宋体"/>
          <w:b/>
          <w:bCs/>
          <w:color w:val="auto"/>
          <w:spacing w:val="-4"/>
          <w:sz w:val="24"/>
          <w:szCs w:val="24"/>
          <w:highlight w:val="none"/>
        </w:rPr>
        <w:t>格式三 各项承诺一览表</w:t>
      </w:r>
      <w:bookmarkEnd w:id="199"/>
    </w:p>
    <w:p w14:paraId="53842238">
      <w:pPr>
        <w:pStyle w:val="6"/>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highlight w:val="none"/>
        </w:rPr>
      </w:pPr>
    </w:p>
    <w:p w14:paraId="76E86710">
      <w:pPr>
        <w:keepNext w:val="0"/>
        <w:keepLines w:val="0"/>
        <w:pageBreakBefore w:val="0"/>
        <w:widowControl w:val="0"/>
        <w:kinsoku/>
        <w:wordWrap w:val="0"/>
        <w:overflowPunct/>
        <w:topLinePunct/>
        <w:autoSpaceDE/>
        <w:autoSpaceDN/>
        <w:bidi w:val="0"/>
        <w:adjustRightInd w:val="0"/>
        <w:snapToGrid w:val="0"/>
        <w:spacing w:before="98" w:line="220" w:lineRule="auto"/>
        <w:ind w:left="3581" w:right="84" w:rightChars="40"/>
        <w:outlineLvl w:val="9"/>
        <w:rPr>
          <w:rFonts w:hint="eastAsia" w:ascii="宋体" w:hAnsi="宋体" w:eastAsia="宋体" w:cs="宋体"/>
          <w:color w:val="auto"/>
          <w:sz w:val="30"/>
          <w:szCs w:val="30"/>
          <w:highlight w:val="none"/>
        </w:rPr>
      </w:pPr>
      <w:bookmarkStart w:id="200" w:name="bookmark149"/>
      <w:bookmarkEnd w:id="200"/>
      <w:bookmarkStart w:id="201" w:name="_Toc2936"/>
      <w:bookmarkStart w:id="202" w:name="_Toc4767"/>
      <w:bookmarkStart w:id="203" w:name="_Toc10326"/>
      <w:r>
        <w:rPr>
          <w:rFonts w:hint="eastAsia" w:ascii="宋体" w:hAnsi="宋体" w:eastAsia="宋体" w:cs="宋体"/>
          <w:b/>
          <w:bCs/>
          <w:color w:val="auto"/>
          <w:spacing w:val="-5"/>
          <w:sz w:val="30"/>
          <w:szCs w:val="30"/>
          <w:highlight w:val="none"/>
        </w:rPr>
        <w:t>各项承诺一览表</w:t>
      </w:r>
      <w:bookmarkEnd w:id="201"/>
      <w:bookmarkEnd w:id="202"/>
      <w:bookmarkEnd w:id="203"/>
    </w:p>
    <w:p w14:paraId="40637525">
      <w:pPr>
        <w:keepNext w:val="0"/>
        <w:keepLines w:val="0"/>
        <w:pageBreakBefore w:val="0"/>
        <w:widowControl w:val="0"/>
        <w:kinsoku/>
        <w:wordWrap w:val="0"/>
        <w:overflowPunct/>
        <w:topLinePunct/>
        <w:autoSpaceDE/>
        <w:autoSpaceDN/>
        <w:bidi w:val="0"/>
        <w:adjustRightInd w:val="0"/>
        <w:snapToGrid w:val="0"/>
        <w:spacing w:before="6"/>
        <w:ind w:right="84" w:rightChars="40"/>
        <w:rPr>
          <w:rFonts w:hint="eastAsia" w:ascii="宋体" w:hAnsi="宋体" w:eastAsia="宋体" w:cs="宋体"/>
          <w:color w:val="auto"/>
          <w:highlight w:val="none"/>
        </w:rPr>
      </w:pPr>
    </w:p>
    <w:tbl>
      <w:tblPr>
        <w:tblStyle w:val="15"/>
        <w:tblW w:w="98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4"/>
        <w:gridCol w:w="1675"/>
        <w:gridCol w:w="3107"/>
        <w:gridCol w:w="4272"/>
      </w:tblGrid>
      <w:tr w14:paraId="51756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0DEC0D0D">
            <w:pPr>
              <w:keepNext w:val="0"/>
              <w:keepLines w:val="0"/>
              <w:pageBreakBefore w:val="0"/>
              <w:widowControl w:val="0"/>
              <w:kinsoku/>
              <w:wordWrap w:val="0"/>
              <w:overflowPunct/>
              <w:topLinePunct/>
              <w:autoSpaceDE/>
              <w:autoSpaceDN/>
              <w:bidi w:val="0"/>
              <w:adjustRightInd w:val="0"/>
              <w:snapToGrid w:val="0"/>
              <w:spacing w:before="209" w:line="288" w:lineRule="auto"/>
              <w:ind w:left="126"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75" w:type="dxa"/>
            <w:vAlign w:val="top"/>
          </w:tcPr>
          <w:p w14:paraId="024CEA5C">
            <w:pPr>
              <w:keepNext w:val="0"/>
              <w:keepLines w:val="0"/>
              <w:pageBreakBefore w:val="0"/>
              <w:widowControl w:val="0"/>
              <w:kinsoku/>
              <w:wordWrap w:val="0"/>
              <w:overflowPunct/>
              <w:topLinePunct/>
              <w:autoSpaceDE/>
              <w:autoSpaceDN/>
              <w:bidi w:val="0"/>
              <w:adjustRightInd w:val="0"/>
              <w:snapToGrid w:val="0"/>
              <w:spacing w:before="208" w:line="288" w:lineRule="auto"/>
              <w:ind w:left="31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承诺事项</w:t>
            </w:r>
          </w:p>
        </w:tc>
        <w:tc>
          <w:tcPr>
            <w:tcW w:w="3107" w:type="dxa"/>
            <w:vAlign w:val="top"/>
          </w:tcPr>
          <w:p w14:paraId="2130CED6">
            <w:pPr>
              <w:keepNext w:val="0"/>
              <w:keepLines w:val="0"/>
              <w:pageBreakBefore w:val="0"/>
              <w:widowControl w:val="0"/>
              <w:kinsoku/>
              <w:wordWrap w:val="0"/>
              <w:overflowPunct/>
              <w:topLinePunct/>
              <w:autoSpaceDE/>
              <w:autoSpaceDN/>
              <w:bidi w:val="0"/>
              <w:adjustRightInd w:val="0"/>
              <w:snapToGrid w:val="0"/>
              <w:spacing w:before="209" w:line="288" w:lineRule="auto"/>
              <w:ind w:left="98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承诺内容</w:t>
            </w:r>
          </w:p>
        </w:tc>
        <w:tc>
          <w:tcPr>
            <w:tcW w:w="4272" w:type="dxa"/>
            <w:vAlign w:val="top"/>
          </w:tcPr>
          <w:p w14:paraId="299A6511">
            <w:pPr>
              <w:keepNext w:val="0"/>
              <w:keepLines w:val="0"/>
              <w:pageBreakBefore w:val="0"/>
              <w:widowControl w:val="0"/>
              <w:kinsoku/>
              <w:wordWrap w:val="0"/>
              <w:overflowPunct/>
              <w:topLinePunct/>
              <w:autoSpaceDE/>
              <w:autoSpaceDN/>
              <w:bidi w:val="0"/>
              <w:adjustRightInd w:val="0"/>
              <w:snapToGrid w:val="0"/>
              <w:spacing w:before="209" w:line="288" w:lineRule="auto"/>
              <w:ind w:left="153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违约承诺</w:t>
            </w:r>
          </w:p>
        </w:tc>
      </w:tr>
      <w:tr w14:paraId="67C37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5A0F766E">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3BA1F501">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5AF61E4C">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6352804B">
            <w:pPr>
              <w:keepNext w:val="0"/>
              <w:keepLines w:val="0"/>
              <w:pageBreakBefore w:val="0"/>
              <w:widowControl w:val="0"/>
              <w:kinsoku/>
              <w:wordWrap w:val="0"/>
              <w:overflowPunct/>
              <w:topLinePunct/>
              <w:autoSpaceDE/>
              <w:autoSpaceDN/>
              <w:bidi w:val="0"/>
              <w:adjustRightInd w:val="0"/>
              <w:snapToGrid w:val="0"/>
              <w:spacing w:before="58" w:line="288" w:lineRule="auto"/>
              <w:ind w:left="32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75" w:type="dxa"/>
            <w:vAlign w:val="top"/>
          </w:tcPr>
          <w:p w14:paraId="5A9EE7D9">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1AC00374">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6CD22B3E">
            <w:pPr>
              <w:keepNext w:val="0"/>
              <w:keepLines w:val="0"/>
              <w:pageBreakBefore w:val="0"/>
              <w:widowControl w:val="0"/>
              <w:kinsoku/>
              <w:wordWrap w:val="0"/>
              <w:overflowPunct/>
              <w:topLinePunct/>
              <w:autoSpaceDE/>
              <w:autoSpaceDN/>
              <w:bidi w:val="0"/>
              <w:adjustRightInd w:val="0"/>
              <w:snapToGrid w:val="0"/>
              <w:spacing w:before="65" w:line="288" w:lineRule="auto"/>
              <w:ind w:left="57" w:right="84" w:rightChars="40" w:firstLine="135"/>
              <w:jc w:val="center"/>
              <w:textAlignment w:val="baseline"/>
              <w:rPr>
                <w:rFonts w:hint="eastAsia" w:ascii="宋体" w:hAnsi="宋体" w:eastAsia="宋体" w:cs="宋体"/>
                <w:color w:val="auto"/>
                <w:sz w:val="24"/>
                <w:szCs w:val="24"/>
                <w:highlight w:val="none"/>
              </w:rPr>
            </w:pPr>
            <w:r>
              <w:rPr>
                <w:rFonts w:hint="eastAsia"/>
                <w:color w:val="auto"/>
                <w:sz w:val="24"/>
                <w:szCs w:val="24"/>
                <w:highlight w:val="none"/>
              </w:rPr>
              <w:t>自愿接受招标文件条款的承诺</w:t>
            </w:r>
          </w:p>
        </w:tc>
        <w:tc>
          <w:tcPr>
            <w:tcW w:w="3107" w:type="dxa"/>
            <w:vAlign w:val="top"/>
          </w:tcPr>
          <w:p w14:paraId="688DF0AC">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33E09128">
            <w:pPr>
              <w:keepNext w:val="0"/>
              <w:keepLines w:val="0"/>
              <w:pageBreakBefore w:val="0"/>
              <w:widowControl w:val="0"/>
              <w:kinsoku/>
              <w:wordWrap w:val="0"/>
              <w:overflowPunct/>
              <w:topLinePunct/>
              <w:autoSpaceDE/>
              <w:autoSpaceDN/>
              <w:bidi w:val="0"/>
              <w:adjustRightInd w:val="0"/>
              <w:snapToGrid w:val="0"/>
              <w:spacing w:before="65" w:line="288" w:lineRule="auto"/>
              <w:ind w:left="10" w:right="84" w:rightChars="40" w:firstLine="421"/>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我方自愿接受招标文件的</w:t>
            </w:r>
            <w:r>
              <w:rPr>
                <w:rFonts w:hint="eastAsia" w:ascii="宋体" w:hAnsi="宋体" w:eastAsia="宋体" w:cs="宋体"/>
                <w:color w:val="auto"/>
                <w:spacing w:val="7"/>
                <w:sz w:val="24"/>
                <w:szCs w:val="24"/>
                <w:highlight w:val="none"/>
              </w:rPr>
              <w:t>所有条款，所递交的投标文件已</w:t>
            </w:r>
            <w:r>
              <w:rPr>
                <w:rFonts w:hint="eastAsia" w:ascii="宋体" w:hAnsi="宋体" w:eastAsia="宋体" w:cs="宋体"/>
                <w:color w:val="auto"/>
                <w:spacing w:val="23"/>
                <w:sz w:val="24"/>
                <w:szCs w:val="24"/>
                <w:highlight w:val="none"/>
              </w:rPr>
              <w:t>经充分响应招标文件的实质性</w:t>
            </w:r>
            <w:r>
              <w:rPr>
                <w:rFonts w:hint="eastAsia" w:ascii="宋体" w:hAnsi="宋体" w:eastAsia="宋体" w:cs="宋体"/>
                <w:color w:val="auto"/>
                <w:spacing w:val="3"/>
                <w:sz w:val="24"/>
                <w:szCs w:val="24"/>
                <w:highlight w:val="none"/>
              </w:rPr>
              <w:t>要求。</w:t>
            </w:r>
          </w:p>
        </w:tc>
        <w:tc>
          <w:tcPr>
            <w:tcW w:w="4272" w:type="dxa"/>
            <w:vAlign w:val="top"/>
          </w:tcPr>
          <w:p w14:paraId="39A16CAF">
            <w:pPr>
              <w:keepNext w:val="0"/>
              <w:keepLines w:val="0"/>
              <w:pageBreakBefore w:val="0"/>
              <w:widowControl w:val="0"/>
              <w:kinsoku/>
              <w:wordWrap w:val="0"/>
              <w:overflowPunct/>
              <w:topLinePunct/>
              <w:autoSpaceDE/>
              <w:autoSpaceDN/>
              <w:bidi w:val="0"/>
              <w:adjustRightInd w:val="0"/>
              <w:snapToGrid w:val="0"/>
              <w:spacing w:before="122" w:line="288" w:lineRule="auto"/>
              <w:ind w:left="14" w:right="84" w:rightChars="40"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如果我方的投标文件未响应、违反、偏离招标文件的实质性要求，我方接受招标人或其授权的招标代理机构或其组建的评标委员会依据招标文件作出的相应处理，包括否</w:t>
            </w:r>
            <w:r>
              <w:rPr>
                <w:rFonts w:hint="eastAsia" w:ascii="宋体" w:hAnsi="宋体" w:eastAsia="宋体" w:cs="宋体"/>
                <w:color w:val="auto"/>
                <w:spacing w:val="4"/>
                <w:sz w:val="24"/>
                <w:szCs w:val="24"/>
                <w:highlight w:val="none"/>
              </w:rPr>
              <w:t>决投标。</w:t>
            </w:r>
          </w:p>
        </w:tc>
      </w:tr>
      <w:tr w14:paraId="70CC1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1A0C3721">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540B8DCB">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7554913">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10465B02">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7CAD17D7">
            <w:pPr>
              <w:keepNext w:val="0"/>
              <w:keepLines w:val="0"/>
              <w:pageBreakBefore w:val="0"/>
              <w:widowControl w:val="0"/>
              <w:kinsoku/>
              <w:wordWrap w:val="0"/>
              <w:overflowPunct/>
              <w:topLinePunct/>
              <w:autoSpaceDE/>
              <w:autoSpaceDN/>
              <w:bidi w:val="0"/>
              <w:adjustRightInd w:val="0"/>
              <w:snapToGrid w:val="0"/>
              <w:spacing w:before="58" w:line="288" w:lineRule="auto"/>
              <w:ind w:left="30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75" w:type="dxa"/>
            <w:vAlign w:val="top"/>
          </w:tcPr>
          <w:p w14:paraId="34F13193">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2FEDFE8E">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16D94393">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2F9EEC1A">
            <w:pPr>
              <w:keepNext w:val="0"/>
              <w:keepLines w:val="0"/>
              <w:pageBreakBefore w:val="0"/>
              <w:widowControl w:val="0"/>
              <w:kinsoku/>
              <w:wordWrap w:val="0"/>
              <w:overflowPunct/>
              <w:topLinePunct/>
              <w:autoSpaceDE/>
              <w:autoSpaceDN/>
              <w:bidi w:val="0"/>
              <w:adjustRightInd w:val="0"/>
              <w:snapToGrid w:val="0"/>
              <w:spacing w:before="65" w:line="288" w:lineRule="auto"/>
              <w:ind w:left="262" w:right="84" w:rightChars="40" w:firstLine="3"/>
              <w:jc w:val="center"/>
              <w:textAlignment w:val="baseline"/>
              <w:rPr>
                <w:rFonts w:hint="eastAsia" w:ascii="宋体" w:hAnsi="宋体" w:eastAsia="宋体" w:cs="宋体"/>
                <w:color w:val="auto"/>
                <w:sz w:val="24"/>
                <w:szCs w:val="24"/>
                <w:highlight w:val="none"/>
              </w:rPr>
            </w:pPr>
            <w:r>
              <w:rPr>
                <w:rFonts w:hint="eastAsia"/>
                <w:color w:val="auto"/>
                <w:sz w:val="24"/>
                <w:szCs w:val="24"/>
                <w:highlight w:val="none"/>
              </w:rPr>
              <w:t>无禁止投标情形的承诺</w:t>
            </w:r>
          </w:p>
        </w:tc>
        <w:tc>
          <w:tcPr>
            <w:tcW w:w="3107" w:type="dxa"/>
            <w:vAlign w:val="top"/>
          </w:tcPr>
          <w:p w14:paraId="0B1D9FF9">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321C2D5E">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6A1719A">
            <w:pPr>
              <w:keepNext w:val="0"/>
              <w:keepLines w:val="0"/>
              <w:pageBreakBefore w:val="0"/>
              <w:widowControl w:val="0"/>
              <w:kinsoku/>
              <w:wordWrap w:val="0"/>
              <w:overflowPunct/>
              <w:topLinePunct/>
              <w:autoSpaceDE/>
              <w:autoSpaceDN/>
              <w:bidi w:val="0"/>
              <w:adjustRightInd w:val="0"/>
              <w:snapToGrid w:val="0"/>
              <w:spacing w:before="65" w:line="288" w:lineRule="auto"/>
              <w:ind w:left="10" w:right="84" w:rightChars="40"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我方不存在招标文件第一</w:t>
            </w:r>
            <w:r>
              <w:rPr>
                <w:rFonts w:hint="eastAsia" w:ascii="宋体" w:hAnsi="宋体" w:eastAsia="宋体" w:cs="宋体"/>
                <w:color w:val="auto"/>
                <w:spacing w:val="8"/>
                <w:sz w:val="24"/>
                <w:szCs w:val="24"/>
                <w:highlight w:val="none"/>
              </w:rPr>
              <w:t>章第三节第</w:t>
            </w:r>
            <w:r>
              <w:rPr>
                <w:rFonts w:hint="eastAsia" w:ascii="宋体" w:hAnsi="宋体" w:eastAsia="宋体" w:cs="宋体"/>
                <w:color w:val="auto"/>
                <w:spacing w:val="-35"/>
                <w:sz w:val="24"/>
                <w:szCs w:val="24"/>
                <w:highlight w:val="none"/>
              </w:rPr>
              <w:t xml:space="preserve"> </w:t>
            </w:r>
            <w:r>
              <w:rPr>
                <w:rFonts w:hint="eastAsia" w:ascii="宋体" w:hAnsi="宋体" w:eastAsia="宋体" w:cs="宋体"/>
                <w:b/>
                <w:bCs/>
                <w:color w:val="auto"/>
                <w:spacing w:val="8"/>
                <w:sz w:val="24"/>
                <w:szCs w:val="24"/>
                <w:highlight w:val="none"/>
              </w:rPr>
              <w:t>2.4</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8"/>
                <w:sz w:val="24"/>
                <w:szCs w:val="24"/>
                <w:highlight w:val="none"/>
              </w:rPr>
              <w:t>条“禁止投标条</w:t>
            </w:r>
            <w:r>
              <w:rPr>
                <w:rFonts w:hint="eastAsia" w:ascii="宋体" w:hAnsi="宋体" w:eastAsia="宋体" w:cs="宋体"/>
                <w:color w:val="auto"/>
                <w:spacing w:val="6"/>
                <w:sz w:val="24"/>
                <w:szCs w:val="24"/>
                <w:highlight w:val="none"/>
              </w:rPr>
              <w:t>款</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6"/>
                <w:sz w:val="24"/>
                <w:szCs w:val="24"/>
                <w:highlight w:val="none"/>
              </w:rPr>
              <w:t>”规定的任何一种情形。</w:t>
            </w:r>
          </w:p>
        </w:tc>
        <w:tc>
          <w:tcPr>
            <w:tcW w:w="4272" w:type="dxa"/>
            <w:vAlign w:val="top"/>
          </w:tcPr>
          <w:p w14:paraId="43C1C6F7">
            <w:pPr>
              <w:keepNext w:val="0"/>
              <w:keepLines w:val="0"/>
              <w:pageBreakBefore w:val="0"/>
              <w:widowControl w:val="0"/>
              <w:kinsoku/>
              <w:wordWrap w:val="0"/>
              <w:overflowPunct/>
              <w:topLinePunct/>
              <w:autoSpaceDE/>
              <w:autoSpaceDN/>
              <w:bidi w:val="0"/>
              <w:adjustRightInd w:val="0"/>
              <w:snapToGrid w:val="0"/>
              <w:spacing w:before="122" w:line="288" w:lineRule="auto"/>
              <w:ind w:left="9" w:right="84" w:rightChars="40" w:firstLine="42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如果我方有招标文件第一章第三节第</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6"/>
                <w:sz w:val="24"/>
                <w:szCs w:val="24"/>
                <w:highlight w:val="none"/>
              </w:rPr>
              <w:t>2.</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pacing w:val="1"/>
                <w:sz w:val="24"/>
                <w:szCs w:val="24"/>
                <w:highlight w:val="none"/>
              </w:rPr>
              <w:t xml:space="preserve">4 </w:t>
            </w:r>
            <w:r>
              <w:rPr>
                <w:rFonts w:hint="eastAsia" w:ascii="宋体" w:hAnsi="宋体" w:eastAsia="宋体" w:cs="宋体"/>
                <w:color w:val="auto"/>
                <w:spacing w:val="1"/>
                <w:sz w:val="24"/>
                <w:szCs w:val="24"/>
                <w:highlight w:val="none"/>
              </w:rPr>
              <w:t>条“禁止投标条款</w:t>
            </w:r>
            <w:r>
              <w:rPr>
                <w:rFonts w:hint="eastAsia" w:ascii="宋体" w:hAnsi="宋体" w:eastAsia="宋体" w:cs="宋体"/>
                <w:color w:val="auto"/>
                <w:spacing w:val="-65"/>
                <w:sz w:val="24"/>
                <w:szCs w:val="24"/>
                <w:highlight w:val="none"/>
              </w:rPr>
              <w:t xml:space="preserve"> </w:t>
            </w:r>
            <w:r>
              <w:rPr>
                <w:rFonts w:hint="eastAsia" w:ascii="宋体" w:hAnsi="宋体" w:eastAsia="宋体" w:cs="宋体"/>
                <w:color w:val="auto"/>
                <w:spacing w:val="1"/>
                <w:sz w:val="24"/>
                <w:szCs w:val="24"/>
                <w:highlight w:val="none"/>
              </w:rPr>
              <w:t>”规定的任何一种情形，</w:t>
            </w:r>
            <w:r>
              <w:rPr>
                <w:rFonts w:hint="eastAsia" w:ascii="宋体" w:hAnsi="宋体" w:eastAsia="宋体" w:cs="宋体"/>
                <w:color w:val="auto"/>
                <w:spacing w:val="8"/>
                <w:sz w:val="24"/>
                <w:szCs w:val="24"/>
                <w:highlight w:val="none"/>
              </w:rPr>
              <w:t>我方接受招标人或其授权的招标代理机构或其组建的评标委员会依据招标文件作出的相应处理以及有关监督部门作出的行政处罚，</w:t>
            </w:r>
            <w:r>
              <w:rPr>
                <w:rFonts w:hint="eastAsia" w:ascii="宋体" w:hAnsi="宋体" w:eastAsia="宋体" w:cs="宋体"/>
                <w:color w:val="auto"/>
                <w:spacing w:val="6"/>
                <w:sz w:val="24"/>
                <w:szCs w:val="24"/>
                <w:highlight w:val="none"/>
              </w:rPr>
              <w:t>并承担由此引起的一切法律后果。</w:t>
            </w:r>
          </w:p>
        </w:tc>
      </w:tr>
      <w:tr w14:paraId="37C0C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3F0DF106">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6559EE3F">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191575F6">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39021D49">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04A84280">
            <w:pPr>
              <w:keepNext w:val="0"/>
              <w:keepLines w:val="0"/>
              <w:pageBreakBefore w:val="0"/>
              <w:widowControl w:val="0"/>
              <w:kinsoku/>
              <w:wordWrap w:val="0"/>
              <w:overflowPunct/>
              <w:topLinePunct/>
              <w:autoSpaceDE/>
              <w:autoSpaceDN/>
              <w:bidi w:val="0"/>
              <w:adjustRightInd w:val="0"/>
              <w:snapToGrid w:val="0"/>
              <w:spacing w:before="57" w:line="288" w:lineRule="auto"/>
              <w:ind w:left="312"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75" w:type="dxa"/>
            <w:vAlign w:val="top"/>
          </w:tcPr>
          <w:p w14:paraId="41B99B71">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3253F1B8">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11198398">
            <w:pPr>
              <w:jc w:val="center"/>
              <w:rPr>
                <w:rFonts w:hint="eastAsia" w:ascii="宋体" w:hAnsi="宋体" w:eastAsia="宋体" w:cs="宋体"/>
                <w:color w:val="auto"/>
                <w:sz w:val="24"/>
                <w:szCs w:val="24"/>
                <w:highlight w:val="none"/>
              </w:rPr>
            </w:pPr>
            <w:r>
              <w:rPr>
                <w:rFonts w:hint="eastAsia"/>
                <w:color w:val="auto"/>
                <w:sz w:val="24"/>
                <w:szCs w:val="24"/>
                <w:highlight w:val="none"/>
              </w:rPr>
              <w:t>自觉抵制围标串标和弄虚作假行为的承诺</w:t>
            </w:r>
          </w:p>
        </w:tc>
        <w:tc>
          <w:tcPr>
            <w:tcW w:w="3107" w:type="dxa"/>
            <w:vAlign w:val="top"/>
          </w:tcPr>
          <w:p w14:paraId="5B63F4E0">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2951067">
            <w:pPr>
              <w:keepNext w:val="0"/>
              <w:keepLines w:val="0"/>
              <w:pageBreakBefore w:val="0"/>
              <w:widowControl w:val="0"/>
              <w:kinsoku/>
              <w:wordWrap w:val="0"/>
              <w:overflowPunct/>
              <w:topLinePunct/>
              <w:autoSpaceDE/>
              <w:autoSpaceDN/>
              <w:bidi w:val="0"/>
              <w:adjustRightInd w:val="0"/>
              <w:snapToGrid w:val="0"/>
              <w:spacing w:before="65" w:line="288" w:lineRule="auto"/>
              <w:ind w:left="11" w:right="84" w:rightChars="40"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我方合法正当、诚实守信地</w:t>
            </w:r>
            <w:r>
              <w:rPr>
                <w:rFonts w:hint="eastAsia" w:ascii="宋体" w:hAnsi="宋体" w:eastAsia="宋体" w:cs="宋体"/>
                <w:color w:val="auto"/>
                <w:spacing w:val="7"/>
                <w:sz w:val="24"/>
                <w:szCs w:val="24"/>
                <w:highlight w:val="none"/>
              </w:rPr>
              <w:t>参与投标，不组织、不参加围标串标违法行为，不通过弄虚作假</w:t>
            </w:r>
            <w:r>
              <w:rPr>
                <w:rFonts w:hint="eastAsia" w:ascii="宋体" w:hAnsi="宋体" w:eastAsia="宋体" w:cs="宋体"/>
                <w:color w:val="auto"/>
                <w:spacing w:val="6"/>
                <w:sz w:val="24"/>
                <w:szCs w:val="24"/>
                <w:highlight w:val="none"/>
              </w:rPr>
              <w:t>行为骗取中标。</w:t>
            </w:r>
          </w:p>
        </w:tc>
        <w:tc>
          <w:tcPr>
            <w:tcW w:w="4272" w:type="dxa"/>
            <w:vAlign w:val="top"/>
          </w:tcPr>
          <w:p w14:paraId="20F2ADCC">
            <w:pPr>
              <w:keepNext w:val="0"/>
              <w:keepLines w:val="0"/>
              <w:pageBreakBefore w:val="0"/>
              <w:widowControl w:val="0"/>
              <w:kinsoku/>
              <w:wordWrap w:val="0"/>
              <w:overflowPunct/>
              <w:topLinePunct/>
              <w:autoSpaceDE/>
              <w:autoSpaceDN/>
              <w:bidi w:val="0"/>
              <w:adjustRightInd w:val="0"/>
              <w:snapToGrid w:val="0"/>
              <w:spacing w:before="129" w:line="288" w:lineRule="auto"/>
              <w:ind w:left="13" w:right="84" w:rightChars="40"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w:t>
            </w:r>
            <w:r>
              <w:rPr>
                <w:rFonts w:hint="eastAsia" w:ascii="宋体" w:hAnsi="宋体" w:eastAsia="宋体" w:cs="宋体"/>
                <w:color w:val="auto"/>
                <w:spacing w:val="7"/>
                <w:sz w:val="24"/>
                <w:szCs w:val="24"/>
                <w:highlight w:val="none"/>
              </w:rPr>
              <w:t>引起的一切法律后果。</w:t>
            </w:r>
          </w:p>
        </w:tc>
      </w:tr>
      <w:tr w14:paraId="79C0C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18E6EEEF">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5A6F5B03">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367A5FF">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5C52F219">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621BB738">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2E35CDF4">
            <w:pPr>
              <w:keepNext w:val="0"/>
              <w:keepLines w:val="0"/>
              <w:pageBreakBefore w:val="0"/>
              <w:widowControl w:val="0"/>
              <w:kinsoku/>
              <w:wordWrap w:val="0"/>
              <w:overflowPunct/>
              <w:topLinePunct/>
              <w:autoSpaceDE/>
              <w:autoSpaceDN/>
              <w:bidi w:val="0"/>
              <w:adjustRightInd w:val="0"/>
              <w:snapToGrid w:val="0"/>
              <w:spacing w:before="58" w:line="288" w:lineRule="auto"/>
              <w:ind w:left="30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w:t>
            </w:r>
          </w:p>
        </w:tc>
        <w:tc>
          <w:tcPr>
            <w:tcW w:w="1675" w:type="dxa"/>
            <w:vAlign w:val="top"/>
          </w:tcPr>
          <w:p w14:paraId="5EE1B65A">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0AF4F0AB">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1A684ED4">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5AE83441">
            <w:pPr>
              <w:jc w:val="center"/>
              <w:rPr>
                <w:rFonts w:hint="eastAsia"/>
                <w:color w:val="auto"/>
                <w:sz w:val="24"/>
                <w:szCs w:val="24"/>
                <w:highlight w:val="none"/>
              </w:rPr>
            </w:pPr>
          </w:p>
          <w:p w14:paraId="0BB504C4">
            <w:pPr>
              <w:jc w:val="center"/>
              <w:rPr>
                <w:rFonts w:hint="eastAsia" w:ascii="宋体" w:hAnsi="宋体" w:eastAsia="宋体" w:cs="宋体"/>
                <w:color w:val="auto"/>
                <w:sz w:val="24"/>
                <w:szCs w:val="24"/>
                <w:highlight w:val="none"/>
              </w:rPr>
            </w:pPr>
            <w:r>
              <w:rPr>
                <w:rFonts w:hint="eastAsia"/>
                <w:color w:val="auto"/>
                <w:sz w:val="24"/>
                <w:szCs w:val="24"/>
                <w:highlight w:val="none"/>
              </w:rPr>
              <w:t>项目经理任职承诺</w:t>
            </w:r>
          </w:p>
        </w:tc>
        <w:tc>
          <w:tcPr>
            <w:tcW w:w="3107" w:type="dxa"/>
            <w:vAlign w:val="top"/>
          </w:tcPr>
          <w:p w14:paraId="01B522F4">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3FA85BDE">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6CCDDE04">
            <w:pPr>
              <w:keepNext w:val="0"/>
              <w:keepLines w:val="0"/>
              <w:pageBreakBefore w:val="0"/>
              <w:widowControl w:val="0"/>
              <w:kinsoku/>
              <w:wordWrap w:val="0"/>
              <w:overflowPunct/>
              <w:topLinePunct/>
              <w:autoSpaceDE/>
              <w:autoSpaceDN/>
              <w:bidi w:val="0"/>
              <w:adjustRightInd w:val="0"/>
              <w:snapToGrid w:val="0"/>
              <w:spacing w:before="65" w:line="288" w:lineRule="auto"/>
              <w:ind w:left="9" w:right="84" w:rightChars="40"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9"/>
                <w:sz w:val="24"/>
                <w:szCs w:val="24"/>
                <w:highlight w:val="none"/>
              </w:rPr>
              <w:t>我方拟派项目经理现阶段</w:t>
            </w:r>
            <w:r>
              <w:rPr>
                <w:rFonts w:hint="eastAsia" w:ascii="宋体" w:hAnsi="宋体" w:eastAsia="宋体" w:cs="宋体"/>
                <w:color w:val="auto"/>
                <w:spacing w:val="7"/>
                <w:sz w:val="24"/>
                <w:szCs w:val="24"/>
                <w:highlight w:val="none"/>
              </w:rPr>
              <w:t>没有担任任何在施（包括已中标未开工、已开工未竣工）建设工程项目的项目经理。</w:t>
            </w:r>
          </w:p>
        </w:tc>
        <w:tc>
          <w:tcPr>
            <w:tcW w:w="4272" w:type="dxa"/>
            <w:vAlign w:val="top"/>
          </w:tcPr>
          <w:p w14:paraId="38633CBE">
            <w:pPr>
              <w:keepNext w:val="0"/>
              <w:keepLines w:val="0"/>
              <w:pageBreakBefore w:val="0"/>
              <w:widowControl w:val="0"/>
              <w:kinsoku/>
              <w:wordWrap w:val="0"/>
              <w:overflowPunct/>
              <w:topLinePunct/>
              <w:autoSpaceDE/>
              <w:autoSpaceDN/>
              <w:bidi w:val="0"/>
              <w:adjustRightInd w:val="0"/>
              <w:snapToGrid w:val="0"/>
              <w:spacing w:before="128" w:line="288" w:lineRule="auto"/>
              <w:ind w:left="11" w:right="84" w:rightChars="40"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w:t>
            </w:r>
            <w:r>
              <w:rPr>
                <w:rFonts w:hint="eastAsia" w:ascii="宋体" w:hAnsi="宋体" w:eastAsia="宋体" w:cs="宋体"/>
                <w:color w:val="auto"/>
                <w:sz w:val="24"/>
                <w:szCs w:val="24"/>
                <w:highlight w:val="none"/>
              </w:rPr>
              <w:t>行政处罚，并承担由此引起的一切法律后果。</w:t>
            </w:r>
          </w:p>
        </w:tc>
      </w:tr>
      <w:tr w14:paraId="2469B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47E48C8D">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56CFCB51">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1BEF2785">
            <w:pPr>
              <w:keepNext w:val="0"/>
              <w:keepLines w:val="0"/>
              <w:pageBreakBefore w:val="0"/>
              <w:widowControl w:val="0"/>
              <w:kinsoku/>
              <w:wordWrap w:val="0"/>
              <w:overflowPunct/>
              <w:topLinePunct/>
              <w:autoSpaceDE/>
              <w:autoSpaceDN/>
              <w:bidi w:val="0"/>
              <w:adjustRightInd w:val="0"/>
              <w:snapToGrid w:val="0"/>
              <w:spacing w:before="58" w:line="288" w:lineRule="auto"/>
              <w:ind w:left="314"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675" w:type="dxa"/>
            <w:vAlign w:val="top"/>
          </w:tcPr>
          <w:p w14:paraId="12CF6DB7">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3163C6E2">
            <w:pPr>
              <w:keepNext w:val="0"/>
              <w:keepLines w:val="0"/>
              <w:pageBreakBefore w:val="0"/>
              <w:widowControl w:val="0"/>
              <w:kinsoku/>
              <w:wordWrap w:val="0"/>
              <w:overflowPunct/>
              <w:topLinePunct/>
              <w:autoSpaceDE/>
              <w:autoSpaceDN/>
              <w:bidi w:val="0"/>
              <w:adjustRightInd w:val="0"/>
              <w:snapToGrid w:val="0"/>
              <w:spacing w:before="65" w:line="288" w:lineRule="auto"/>
              <w:ind w:left="267" w:right="84" w:rightChars="40" w:firstLine="105"/>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投标文件真实性承诺</w:t>
            </w:r>
          </w:p>
        </w:tc>
        <w:tc>
          <w:tcPr>
            <w:tcW w:w="3107" w:type="dxa"/>
            <w:vAlign w:val="top"/>
          </w:tcPr>
          <w:p w14:paraId="7B880C56">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7C0B675D">
            <w:pPr>
              <w:keepNext w:val="0"/>
              <w:keepLines w:val="0"/>
              <w:pageBreakBefore w:val="0"/>
              <w:widowControl w:val="0"/>
              <w:kinsoku/>
              <w:wordWrap w:val="0"/>
              <w:overflowPunct/>
              <w:topLinePunct/>
              <w:autoSpaceDE/>
              <w:autoSpaceDN/>
              <w:bidi w:val="0"/>
              <w:adjustRightInd w:val="0"/>
              <w:snapToGrid w:val="0"/>
              <w:spacing w:before="65" w:line="288" w:lineRule="auto"/>
              <w:ind w:left="12" w:right="84" w:rightChars="40" w:firstLine="40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0"/>
                <w:sz w:val="24"/>
                <w:szCs w:val="24"/>
                <w:highlight w:val="none"/>
              </w:rPr>
              <w:t>我方所递交投标文件的全</w:t>
            </w:r>
            <w:r>
              <w:rPr>
                <w:rFonts w:hint="eastAsia" w:ascii="宋体" w:hAnsi="宋体" w:eastAsia="宋体" w:cs="宋体"/>
                <w:color w:val="auto"/>
                <w:spacing w:val="-7"/>
                <w:sz w:val="24"/>
                <w:szCs w:val="24"/>
                <w:highlight w:val="none"/>
              </w:rPr>
              <w:t>部内容均为真实、有效、准确的。</w:t>
            </w:r>
          </w:p>
        </w:tc>
        <w:tc>
          <w:tcPr>
            <w:tcW w:w="4272" w:type="dxa"/>
            <w:vAlign w:val="top"/>
          </w:tcPr>
          <w:p w14:paraId="7DB872D8">
            <w:pPr>
              <w:keepNext w:val="0"/>
              <w:keepLines w:val="0"/>
              <w:pageBreakBefore w:val="0"/>
              <w:widowControl w:val="0"/>
              <w:kinsoku/>
              <w:wordWrap w:val="0"/>
              <w:overflowPunct/>
              <w:topLinePunct/>
              <w:autoSpaceDE/>
              <w:autoSpaceDN/>
              <w:bidi w:val="0"/>
              <w:adjustRightInd w:val="0"/>
              <w:snapToGrid w:val="0"/>
              <w:spacing w:before="127" w:line="288" w:lineRule="auto"/>
              <w:ind w:left="11" w:right="84" w:rightChars="40" w:firstLine="417"/>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如果我方递交的投标文件任何内容不真实或无效或不准确，我方接受招标人或其授权的招标代理机构或其组建的评标委员会依</w:t>
            </w:r>
            <w:r>
              <w:rPr>
                <w:rFonts w:hint="eastAsia" w:ascii="宋体" w:hAnsi="宋体" w:eastAsia="宋体" w:cs="宋体"/>
                <w:color w:val="auto"/>
                <w:sz w:val="24"/>
                <w:szCs w:val="24"/>
                <w:highlight w:val="none"/>
              </w:rPr>
              <w:t>据招标文件作出的相应处理，包括否决投标。</w:t>
            </w:r>
          </w:p>
        </w:tc>
      </w:tr>
      <w:tr w14:paraId="6268B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4" w:hRule="atLeast"/>
        </w:trPr>
        <w:tc>
          <w:tcPr>
            <w:tcW w:w="764" w:type="dxa"/>
            <w:vAlign w:val="top"/>
          </w:tcPr>
          <w:p w14:paraId="48BEFD32">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256AC23B">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77D0729">
            <w:pPr>
              <w:keepNext w:val="0"/>
              <w:keepLines w:val="0"/>
              <w:pageBreakBefore w:val="0"/>
              <w:widowControl w:val="0"/>
              <w:kinsoku/>
              <w:wordWrap w:val="0"/>
              <w:overflowPunct/>
              <w:topLinePunct/>
              <w:autoSpaceDE/>
              <w:autoSpaceDN/>
              <w:bidi w:val="0"/>
              <w:adjustRightInd w:val="0"/>
              <w:snapToGrid w:val="0"/>
              <w:spacing w:before="58" w:line="288" w:lineRule="auto"/>
              <w:ind w:left="31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p w14:paraId="2E184713">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anchor distT="0" distB="0" distL="114300" distR="114300" simplePos="0" relativeHeight="251662336" behindDoc="1" locked="0" layoutInCell="0" allowOverlap="1">
                  <wp:simplePos x="0" y="0"/>
                  <wp:positionH relativeFrom="page">
                    <wp:posOffset>3902075</wp:posOffset>
                  </wp:positionH>
                  <wp:positionV relativeFrom="page">
                    <wp:posOffset>2252345</wp:posOffset>
                  </wp:positionV>
                  <wp:extent cx="6350" cy="241300"/>
                  <wp:effectExtent l="0" t="0" r="0" b="0"/>
                  <wp:wrapNone/>
                  <wp:docPr id="16" name="IM 120"/>
                  <wp:cNvGraphicFramePr/>
                  <a:graphic xmlns:a="http://schemas.openxmlformats.org/drawingml/2006/main">
                    <a:graphicData uri="http://schemas.openxmlformats.org/drawingml/2006/picture">
                      <pic:pic xmlns:pic="http://schemas.openxmlformats.org/drawingml/2006/picture">
                        <pic:nvPicPr>
                          <pic:cNvPr id="16" name="IM 120"/>
                          <pic:cNvPicPr/>
                        </pic:nvPicPr>
                        <pic:blipFill>
                          <a:blip r:embed="rId50"/>
                          <a:stretch>
                            <a:fillRect/>
                          </a:stretch>
                        </pic:blipFill>
                        <pic:spPr>
                          <a:xfrm>
                            <a:off x="0" y="0"/>
                            <a:ext cx="6350" cy="241300"/>
                          </a:xfrm>
                          <a:prstGeom prst="rect">
                            <a:avLst/>
                          </a:prstGeom>
                          <a:noFill/>
                          <a:ln>
                            <a:noFill/>
                          </a:ln>
                        </pic:spPr>
                      </pic:pic>
                    </a:graphicData>
                  </a:graphic>
                </wp:anchor>
              </w:drawing>
            </w:r>
          </w:p>
        </w:tc>
        <w:tc>
          <w:tcPr>
            <w:tcW w:w="1675" w:type="dxa"/>
            <w:vAlign w:val="top"/>
          </w:tcPr>
          <w:p w14:paraId="1B6D2695">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3A897288">
            <w:pPr>
              <w:jc w:val="center"/>
              <w:rPr>
                <w:rFonts w:hint="eastAsia"/>
                <w:color w:val="auto"/>
                <w:sz w:val="24"/>
                <w:szCs w:val="24"/>
                <w:highlight w:val="none"/>
              </w:rPr>
            </w:pPr>
            <w:r>
              <w:rPr>
                <w:rFonts w:hint="eastAsia"/>
                <w:color w:val="auto"/>
                <w:sz w:val="24"/>
                <w:szCs w:val="24"/>
                <w:highlight w:val="none"/>
              </w:rPr>
              <w:t>投标文件</w:t>
            </w:r>
          </w:p>
          <w:p w14:paraId="6EF5C6A2">
            <w:pPr>
              <w:jc w:val="center"/>
              <w:rPr>
                <w:rFonts w:hint="eastAsia" w:ascii="宋体" w:hAnsi="宋体" w:eastAsia="宋体" w:cs="宋体"/>
                <w:color w:val="auto"/>
                <w:sz w:val="24"/>
                <w:szCs w:val="24"/>
                <w:highlight w:val="none"/>
              </w:rPr>
            </w:pPr>
            <w:r>
              <w:rPr>
                <w:rFonts w:hint="eastAsia"/>
                <w:color w:val="auto"/>
                <w:sz w:val="24"/>
                <w:szCs w:val="24"/>
                <w:highlight w:val="none"/>
              </w:rPr>
              <w:t>信息公开承诺</w:t>
            </w:r>
          </w:p>
        </w:tc>
        <w:tc>
          <w:tcPr>
            <w:tcW w:w="3107" w:type="dxa"/>
            <w:vAlign w:val="top"/>
          </w:tcPr>
          <w:p w14:paraId="402B7A6C">
            <w:pPr>
              <w:keepNext w:val="0"/>
              <w:keepLines w:val="0"/>
              <w:pageBreakBefore w:val="0"/>
              <w:widowControl w:val="0"/>
              <w:kinsoku/>
              <w:wordWrap w:val="0"/>
              <w:overflowPunct/>
              <w:topLinePunct/>
              <w:autoSpaceDE/>
              <w:autoSpaceDN/>
              <w:bidi w:val="0"/>
              <w:adjustRightInd w:val="0"/>
              <w:snapToGrid w:val="0"/>
              <w:spacing w:before="130" w:line="288" w:lineRule="auto"/>
              <w:ind w:left="10" w:right="84" w:rightChars="40"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我方提供完整的文件。如果</w:t>
            </w:r>
            <w:r>
              <w:rPr>
                <w:rFonts w:hint="eastAsia" w:ascii="宋体" w:hAnsi="宋体" w:eastAsia="宋体" w:cs="宋体"/>
                <w:color w:val="auto"/>
                <w:spacing w:val="7"/>
                <w:sz w:val="24"/>
                <w:szCs w:val="24"/>
                <w:highlight w:val="none"/>
              </w:rPr>
              <w:t>我方成为本项目中标候选人，我</w:t>
            </w:r>
            <w:r>
              <w:rPr>
                <w:rFonts w:hint="eastAsia" w:ascii="宋体" w:hAnsi="宋体" w:eastAsia="宋体" w:cs="宋体"/>
                <w:color w:val="auto"/>
                <w:spacing w:val="23"/>
                <w:sz w:val="24"/>
                <w:szCs w:val="24"/>
                <w:highlight w:val="none"/>
              </w:rPr>
              <w:t>方同意并授权招标人在评标结果公示期内公开我方商务标书</w:t>
            </w:r>
            <w:r>
              <w:rPr>
                <w:rFonts w:hint="eastAsia" w:ascii="宋体" w:hAnsi="宋体" w:eastAsia="宋体" w:cs="宋体"/>
                <w:color w:val="auto"/>
                <w:spacing w:val="3"/>
                <w:sz w:val="24"/>
                <w:szCs w:val="24"/>
                <w:highlight w:val="none"/>
              </w:rPr>
              <w:t>的全部内容。</w:t>
            </w:r>
          </w:p>
        </w:tc>
        <w:tc>
          <w:tcPr>
            <w:tcW w:w="4272" w:type="dxa"/>
            <w:vAlign w:val="top"/>
          </w:tcPr>
          <w:p w14:paraId="6E4CF56D">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19050</wp:posOffset>
                      </wp:positionV>
                      <wp:extent cx="2698750" cy="1539875"/>
                      <wp:effectExtent l="3175" t="5715" r="3175" b="16510"/>
                      <wp:wrapNone/>
                      <wp:docPr id="23" name="直接连接符 23"/>
                      <wp:cNvGraphicFramePr/>
                      <a:graphic xmlns:a="http://schemas.openxmlformats.org/drawingml/2006/main">
                        <a:graphicData uri="http://schemas.microsoft.com/office/word/2010/wordprocessingShape">
                          <wps:wsp>
                            <wps:cNvCnPr/>
                            <wps:spPr>
                              <a:xfrm flipV="1">
                                <a:off x="4209415" y="1651000"/>
                                <a:ext cx="2698750" cy="15398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05pt;margin-top:1.5pt;height:121.25pt;width:212.5pt;z-index:251660288;mso-width-relative:page;mso-height-relative:page;" filled="f" stroked="t" coordsize="21600,21600" o:gfxdata="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IdPdQAAAAHAQAADwAAAAAAAAABACAAAAAiAAAAZHJzL2Rvd25y&#10;ZXYueG1sUEsBAhQAFAAAAAgAh07iQNS38qICAgAA0AMAAA4AAAAAAAAAAQAgAAAAIwEAAGRycy9l&#10;Mm9Eb2MueG1sUEsFBgAAAAAGAAYAWQEAAJcFAAAAAA==&#10;">
                      <v:fill on="f" focussize="0,0"/>
                      <v:stroke weight="1pt" color="#4874CB [3204]" miterlimit="8" joinstyle="miter"/>
                      <v:imagedata o:title=""/>
                      <o:lock v:ext="edit" aspectratio="f"/>
                    </v:line>
                  </w:pict>
                </mc:Fallback>
              </mc:AlternateContent>
            </w:r>
          </w:p>
          <w:p w14:paraId="6B24D635">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009615F">
            <w:pPr>
              <w:keepNext w:val="0"/>
              <w:keepLines w:val="0"/>
              <w:pageBreakBefore w:val="0"/>
              <w:widowControl w:val="0"/>
              <w:kinsoku/>
              <w:wordWrap w:val="0"/>
              <w:overflowPunct/>
              <w:topLinePunct/>
              <w:autoSpaceDE/>
              <w:autoSpaceDN/>
              <w:bidi w:val="0"/>
              <w:adjustRightInd w:val="0"/>
              <w:snapToGrid w:val="0"/>
              <w:spacing w:before="58" w:line="288" w:lineRule="auto"/>
              <w:ind w:left="1979" w:right="84" w:rightChars="40"/>
              <w:textAlignment w:val="baseline"/>
              <w:rPr>
                <w:rFonts w:hint="eastAsia" w:ascii="宋体" w:hAnsi="宋体" w:eastAsia="宋体" w:cs="宋体"/>
                <w:color w:val="auto"/>
                <w:sz w:val="24"/>
                <w:szCs w:val="24"/>
                <w:highlight w:val="none"/>
              </w:rPr>
            </w:pPr>
          </w:p>
        </w:tc>
      </w:tr>
      <w:tr w14:paraId="7E4A8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6" w:hRule="atLeast"/>
        </w:trPr>
        <w:tc>
          <w:tcPr>
            <w:tcW w:w="764" w:type="dxa"/>
            <w:vAlign w:val="top"/>
          </w:tcPr>
          <w:p w14:paraId="66A80203">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785EF42B">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2E4A935E">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2BFFFC95">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1CA4413A">
            <w:pPr>
              <w:keepNext w:val="0"/>
              <w:keepLines w:val="0"/>
              <w:pageBreakBefore w:val="0"/>
              <w:widowControl w:val="0"/>
              <w:kinsoku/>
              <w:wordWrap w:val="0"/>
              <w:overflowPunct/>
              <w:topLinePunct/>
              <w:autoSpaceDE/>
              <w:autoSpaceDN/>
              <w:bidi w:val="0"/>
              <w:adjustRightInd w:val="0"/>
              <w:snapToGrid w:val="0"/>
              <w:spacing w:before="57" w:line="288" w:lineRule="auto"/>
              <w:ind w:left="312"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675" w:type="dxa"/>
            <w:vAlign w:val="top"/>
          </w:tcPr>
          <w:p w14:paraId="3B5DA033">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4D4A6CBF">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38BE5D07">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069F9464">
            <w:pPr>
              <w:keepNext w:val="0"/>
              <w:keepLines w:val="0"/>
              <w:pageBreakBefore w:val="0"/>
              <w:widowControl w:val="0"/>
              <w:kinsoku/>
              <w:wordWrap w:val="0"/>
              <w:overflowPunct/>
              <w:topLinePunct/>
              <w:autoSpaceDE/>
              <w:autoSpaceDN/>
              <w:bidi w:val="0"/>
              <w:adjustRightInd w:val="0"/>
              <w:snapToGrid w:val="0"/>
              <w:spacing w:before="65" w:line="288" w:lineRule="auto"/>
              <w:ind w:left="281" w:right="84" w:rightChars="40" w:hanging="123"/>
              <w:jc w:val="center"/>
              <w:textAlignment w:val="baseline"/>
              <w:rPr>
                <w:rFonts w:hint="eastAsia" w:ascii="宋体" w:hAnsi="宋体" w:eastAsia="宋体" w:cs="宋体"/>
                <w:color w:val="auto"/>
                <w:sz w:val="24"/>
                <w:szCs w:val="24"/>
                <w:highlight w:val="none"/>
              </w:rPr>
            </w:pPr>
            <w:r>
              <w:rPr>
                <w:rFonts w:hint="eastAsia"/>
                <w:color w:val="auto"/>
                <w:sz w:val="24"/>
                <w:szCs w:val="24"/>
                <w:highlight w:val="none"/>
              </w:rPr>
              <w:t>对不正常报价的确认承诺</w:t>
            </w:r>
          </w:p>
        </w:tc>
        <w:tc>
          <w:tcPr>
            <w:tcW w:w="3107" w:type="dxa"/>
            <w:vAlign w:val="top"/>
          </w:tcPr>
          <w:p w14:paraId="151FCA5E">
            <w:pPr>
              <w:keepNext w:val="0"/>
              <w:keepLines w:val="0"/>
              <w:pageBreakBefore w:val="0"/>
              <w:widowControl w:val="0"/>
              <w:kinsoku/>
              <w:wordWrap w:val="0"/>
              <w:overflowPunct/>
              <w:topLinePunct/>
              <w:autoSpaceDE/>
              <w:autoSpaceDN/>
              <w:bidi w:val="0"/>
              <w:adjustRightInd w:val="0"/>
              <w:snapToGrid w:val="0"/>
              <w:spacing w:before="121" w:line="288" w:lineRule="auto"/>
              <w:ind w:left="10" w:right="84" w:rightChars="40" w:firstLine="42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如果我方中标，我方接受招</w:t>
            </w:r>
            <w:r>
              <w:rPr>
                <w:rFonts w:hint="eastAsia" w:ascii="宋体" w:hAnsi="宋体" w:eastAsia="宋体" w:cs="宋体"/>
                <w:color w:val="auto"/>
                <w:spacing w:val="23"/>
                <w:sz w:val="24"/>
                <w:szCs w:val="24"/>
                <w:highlight w:val="none"/>
              </w:rPr>
              <w:t>标人在合同订立期间依据招标文件有关条款约定对我方已标价工程量清单中不正常报价的</w:t>
            </w:r>
            <w:r>
              <w:rPr>
                <w:rFonts w:hint="eastAsia" w:ascii="宋体" w:hAnsi="宋体" w:eastAsia="宋体" w:cs="宋体"/>
                <w:color w:val="auto"/>
                <w:spacing w:val="7"/>
                <w:sz w:val="24"/>
                <w:szCs w:val="24"/>
                <w:highlight w:val="none"/>
              </w:rPr>
              <w:t>修正或认定，并按要求签署《不</w:t>
            </w:r>
            <w:r>
              <w:rPr>
                <w:rFonts w:hint="eastAsia" w:ascii="宋体" w:hAnsi="宋体" w:eastAsia="宋体" w:cs="宋体"/>
                <w:color w:val="auto"/>
                <w:spacing w:val="8"/>
                <w:sz w:val="24"/>
                <w:szCs w:val="24"/>
                <w:highlight w:val="none"/>
              </w:rPr>
              <w:t>正常报价清单》加以确认。</w:t>
            </w:r>
          </w:p>
        </w:tc>
        <w:tc>
          <w:tcPr>
            <w:tcW w:w="4272" w:type="dxa"/>
            <w:vAlign w:val="top"/>
          </w:tcPr>
          <w:p w14:paraId="0CABD341">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7620</wp:posOffset>
                      </wp:positionH>
                      <wp:positionV relativeFrom="paragraph">
                        <wp:posOffset>26035</wp:posOffset>
                      </wp:positionV>
                      <wp:extent cx="2706370" cy="1920875"/>
                      <wp:effectExtent l="3810" t="5080" r="13970" b="17145"/>
                      <wp:wrapNone/>
                      <wp:docPr id="24" name="直接连接符 24"/>
                      <wp:cNvGraphicFramePr/>
                      <a:graphic xmlns:a="http://schemas.openxmlformats.org/drawingml/2006/main">
                        <a:graphicData uri="http://schemas.microsoft.com/office/word/2010/wordprocessingShape">
                          <wps:wsp>
                            <wps:cNvCnPr/>
                            <wps:spPr>
                              <a:xfrm flipV="1">
                                <a:off x="4217670" y="3238500"/>
                                <a:ext cx="2706370" cy="19208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6pt;margin-top:2.05pt;height:151.25pt;width:213.1pt;z-index:251661312;mso-width-relative:page;mso-height-relative:page;" filled="f" stroked="t" coordsize="21600,21600" o:gfxdata="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HjHtdIAAAAHAQAADwAAAAAAAAABACAAAAAiAAAAZHJzL2Rvd25y&#10;ZXYueG1sUEsBAhQAFAAAAAgAh07iQBDx3nQEAgAA0AMAAA4AAAAAAAAAAQAgAAAAIQEAAGRycy9l&#10;Mm9Eb2MueG1sUEsFBgAAAAAGAAYAWQEAAJcFAAAAAA==&#10;">
                      <v:fill on="f" focussize="0,0"/>
                      <v:stroke weight="1pt" color="#4874CB [3204]" miterlimit="8" joinstyle="miter"/>
                      <v:imagedata o:title=""/>
                      <o:lock v:ext="edit" aspectratio="f"/>
                    </v:line>
                  </w:pict>
                </mc:Fallback>
              </mc:AlternateContent>
            </w:r>
          </w:p>
          <w:p w14:paraId="78E0D517">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3FD22755">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0BA1F4F4">
            <w:pPr>
              <w:keepNext w:val="0"/>
              <w:keepLines w:val="0"/>
              <w:pageBreakBefore w:val="0"/>
              <w:widowControl w:val="0"/>
              <w:kinsoku/>
              <w:wordWrap w:val="0"/>
              <w:overflowPunct/>
              <w:topLinePunct/>
              <w:autoSpaceDE/>
              <w:autoSpaceDN/>
              <w:bidi w:val="0"/>
              <w:adjustRightInd w:val="0"/>
              <w:snapToGrid w:val="0"/>
              <w:spacing w:before="57" w:line="288" w:lineRule="auto"/>
              <w:ind w:left="1979" w:right="84" w:rightChars="40"/>
              <w:textAlignment w:val="baseline"/>
              <w:rPr>
                <w:rFonts w:hint="eastAsia" w:ascii="宋体" w:hAnsi="宋体" w:eastAsia="宋体" w:cs="宋体"/>
                <w:color w:val="auto"/>
                <w:sz w:val="24"/>
                <w:szCs w:val="24"/>
                <w:highlight w:val="none"/>
              </w:rPr>
            </w:pPr>
          </w:p>
        </w:tc>
      </w:tr>
      <w:tr w14:paraId="1FDA9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4E67B2EF">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71182A7C">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08BEA69D">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D7120DE">
            <w:pPr>
              <w:keepNext w:val="0"/>
              <w:keepLines w:val="0"/>
              <w:pageBreakBefore w:val="0"/>
              <w:widowControl w:val="0"/>
              <w:kinsoku/>
              <w:wordWrap w:val="0"/>
              <w:overflowPunct/>
              <w:topLinePunct/>
              <w:autoSpaceDE/>
              <w:autoSpaceDN/>
              <w:bidi w:val="0"/>
              <w:adjustRightInd w:val="0"/>
              <w:snapToGrid w:val="0"/>
              <w:spacing w:before="58" w:line="288" w:lineRule="auto"/>
              <w:ind w:left="31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675" w:type="dxa"/>
            <w:vAlign w:val="top"/>
          </w:tcPr>
          <w:p w14:paraId="4D7C2643">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7FADD369">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4D8B0610">
            <w:pPr>
              <w:keepNext w:val="0"/>
              <w:keepLines w:val="0"/>
              <w:pageBreakBefore w:val="0"/>
              <w:widowControl w:val="0"/>
              <w:kinsoku/>
              <w:wordWrap w:val="0"/>
              <w:overflowPunct/>
              <w:topLinePunct/>
              <w:autoSpaceDE/>
              <w:autoSpaceDN/>
              <w:bidi w:val="0"/>
              <w:adjustRightInd w:val="0"/>
              <w:snapToGrid w:val="0"/>
              <w:spacing w:before="65" w:line="288" w:lineRule="auto"/>
              <w:ind w:left="264" w:right="84" w:rightChars="40" w:hanging="104"/>
              <w:jc w:val="center"/>
              <w:textAlignment w:val="baseline"/>
              <w:rPr>
                <w:rFonts w:hint="eastAsia" w:ascii="宋体" w:hAnsi="宋体" w:eastAsia="宋体" w:cs="宋体"/>
                <w:color w:val="auto"/>
                <w:sz w:val="24"/>
                <w:szCs w:val="24"/>
                <w:highlight w:val="none"/>
              </w:rPr>
            </w:pPr>
            <w:r>
              <w:rPr>
                <w:rFonts w:hint="eastAsia"/>
                <w:color w:val="auto"/>
                <w:sz w:val="24"/>
                <w:szCs w:val="24"/>
                <w:highlight w:val="none"/>
              </w:rPr>
              <w:t>按时提交履约保证的承诺</w:t>
            </w:r>
          </w:p>
        </w:tc>
        <w:tc>
          <w:tcPr>
            <w:tcW w:w="3107" w:type="dxa"/>
            <w:vAlign w:val="top"/>
          </w:tcPr>
          <w:p w14:paraId="47E04297">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020BAC39">
            <w:pPr>
              <w:keepNext w:val="0"/>
              <w:keepLines w:val="0"/>
              <w:pageBreakBefore w:val="0"/>
              <w:widowControl w:val="0"/>
              <w:kinsoku/>
              <w:wordWrap w:val="0"/>
              <w:overflowPunct/>
              <w:topLinePunct/>
              <w:autoSpaceDE/>
              <w:autoSpaceDN/>
              <w:bidi w:val="0"/>
              <w:adjustRightInd w:val="0"/>
              <w:snapToGrid w:val="0"/>
              <w:spacing w:before="65" w:line="288" w:lineRule="auto"/>
              <w:ind w:left="10" w:right="84" w:rightChars="40"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如果我方中标，我方保证在</w:t>
            </w:r>
            <w:r>
              <w:rPr>
                <w:rFonts w:hint="eastAsia" w:ascii="宋体" w:hAnsi="宋体" w:eastAsia="宋体" w:cs="宋体"/>
                <w:color w:val="auto"/>
                <w:spacing w:val="23"/>
                <w:sz w:val="24"/>
                <w:szCs w:val="24"/>
                <w:highlight w:val="none"/>
              </w:rPr>
              <w:t>招标文件规定的时限内全额提</w:t>
            </w:r>
            <w:r>
              <w:rPr>
                <w:rFonts w:hint="eastAsia" w:ascii="宋体" w:hAnsi="宋体" w:eastAsia="宋体" w:cs="宋体"/>
                <w:color w:val="auto"/>
                <w:spacing w:val="6"/>
                <w:sz w:val="24"/>
                <w:szCs w:val="24"/>
                <w:highlight w:val="none"/>
              </w:rPr>
              <w:t>交履约保证。</w:t>
            </w:r>
          </w:p>
        </w:tc>
        <w:tc>
          <w:tcPr>
            <w:tcW w:w="4272" w:type="dxa"/>
            <w:vAlign w:val="top"/>
          </w:tcPr>
          <w:p w14:paraId="6FCC3E05">
            <w:pPr>
              <w:keepNext w:val="0"/>
              <w:keepLines w:val="0"/>
              <w:pageBreakBefore w:val="0"/>
              <w:widowControl w:val="0"/>
              <w:kinsoku/>
              <w:wordWrap w:val="0"/>
              <w:overflowPunct/>
              <w:topLinePunct/>
              <w:autoSpaceDE/>
              <w:autoSpaceDN/>
              <w:bidi w:val="0"/>
              <w:adjustRightInd w:val="0"/>
              <w:snapToGrid w:val="0"/>
              <w:spacing w:before="128" w:line="288" w:lineRule="auto"/>
              <w:ind w:left="12" w:right="84" w:rightChars="40" w:firstLine="42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如果我方未在招标文件规定的时限内全额提交履约保证，我方接受招标人依据招标文件作出的相应处理以及有关监督部门作出的行政处罚，并承担由此引起的一切法律后</w:t>
            </w:r>
            <w:r>
              <w:rPr>
                <w:rFonts w:hint="eastAsia" w:ascii="宋体" w:hAnsi="宋体" w:eastAsia="宋体" w:cs="宋体"/>
                <w:color w:val="auto"/>
                <w:sz w:val="24"/>
                <w:szCs w:val="24"/>
                <w:highlight w:val="none"/>
              </w:rPr>
              <w:t>果。</w:t>
            </w:r>
          </w:p>
        </w:tc>
      </w:tr>
      <w:tr w14:paraId="03D8F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78B3C539">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E2B8215">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19DAC48D">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C3413F2">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19A32EE5">
            <w:pPr>
              <w:keepNext w:val="0"/>
              <w:keepLines w:val="0"/>
              <w:pageBreakBefore w:val="0"/>
              <w:widowControl w:val="0"/>
              <w:kinsoku/>
              <w:wordWrap w:val="0"/>
              <w:overflowPunct/>
              <w:topLinePunct/>
              <w:autoSpaceDE/>
              <w:autoSpaceDN/>
              <w:bidi w:val="0"/>
              <w:adjustRightInd w:val="0"/>
              <w:snapToGrid w:val="0"/>
              <w:spacing w:before="58" w:line="288" w:lineRule="auto"/>
              <w:ind w:left="312"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675" w:type="dxa"/>
            <w:vAlign w:val="top"/>
          </w:tcPr>
          <w:p w14:paraId="1C8940F7">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79B79A02">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24B20C9A">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3583C78D">
            <w:pPr>
              <w:keepNext w:val="0"/>
              <w:keepLines w:val="0"/>
              <w:pageBreakBefore w:val="0"/>
              <w:widowControl w:val="0"/>
              <w:kinsoku/>
              <w:wordWrap w:val="0"/>
              <w:overflowPunct/>
              <w:topLinePunct/>
              <w:autoSpaceDE/>
              <w:autoSpaceDN/>
              <w:bidi w:val="0"/>
              <w:adjustRightInd w:val="0"/>
              <w:snapToGrid w:val="0"/>
              <w:spacing w:before="65" w:line="288" w:lineRule="auto"/>
              <w:ind w:left="492" w:right="84" w:rightChars="40" w:hanging="332"/>
              <w:jc w:val="center"/>
              <w:textAlignment w:val="baseline"/>
              <w:rPr>
                <w:rFonts w:hint="eastAsia" w:ascii="宋体" w:hAnsi="宋体" w:eastAsia="宋体" w:cs="宋体"/>
                <w:color w:val="auto"/>
                <w:sz w:val="24"/>
                <w:szCs w:val="24"/>
                <w:highlight w:val="none"/>
              </w:rPr>
            </w:pPr>
            <w:r>
              <w:rPr>
                <w:rFonts w:hint="eastAsia"/>
                <w:color w:val="auto"/>
                <w:sz w:val="24"/>
                <w:szCs w:val="24"/>
                <w:highlight w:val="none"/>
              </w:rPr>
              <w:t>按时签订合同的承诺</w:t>
            </w:r>
          </w:p>
        </w:tc>
        <w:tc>
          <w:tcPr>
            <w:tcW w:w="3107" w:type="dxa"/>
            <w:vAlign w:val="top"/>
          </w:tcPr>
          <w:p w14:paraId="6C6F8967">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2D3CB5A1">
            <w:pPr>
              <w:keepNext w:val="0"/>
              <w:keepLines w:val="0"/>
              <w:pageBreakBefore w:val="0"/>
              <w:widowControl w:val="0"/>
              <w:kinsoku/>
              <w:wordWrap w:val="0"/>
              <w:overflowPunct/>
              <w:topLinePunct/>
              <w:autoSpaceDE/>
              <w:autoSpaceDN/>
              <w:bidi w:val="0"/>
              <w:adjustRightInd w:val="0"/>
              <w:snapToGrid w:val="0"/>
              <w:spacing w:before="65" w:line="288" w:lineRule="auto"/>
              <w:ind w:left="10" w:right="84" w:rightChars="40"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如果我方中标，我方保证在</w:t>
            </w:r>
            <w:r>
              <w:rPr>
                <w:rFonts w:hint="eastAsia" w:ascii="宋体" w:hAnsi="宋体" w:eastAsia="宋体" w:cs="宋体"/>
                <w:color w:val="auto"/>
                <w:spacing w:val="23"/>
                <w:sz w:val="24"/>
                <w:szCs w:val="24"/>
                <w:highlight w:val="none"/>
              </w:rPr>
              <w:t>招标文件规定的时限内与招标</w:t>
            </w:r>
            <w:r>
              <w:rPr>
                <w:rFonts w:hint="eastAsia" w:ascii="宋体" w:hAnsi="宋体" w:eastAsia="宋体" w:cs="宋体"/>
                <w:color w:val="auto"/>
                <w:spacing w:val="7"/>
                <w:sz w:val="24"/>
                <w:szCs w:val="24"/>
                <w:highlight w:val="none"/>
              </w:rPr>
              <w:t>人签订合同，不提出违背或超出</w:t>
            </w:r>
            <w:r>
              <w:rPr>
                <w:rFonts w:hint="eastAsia" w:ascii="宋体" w:hAnsi="宋体" w:eastAsia="宋体" w:cs="宋体"/>
                <w:color w:val="auto"/>
                <w:spacing w:val="8"/>
                <w:sz w:val="24"/>
                <w:szCs w:val="24"/>
                <w:highlight w:val="none"/>
              </w:rPr>
              <w:t>招标文件、中标文件的要求。</w:t>
            </w:r>
          </w:p>
        </w:tc>
        <w:tc>
          <w:tcPr>
            <w:tcW w:w="4272" w:type="dxa"/>
            <w:vAlign w:val="top"/>
          </w:tcPr>
          <w:p w14:paraId="193148D9">
            <w:pPr>
              <w:keepNext w:val="0"/>
              <w:keepLines w:val="0"/>
              <w:pageBreakBefore w:val="0"/>
              <w:widowControl w:val="0"/>
              <w:kinsoku/>
              <w:wordWrap w:val="0"/>
              <w:overflowPunct/>
              <w:topLinePunct/>
              <w:autoSpaceDE/>
              <w:autoSpaceDN/>
              <w:bidi w:val="0"/>
              <w:adjustRightInd w:val="0"/>
              <w:snapToGrid w:val="0"/>
              <w:spacing w:before="126" w:line="288" w:lineRule="auto"/>
              <w:ind w:left="13" w:right="84" w:rightChars="40" w:firstLine="415"/>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如果我方未在招标文件规定的时限内与招标人签订合同，或我方在签订合同过程中</w:t>
            </w:r>
            <w:r>
              <w:rPr>
                <w:rFonts w:hint="eastAsia" w:ascii="宋体" w:hAnsi="宋体" w:eastAsia="宋体" w:cs="宋体"/>
                <w:color w:val="auto"/>
                <w:sz w:val="24"/>
                <w:szCs w:val="24"/>
                <w:highlight w:val="none"/>
              </w:rPr>
              <w:t>提出违背或超出招标文件、中标文件的要求。</w:t>
            </w:r>
            <w:r>
              <w:rPr>
                <w:rFonts w:hint="eastAsia" w:ascii="宋体" w:hAnsi="宋体" w:eastAsia="宋体" w:cs="宋体"/>
                <w:color w:val="auto"/>
                <w:spacing w:val="7"/>
                <w:sz w:val="24"/>
                <w:szCs w:val="24"/>
                <w:highlight w:val="none"/>
              </w:rPr>
              <w:t>我方接受招标人依据招标文件作出的相应处理以及有关监督部门作出的行政处罚，并承</w:t>
            </w:r>
            <w:r>
              <w:rPr>
                <w:rFonts w:hint="eastAsia" w:ascii="宋体" w:hAnsi="宋体" w:eastAsia="宋体" w:cs="宋体"/>
                <w:color w:val="auto"/>
                <w:spacing w:val="5"/>
                <w:sz w:val="24"/>
                <w:szCs w:val="24"/>
                <w:highlight w:val="none"/>
              </w:rPr>
              <w:t>担由此引起的一切法律后果。</w:t>
            </w:r>
          </w:p>
        </w:tc>
      </w:tr>
    </w:tbl>
    <w:p w14:paraId="0705C275">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firstLine="6832" w:firstLineChars="2800"/>
        <w:jc w:val="both"/>
        <w:rPr>
          <w:rFonts w:hint="eastAsia" w:ascii="宋体" w:hAnsi="宋体" w:eastAsia="宋体" w:cs="宋体"/>
          <w:color w:val="auto"/>
          <w:spacing w:val="2"/>
          <w:sz w:val="24"/>
          <w:szCs w:val="24"/>
          <w:highlight w:val="none"/>
        </w:rPr>
      </w:pPr>
    </w:p>
    <w:p w14:paraId="5CE40E1D">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firstLine="6832" w:firstLineChars="280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191427A6">
      <w:pPr>
        <w:pStyle w:val="6"/>
        <w:keepNext w:val="0"/>
        <w:keepLines w:val="0"/>
        <w:pageBreakBefore w:val="0"/>
        <w:widowControl w:val="0"/>
        <w:kinsoku/>
        <w:wordWrap w:val="0"/>
        <w:overflowPunct/>
        <w:topLinePunct/>
        <w:autoSpaceDE/>
        <w:autoSpaceDN/>
        <w:bidi w:val="0"/>
        <w:adjustRightInd w:val="0"/>
        <w:snapToGrid w:val="0"/>
        <w:spacing w:line="297" w:lineRule="auto"/>
        <w:ind w:right="84" w:rightChars="40"/>
        <w:jc w:val="right"/>
        <w:rPr>
          <w:rFonts w:hint="eastAsia" w:ascii="宋体" w:hAnsi="宋体" w:eastAsia="宋体" w:cs="宋体"/>
          <w:color w:val="auto"/>
          <w:highlight w:val="none"/>
        </w:rPr>
      </w:pPr>
    </w:p>
    <w:p w14:paraId="3FC673EB">
      <w:pPr>
        <w:keepNext w:val="0"/>
        <w:keepLines w:val="0"/>
        <w:pageBreakBefore w:val="0"/>
        <w:widowControl w:val="0"/>
        <w:kinsoku/>
        <w:wordWrap w:val="0"/>
        <w:overflowPunct/>
        <w:topLinePunct/>
        <w:autoSpaceDE/>
        <w:autoSpaceDN/>
        <w:bidi w:val="0"/>
        <w:adjustRightInd w:val="0"/>
        <w:snapToGrid w:val="0"/>
        <w:spacing w:before="78" w:line="219" w:lineRule="auto"/>
        <w:ind w:left="4366" w:right="84" w:rightChars="40"/>
        <w:jc w:val="righ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6DF69E78">
      <w:pPr>
        <w:keepNext w:val="0"/>
        <w:keepLines w:val="0"/>
        <w:pageBreakBefore w:val="0"/>
        <w:widowControl w:val="0"/>
        <w:kinsoku/>
        <w:wordWrap w:val="0"/>
        <w:overflowPunct/>
        <w:topLinePunct/>
        <w:autoSpaceDE/>
        <w:autoSpaceDN/>
        <w:bidi w:val="0"/>
        <w:adjustRightInd w:val="0"/>
        <w:snapToGrid w:val="0"/>
        <w:ind w:right="84" w:rightChars="40"/>
        <w:outlineLvl w:val="9"/>
        <w:rPr>
          <w:rFonts w:hint="eastAsia"/>
          <w:color w:val="auto"/>
          <w:highlight w:val="none"/>
        </w:rPr>
      </w:pPr>
    </w:p>
    <w:p w14:paraId="625921F0">
      <w:pPr>
        <w:keepNext w:val="0"/>
        <w:keepLines w:val="0"/>
        <w:pageBreakBefore w:val="0"/>
        <w:widowControl w:val="0"/>
        <w:kinsoku/>
        <w:wordWrap w:val="0"/>
        <w:overflowPunct/>
        <w:topLinePunct/>
        <w:autoSpaceDE/>
        <w:autoSpaceDN/>
        <w:bidi w:val="0"/>
        <w:adjustRightInd w:val="0"/>
        <w:snapToGrid w:val="0"/>
        <w:spacing w:before="78" w:line="220" w:lineRule="auto"/>
        <w:ind w:left="6730" w:right="84" w:rightChars="4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76A014FF">
      <w:pPr>
        <w:keepNext w:val="0"/>
        <w:keepLines w:val="0"/>
        <w:pageBreakBefore w:val="0"/>
        <w:widowControl w:val="0"/>
        <w:kinsoku/>
        <w:wordWrap w:val="0"/>
        <w:overflowPunct/>
        <w:topLinePunct/>
        <w:autoSpaceDE/>
        <w:autoSpaceDN/>
        <w:bidi w:val="0"/>
        <w:adjustRightInd w:val="0"/>
        <w:snapToGrid w:val="0"/>
        <w:spacing w:line="220" w:lineRule="auto"/>
        <w:ind w:right="84" w:rightChars="40"/>
        <w:jc w:val="right"/>
        <w:rPr>
          <w:rFonts w:hint="eastAsia" w:ascii="宋体" w:hAnsi="宋体" w:eastAsia="宋体" w:cs="宋体"/>
          <w:color w:val="auto"/>
          <w:sz w:val="24"/>
          <w:szCs w:val="24"/>
          <w:highlight w:val="none"/>
        </w:rPr>
        <w:sectPr>
          <w:footerReference r:id="rId15"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365ADEE">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04" w:name="_Toc10597"/>
      <w:r>
        <w:rPr>
          <w:rFonts w:hint="eastAsia" w:ascii="宋体" w:hAnsi="宋体" w:eastAsia="宋体" w:cs="宋体"/>
          <w:b/>
          <w:bCs/>
          <w:color w:val="auto"/>
          <w:spacing w:val="-4"/>
          <w:sz w:val="24"/>
          <w:szCs w:val="24"/>
          <w:highlight w:val="none"/>
        </w:rPr>
        <w:t>格式四 授权委托书</w:t>
      </w:r>
      <w:bookmarkEnd w:id="204"/>
    </w:p>
    <w:p w14:paraId="1BB58B5D">
      <w:pPr>
        <w:pStyle w:val="6"/>
        <w:keepNext w:val="0"/>
        <w:keepLines w:val="0"/>
        <w:pageBreakBefore w:val="0"/>
        <w:widowControl w:val="0"/>
        <w:kinsoku/>
        <w:wordWrap w:val="0"/>
        <w:overflowPunct/>
        <w:topLinePunct/>
        <w:autoSpaceDE/>
        <w:autoSpaceDN/>
        <w:bidi w:val="0"/>
        <w:adjustRightInd w:val="0"/>
        <w:snapToGrid w:val="0"/>
        <w:spacing w:line="351" w:lineRule="auto"/>
        <w:ind w:right="84" w:rightChars="40"/>
        <w:rPr>
          <w:rFonts w:hint="eastAsia" w:ascii="宋体" w:hAnsi="宋体" w:eastAsia="宋体" w:cs="宋体"/>
          <w:color w:val="auto"/>
          <w:highlight w:val="none"/>
        </w:rPr>
      </w:pPr>
    </w:p>
    <w:p w14:paraId="042C5F99">
      <w:pPr>
        <w:pStyle w:val="6"/>
        <w:keepNext w:val="0"/>
        <w:keepLines w:val="0"/>
        <w:pageBreakBefore w:val="0"/>
        <w:widowControl w:val="0"/>
        <w:kinsoku/>
        <w:wordWrap w:val="0"/>
        <w:overflowPunct/>
        <w:topLinePunct/>
        <w:autoSpaceDE/>
        <w:autoSpaceDN/>
        <w:bidi w:val="0"/>
        <w:adjustRightInd w:val="0"/>
        <w:snapToGrid w:val="0"/>
        <w:spacing w:line="351" w:lineRule="auto"/>
        <w:ind w:right="84" w:rightChars="40"/>
        <w:rPr>
          <w:rFonts w:hint="eastAsia" w:ascii="宋体" w:hAnsi="宋体" w:eastAsia="宋体" w:cs="宋体"/>
          <w:color w:val="auto"/>
          <w:highlight w:val="none"/>
        </w:rPr>
      </w:pPr>
    </w:p>
    <w:p w14:paraId="0EB7C28F">
      <w:pPr>
        <w:keepNext w:val="0"/>
        <w:keepLines w:val="0"/>
        <w:pageBreakBefore w:val="0"/>
        <w:widowControl w:val="0"/>
        <w:kinsoku/>
        <w:wordWrap w:val="0"/>
        <w:overflowPunct/>
        <w:topLinePunct/>
        <w:autoSpaceDE/>
        <w:autoSpaceDN/>
        <w:bidi w:val="0"/>
        <w:adjustRightInd w:val="0"/>
        <w:snapToGrid w:val="0"/>
        <w:spacing w:before="97" w:line="219" w:lineRule="auto"/>
        <w:ind w:left="3786" w:right="84" w:rightChars="40"/>
        <w:rPr>
          <w:rFonts w:hint="eastAsia" w:ascii="宋体" w:hAnsi="宋体" w:eastAsia="宋体" w:cs="宋体"/>
          <w:color w:val="auto"/>
          <w:sz w:val="30"/>
          <w:szCs w:val="30"/>
          <w:highlight w:val="none"/>
        </w:rPr>
      </w:pPr>
      <w:bookmarkStart w:id="205" w:name="bookmark151"/>
      <w:bookmarkEnd w:id="205"/>
      <w:r>
        <w:rPr>
          <w:rFonts w:hint="eastAsia" w:ascii="宋体" w:hAnsi="宋体" w:eastAsia="宋体" w:cs="宋体"/>
          <w:b/>
          <w:bCs/>
          <w:color w:val="auto"/>
          <w:spacing w:val="-5"/>
          <w:sz w:val="30"/>
          <w:szCs w:val="30"/>
          <w:highlight w:val="none"/>
        </w:rPr>
        <w:t>授权委托书</w:t>
      </w:r>
    </w:p>
    <w:p w14:paraId="30BCBE04">
      <w:pPr>
        <w:pStyle w:val="6"/>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14:paraId="60EBA880">
      <w:pPr>
        <w:pStyle w:val="6"/>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14:paraId="570B7A68">
      <w:pPr>
        <w:pStyle w:val="6"/>
        <w:keepNext w:val="0"/>
        <w:keepLines w:val="0"/>
        <w:pageBreakBefore w:val="0"/>
        <w:widowControl w:val="0"/>
        <w:kinsoku/>
        <w:wordWrap w:val="0"/>
        <w:overflowPunct/>
        <w:topLinePunct/>
        <w:autoSpaceDE/>
        <w:autoSpaceDN/>
        <w:bidi w:val="0"/>
        <w:adjustRightInd w:val="0"/>
        <w:snapToGrid w:val="0"/>
        <w:spacing w:line="251" w:lineRule="auto"/>
        <w:ind w:right="84" w:rightChars="40"/>
        <w:rPr>
          <w:rFonts w:hint="eastAsia" w:ascii="宋体" w:hAnsi="宋体" w:eastAsia="宋体" w:cs="宋体"/>
          <w:color w:val="auto"/>
          <w:highlight w:val="none"/>
        </w:rPr>
      </w:pPr>
    </w:p>
    <w:p w14:paraId="00634D36">
      <w:pPr>
        <w:keepNext w:val="0"/>
        <w:keepLines w:val="0"/>
        <w:pageBreakBefore w:val="0"/>
        <w:widowControl w:val="0"/>
        <w:kinsoku/>
        <w:wordWrap w:val="0"/>
        <w:overflowPunct/>
        <w:topLinePunct/>
        <w:autoSpaceDE/>
        <w:autoSpaceDN/>
        <w:bidi w:val="0"/>
        <w:adjustRightInd w:val="0"/>
        <w:snapToGrid w:val="0"/>
        <w:spacing w:before="78" w:line="332" w:lineRule="auto"/>
        <w:ind w:right="84" w:rightChars="40" w:firstLine="482"/>
        <w:jc w:val="both"/>
        <w:textAlignment w:val="baseline"/>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8"/>
          <w:highlight w:val="none"/>
          <w:lang w:eastAsia="zh-CN"/>
        </w:rPr>
        <w:t>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（姓名）为我方代理人。代理人根据授权，以我方名义签署、澄清、说明、补正、递交、撤回、修改</w:t>
      </w:r>
      <w:r>
        <w:rPr>
          <w:rFonts w:hint="eastAsia" w:ascii="宋体" w:hAnsi="宋体" w:eastAsia="宋体" w:cs="宋体"/>
          <w:snapToGrid w:val="0"/>
          <w:color w:val="auto"/>
          <w:kern w:val="0"/>
          <w:sz w:val="24"/>
          <w:szCs w:val="28"/>
          <w:highlight w:val="none"/>
          <w:u w:val="single"/>
          <w:lang w:val="en-US" w:eastAsia="zh-CN"/>
        </w:rPr>
        <w:t xml:space="preserve">    </w:t>
      </w:r>
      <w:r>
        <w:rPr>
          <w:rFonts w:hint="eastAsia" w:ascii="宋体" w:hAnsi="宋体" w:eastAsia="宋体" w:cs="宋体"/>
          <w:snapToGrid w:val="0"/>
          <w:color w:val="auto"/>
          <w:kern w:val="0"/>
          <w:sz w:val="24"/>
          <w:szCs w:val="28"/>
          <w:highlight w:val="none"/>
          <w:u w:val="single"/>
          <w:lang w:eastAsia="zh-CN"/>
        </w:rPr>
        <w:t>（项目名称）</w:t>
      </w:r>
      <w:r>
        <w:rPr>
          <w:rFonts w:hint="eastAsia" w:ascii="宋体" w:hAnsi="宋体" w:eastAsia="宋体" w:cs="宋体"/>
          <w:snapToGrid w:val="0"/>
          <w:color w:val="auto"/>
          <w:kern w:val="0"/>
          <w:sz w:val="24"/>
          <w:szCs w:val="28"/>
          <w:highlight w:val="none"/>
          <w:lang w:eastAsia="zh-CN"/>
        </w:rPr>
        <w:t xml:space="preserve"> 施工投标文件、签订合同和处理有关事宜，其法律后果由我方承担。</w:t>
      </w:r>
    </w:p>
    <w:p w14:paraId="24E6E363">
      <w:pPr>
        <w:keepNext w:val="0"/>
        <w:keepLines w:val="0"/>
        <w:pageBreakBefore w:val="0"/>
        <w:widowControl w:val="0"/>
        <w:kinsoku/>
        <w:wordWrap w:val="0"/>
        <w:overflowPunct/>
        <w:topLinePunct/>
        <w:autoSpaceDE/>
        <w:autoSpaceDN/>
        <w:bidi w:val="0"/>
        <w:adjustRightInd w:val="0"/>
        <w:snapToGrid w:val="0"/>
        <w:spacing w:before="32" w:line="320" w:lineRule="auto"/>
        <w:ind w:left="480" w:right="84" w:rightChars="40"/>
        <w:rPr>
          <w:rFonts w:hint="eastAsia" w:ascii="宋体" w:hAnsi="宋体" w:eastAsia="宋体" w:cs="宋体"/>
          <w:color w:val="auto"/>
          <w:spacing w:val="15"/>
          <w:sz w:val="24"/>
          <w:szCs w:val="24"/>
          <w:highlight w:val="none"/>
        </w:rPr>
      </w:pPr>
      <w:r>
        <w:rPr>
          <w:rFonts w:hint="eastAsia" w:ascii="宋体" w:hAnsi="宋体" w:eastAsia="宋体" w:cs="宋体"/>
          <w:color w:val="auto"/>
          <w:spacing w:val="-9"/>
          <w:sz w:val="24"/>
          <w:szCs w:val="24"/>
          <w:highlight w:val="none"/>
        </w:rPr>
        <w:t>委托期限：至</w:t>
      </w:r>
      <w:r>
        <w:rPr>
          <w:rFonts w:hint="eastAsia" w:ascii="宋体" w:hAnsi="宋体" w:eastAsia="宋体" w:cs="宋体"/>
          <w:color w:val="auto"/>
          <w:spacing w:val="-9"/>
          <w:sz w:val="24"/>
          <w:szCs w:val="24"/>
          <w:highlight w:val="none"/>
          <w:u w:val="single"/>
        </w:rPr>
        <w:t xml:space="preserve">     年   月    日</w:t>
      </w:r>
      <w:r>
        <w:rPr>
          <w:rFonts w:hint="eastAsia" w:ascii="宋体" w:hAnsi="宋体" w:eastAsia="宋体" w:cs="宋体"/>
          <w:i/>
          <w:iCs/>
          <w:color w:val="auto"/>
          <w:spacing w:val="-9"/>
          <w:sz w:val="25"/>
          <w:szCs w:val="25"/>
          <w:highlight w:val="none"/>
          <w:u w:val="single"/>
        </w:rPr>
        <w:t>（不得短于招标文件规定的投标有效期）</w:t>
      </w:r>
      <w:r>
        <w:rPr>
          <w:rFonts w:hint="eastAsia" w:ascii="宋体" w:hAnsi="宋体" w:eastAsia="宋体" w:cs="宋体"/>
          <w:color w:val="auto"/>
          <w:spacing w:val="-9"/>
          <w:sz w:val="25"/>
          <w:szCs w:val="25"/>
          <w:highlight w:val="none"/>
        </w:rPr>
        <w:t xml:space="preserve"> </w:t>
      </w:r>
      <w:r>
        <w:rPr>
          <w:rFonts w:hint="eastAsia" w:ascii="宋体" w:hAnsi="宋体" w:eastAsia="宋体" w:cs="宋体"/>
          <w:color w:val="auto"/>
          <w:spacing w:val="-9"/>
          <w:sz w:val="24"/>
          <w:szCs w:val="24"/>
          <w:highlight w:val="none"/>
        </w:rPr>
        <w:t>。</w:t>
      </w:r>
      <w:r>
        <w:rPr>
          <w:rFonts w:hint="eastAsia" w:ascii="宋体" w:hAnsi="宋体" w:eastAsia="宋体" w:cs="宋体"/>
          <w:color w:val="auto"/>
          <w:spacing w:val="15"/>
          <w:sz w:val="24"/>
          <w:szCs w:val="24"/>
          <w:highlight w:val="none"/>
        </w:rPr>
        <w:t xml:space="preserve"> </w:t>
      </w:r>
    </w:p>
    <w:p w14:paraId="7AD81148">
      <w:pPr>
        <w:keepNext w:val="0"/>
        <w:keepLines w:val="0"/>
        <w:pageBreakBefore w:val="0"/>
        <w:widowControl w:val="0"/>
        <w:kinsoku/>
        <w:wordWrap w:val="0"/>
        <w:overflowPunct/>
        <w:topLinePunct/>
        <w:autoSpaceDE/>
        <w:autoSpaceDN/>
        <w:bidi w:val="0"/>
        <w:adjustRightInd w:val="0"/>
        <w:snapToGrid w:val="0"/>
        <w:spacing w:before="32" w:line="320" w:lineRule="auto"/>
        <w:ind w:left="48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代理人无转委托权。</w:t>
      </w:r>
    </w:p>
    <w:p w14:paraId="06B324BA">
      <w:pPr>
        <w:pStyle w:val="6"/>
        <w:keepNext w:val="0"/>
        <w:keepLines w:val="0"/>
        <w:pageBreakBefore w:val="0"/>
        <w:widowControl w:val="0"/>
        <w:kinsoku/>
        <w:wordWrap w:val="0"/>
        <w:overflowPunct/>
        <w:topLinePunct/>
        <w:autoSpaceDE/>
        <w:autoSpaceDN/>
        <w:bidi w:val="0"/>
        <w:adjustRightInd w:val="0"/>
        <w:snapToGrid w:val="0"/>
        <w:spacing w:line="276" w:lineRule="auto"/>
        <w:ind w:right="84" w:rightChars="40"/>
        <w:rPr>
          <w:rFonts w:hint="eastAsia" w:ascii="宋体" w:hAnsi="宋体" w:eastAsia="宋体" w:cs="宋体"/>
          <w:color w:val="auto"/>
          <w:highlight w:val="none"/>
        </w:rPr>
      </w:pPr>
    </w:p>
    <w:p w14:paraId="5E758CE6">
      <w:pPr>
        <w:pStyle w:val="6"/>
        <w:keepNext w:val="0"/>
        <w:keepLines w:val="0"/>
        <w:pageBreakBefore w:val="0"/>
        <w:widowControl w:val="0"/>
        <w:kinsoku/>
        <w:wordWrap w:val="0"/>
        <w:overflowPunct/>
        <w:topLinePunct/>
        <w:autoSpaceDE/>
        <w:autoSpaceDN/>
        <w:bidi w:val="0"/>
        <w:adjustRightInd w:val="0"/>
        <w:snapToGrid w:val="0"/>
        <w:spacing w:line="277" w:lineRule="auto"/>
        <w:ind w:right="84" w:rightChars="40"/>
        <w:rPr>
          <w:rFonts w:hint="eastAsia" w:ascii="宋体" w:hAnsi="宋体" w:eastAsia="宋体" w:cs="宋体"/>
          <w:color w:val="auto"/>
          <w:highlight w:val="none"/>
        </w:rPr>
      </w:pPr>
    </w:p>
    <w:p w14:paraId="4991833E">
      <w:pPr>
        <w:pStyle w:val="6"/>
        <w:keepNext w:val="0"/>
        <w:keepLines w:val="0"/>
        <w:pageBreakBefore w:val="0"/>
        <w:widowControl w:val="0"/>
        <w:kinsoku/>
        <w:wordWrap w:val="0"/>
        <w:overflowPunct/>
        <w:topLinePunct/>
        <w:autoSpaceDE/>
        <w:autoSpaceDN/>
        <w:bidi w:val="0"/>
        <w:adjustRightInd w:val="0"/>
        <w:snapToGrid w:val="0"/>
        <w:spacing w:line="277" w:lineRule="auto"/>
        <w:ind w:right="84" w:rightChars="40"/>
        <w:rPr>
          <w:rFonts w:hint="eastAsia" w:ascii="宋体" w:hAnsi="宋体" w:eastAsia="宋体" w:cs="宋体"/>
          <w:color w:val="auto"/>
          <w:highlight w:val="none"/>
        </w:rPr>
      </w:pPr>
    </w:p>
    <w:p w14:paraId="76F3A97A">
      <w:pPr>
        <w:keepNext w:val="0"/>
        <w:keepLines w:val="0"/>
        <w:pageBreakBefore w:val="0"/>
        <w:widowControl w:val="0"/>
        <w:kinsoku/>
        <w:wordWrap w:val="0"/>
        <w:overflowPunct/>
        <w:topLinePunct/>
        <w:autoSpaceDE/>
        <w:autoSpaceDN/>
        <w:bidi w:val="0"/>
        <w:adjustRightInd w:val="0"/>
        <w:snapToGrid w:val="0"/>
        <w:spacing w:before="78" w:line="219" w:lineRule="auto"/>
        <w:ind w:left="3123"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投  标  人</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4"/>
          <w:sz w:val="24"/>
          <w:szCs w:val="24"/>
          <w:highlight w:val="none"/>
        </w:rPr>
        <w:t>盖单位章）</w:t>
      </w:r>
    </w:p>
    <w:p w14:paraId="21D83D69">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6E7197FC">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42B23F10">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4A39A5DD">
      <w:pPr>
        <w:keepNext w:val="0"/>
        <w:keepLines w:val="0"/>
        <w:pageBreakBefore w:val="0"/>
        <w:widowControl w:val="0"/>
        <w:kinsoku/>
        <w:wordWrap w:val="0"/>
        <w:overflowPunct/>
        <w:topLinePunct/>
        <w:autoSpaceDE/>
        <w:autoSpaceDN/>
        <w:bidi w:val="0"/>
        <w:adjustRightInd w:val="0"/>
        <w:snapToGrid w:val="0"/>
        <w:spacing w:before="79" w:line="219" w:lineRule="auto"/>
        <w:ind w:left="3121"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法定代表人</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2"/>
          <w:sz w:val="24"/>
          <w:szCs w:val="24"/>
          <w:highlight w:val="none"/>
        </w:rPr>
        <w:t>签字或盖章）</w:t>
      </w:r>
    </w:p>
    <w:p w14:paraId="108A0175">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532FE120">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6148D867">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12B4CD27">
      <w:pPr>
        <w:keepNext w:val="0"/>
        <w:keepLines w:val="0"/>
        <w:pageBreakBefore w:val="0"/>
        <w:widowControl w:val="0"/>
        <w:kinsoku/>
        <w:wordWrap w:val="0"/>
        <w:overflowPunct/>
        <w:topLinePunct/>
        <w:autoSpaceDE/>
        <w:autoSpaceDN/>
        <w:bidi w:val="0"/>
        <w:adjustRightInd w:val="0"/>
        <w:snapToGrid w:val="0"/>
        <w:spacing w:before="78" w:line="219" w:lineRule="auto"/>
        <w:ind w:left="2880"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委托代理人</w:t>
      </w:r>
      <w:r>
        <w:rPr>
          <w:rFonts w:hint="eastAsia" w:ascii="宋体" w:hAnsi="宋体" w:eastAsia="宋体" w:cs="宋体"/>
          <w:color w:val="auto"/>
          <w:spacing w:val="-16"/>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6"/>
          <w:sz w:val="24"/>
          <w:szCs w:val="24"/>
          <w:highlight w:val="none"/>
        </w:rPr>
        <w:t>（</w:t>
      </w:r>
      <w:r>
        <w:rPr>
          <w:rFonts w:hint="eastAsia" w:ascii="宋体" w:hAnsi="宋体" w:eastAsia="宋体" w:cs="宋体"/>
          <w:color w:val="auto"/>
          <w:spacing w:val="2"/>
          <w:sz w:val="24"/>
          <w:szCs w:val="24"/>
          <w:highlight w:val="none"/>
        </w:rPr>
        <w:t>签字或盖章）</w:t>
      </w:r>
    </w:p>
    <w:p w14:paraId="1566EDE3">
      <w:pPr>
        <w:pStyle w:val="6"/>
        <w:keepNext w:val="0"/>
        <w:keepLines w:val="0"/>
        <w:pageBreakBefore w:val="0"/>
        <w:widowControl w:val="0"/>
        <w:kinsoku/>
        <w:wordWrap w:val="0"/>
        <w:overflowPunct/>
        <w:topLinePunct/>
        <w:autoSpaceDE/>
        <w:autoSpaceDN/>
        <w:bidi w:val="0"/>
        <w:adjustRightInd w:val="0"/>
        <w:snapToGrid w:val="0"/>
        <w:spacing w:line="256" w:lineRule="auto"/>
        <w:ind w:right="84" w:rightChars="40"/>
        <w:jc w:val="right"/>
        <w:rPr>
          <w:rFonts w:hint="eastAsia" w:ascii="宋体" w:hAnsi="宋体" w:eastAsia="宋体" w:cs="宋体"/>
          <w:color w:val="auto"/>
          <w:highlight w:val="none"/>
        </w:rPr>
      </w:pPr>
    </w:p>
    <w:p w14:paraId="5ECF5DA5">
      <w:pPr>
        <w:pStyle w:val="6"/>
        <w:keepNext w:val="0"/>
        <w:keepLines w:val="0"/>
        <w:pageBreakBefore w:val="0"/>
        <w:widowControl w:val="0"/>
        <w:kinsoku/>
        <w:wordWrap w:val="0"/>
        <w:overflowPunct/>
        <w:topLinePunct/>
        <w:autoSpaceDE/>
        <w:autoSpaceDN/>
        <w:bidi w:val="0"/>
        <w:adjustRightInd w:val="0"/>
        <w:snapToGrid w:val="0"/>
        <w:spacing w:line="256" w:lineRule="auto"/>
        <w:ind w:right="84" w:rightChars="40"/>
        <w:jc w:val="right"/>
        <w:rPr>
          <w:rFonts w:hint="eastAsia" w:ascii="宋体" w:hAnsi="宋体" w:eastAsia="宋体" w:cs="宋体"/>
          <w:color w:val="auto"/>
          <w:highlight w:val="none"/>
        </w:rPr>
      </w:pPr>
    </w:p>
    <w:p w14:paraId="0C7A7B3A">
      <w:pPr>
        <w:keepNext w:val="0"/>
        <w:keepLines w:val="0"/>
        <w:pageBreakBefore w:val="0"/>
        <w:widowControl w:val="0"/>
        <w:kinsoku/>
        <w:wordWrap w:val="0"/>
        <w:overflowPunct/>
        <w:topLinePunct/>
        <w:autoSpaceDE/>
        <w:autoSpaceDN/>
        <w:bidi w:val="0"/>
        <w:adjustRightInd w:val="0"/>
        <w:snapToGrid w:val="0"/>
        <w:spacing w:before="78" w:line="220" w:lineRule="auto"/>
        <w:ind w:left="6730" w:right="84" w:rightChars="4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2B1988CD">
      <w:pPr>
        <w:keepNext w:val="0"/>
        <w:keepLines w:val="0"/>
        <w:pageBreakBefore w:val="0"/>
        <w:widowControl w:val="0"/>
        <w:kinsoku/>
        <w:wordWrap w:val="0"/>
        <w:overflowPunct/>
        <w:topLinePunct/>
        <w:autoSpaceDE/>
        <w:autoSpaceDN/>
        <w:bidi w:val="0"/>
        <w:adjustRightInd w:val="0"/>
        <w:snapToGrid w:val="0"/>
        <w:spacing w:before="78" w:line="220" w:lineRule="auto"/>
        <w:ind w:left="4201" w:right="84" w:rightChars="40"/>
        <w:jc w:val="right"/>
        <w:rPr>
          <w:rFonts w:hint="eastAsia" w:ascii="宋体" w:hAnsi="宋体" w:eastAsia="宋体" w:cs="宋体"/>
          <w:color w:val="auto"/>
          <w:sz w:val="24"/>
          <w:szCs w:val="24"/>
          <w:highlight w:val="none"/>
        </w:rPr>
      </w:pPr>
    </w:p>
    <w:p w14:paraId="21CA51AB">
      <w:pPr>
        <w:keepNext w:val="0"/>
        <w:keepLines w:val="0"/>
        <w:pageBreakBefore w:val="0"/>
        <w:widowControl w:val="0"/>
        <w:kinsoku/>
        <w:wordWrap w:val="0"/>
        <w:overflowPunct/>
        <w:topLinePunct/>
        <w:autoSpaceDE/>
        <w:autoSpaceDN/>
        <w:bidi w:val="0"/>
        <w:adjustRightInd w:val="0"/>
        <w:snapToGrid w:val="0"/>
        <w:spacing w:before="69"/>
        <w:ind w:right="84" w:rightChars="40"/>
        <w:rPr>
          <w:rFonts w:hint="eastAsia" w:ascii="宋体" w:hAnsi="宋体" w:eastAsia="宋体" w:cs="宋体"/>
          <w:color w:val="auto"/>
          <w:highlight w:val="none"/>
        </w:rPr>
      </w:pPr>
    </w:p>
    <w:p w14:paraId="10C43F5F">
      <w:pPr>
        <w:keepNext w:val="0"/>
        <w:keepLines w:val="0"/>
        <w:pageBreakBefore w:val="0"/>
        <w:widowControl w:val="0"/>
        <w:kinsoku/>
        <w:wordWrap w:val="0"/>
        <w:overflowPunct/>
        <w:topLinePunct/>
        <w:autoSpaceDE/>
        <w:autoSpaceDN/>
        <w:bidi w:val="0"/>
        <w:adjustRightInd w:val="0"/>
        <w:snapToGrid w:val="0"/>
        <w:spacing w:before="69"/>
        <w:ind w:right="84" w:rightChars="40"/>
        <w:rPr>
          <w:rFonts w:hint="eastAsia" w:ascii="宋体" w:hAnsi="宋体" w:eastAsia="宋体" w:cs="宋体"/>
          <w:color w:val="auto"/>
          <w:highlight w:val="none"/>
        </w:rPr>
      </w:pPr>
    </w:p>
    <w:tbl>
      <w:tblPr>
        <w:tblStyle w:val="15"/>
        <w:tblW w:w="5600" w:type="dxa"/>
        <w:tblInd w:w="230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600"/>
      </w:tblGrid>
      <w:tr w14:paraId="40AFA226">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570" w:hRule="atLeast"/>
        </w:trPr>
        <w:tc>
          <w:tcPr>
            <w:tcW w:w="5600" w:type="dxa"/>
            <w:vAlign w:val="top"/>
          </w:tcPr>
          <w:p w14:paraId="36B0C018">
            <w:pPr>
              <w:pStyle w:val="21"/>
              <w:keepNext w:val="0"/>
              <w:keepLines w:val="0"/>
              <w:pageBreakBefore w:val="0"/>
              <w:widowControl w:val="0"/>
              <w:kinsoku/>
              <w:wordWrap w:val="0"/>
              <w:overflowPunct/>
              <w:topLinePunct/>
              <w:autoSpaceDE/>
              <w:autoSpaceDN/>
              <w:bidi w:val="0"/>
              <w:adjustRightInd w:val="0"/>
              <w:snapToGrid w:val="0"/>
              <w:spacing w:line="245" w:lineRule="auto"/>
              <w:ind w:right="84" w:rightChars="40"/>
              <w:rPr>
                <w:rFonts w:hint="eastAsia" w:ascii="宋体" w:hAnsi="宋体" w:eastAsia="宋体" w:cs="宋体"/>
                <w:color w:val="auto"/>
                <w:highlight w:val="none"/>
              </w:rPr>
            </w:pPr>
          </w:p>
          <w:p w14:paraId="20F3C283">
            <w:pPr>
              <w:pStyle w:val="21"/>
              <w:keepNext w:val="0"/>
              <w:keepLines w:val="0"/>
              <w:pageBreakBefore w:val="0"/>
              <w:widowControl w:val="0"/>
              <w:kinsoku/>
              <w:wordWrap w:val="0"/>
              <w:overflowPunct/>
              <w:topLinePunct/>
              <w:autoSpaceDE/>
              <w:autoSpaceDN/>
              <w:bidi w:val="0"/>
              <w:adjustRightInd w:val="0"/>
              <w:snapToGrid w:val="0"/>
              <w:spacing w:line="245" w:lineRule="auto"/>
              <w:ind w:right="84" w:rightChars="40"/>
              <w:rPr>
                <w:rFonts w:hint="eastAsia" w:ascii="宋体" w:hAnsi="宋体" w:eastAsia="宋体" w:cs="宋体"/>
                <w:color w:val="auto"/>
                <w:highlight w:val="none"/>
              </w:rPr>
            </w:pPr>
          </w:p>
          <w:p w14:paraId="6829EFD1">
            <w:pPr>
              <w:pStyle w:val="21"/>
              <w:keepNext w:val="0"/>
              <w:keepLines w:val="0"/>
              <w:pageBreakBefore w:val="0"/>
              <w:widowControl w:val="0"/>
              <w:kinsoku/>
              <w:wordWrap w:val="0"/>
              <w:overflowPunct/>
              <w:topLinePunct/>
              <w:autoSpaceDE/>
              <w:autoSpaceDN/>
              <w:bidi w:val="0"/>
              <w:adjustRightInd w:val="0"/>
              <w:snapToGrid w:val="0"/>
              <w:spacing w:line="245" w:lineRule="auto"/>
              <w:ind w:right="84" w:rightChars="40"/>
              <w:rPr>
                <w:rFonts w:hint="eastAsia" w:ascii="宋体" w:hAnsi="宋体" w:eastAsia="宋体" w:cs="宋体"/>
                <w:color w:val="auto"/>
                <w:highlight w:val="none"/>
              </w:rPr>
            </w:pPr>
          </w:p>
          <w:p w14:paraId="5F2A6634">
            <w:pPr>
              <w:pStyle w:val="21"/>
              <w:keepNext w:val="0"/>
              <w:keepLines w:val="0"/>
              <w:pageBreakBefore w:val="0"/>
              <w:widowControl w:val="0"/>
              <w:kinsoku/>
              <w:wordWrap w:val="0"/>
              <w:overflowPunct/>
              <w:topLinePunct/>
              <w:autoSpaceDE/>
              <w:autoSpaceDN/>
              <w:bidi w:val="0"/>
              <w:adjustRightInd w:val="0"/>
              <w:snapToGrid w:val="0"/>
              <w:spacing w:line="246" w:lineRule="auto"/>
              <w:ind w:right="84" w:rightChars="40"/>
              <w:rPr>
                <w:rFonts w:hint="eastAsia" w:ascii="宋体" w:hAnsi="宋体" w:eastAsia="宋体" w:cs="宋体"/>
                <w:color w:val="auto"/>
                <w:highlight w:val="none"/>
              </w:rPr>
            </w:pPr>
          </w:p>
          <w:p w14:paraId="185612E9">
            <w:pPr>
              <w:keepNext w:val="0"/>
              <w:keepLines w:val="0"/>
              <w:pageBreakBefore w:val="0"/>
              <w:widowControl w:val="0"/>
              <w:kinsoku/>
              <w:wordWrap w:val="0"/>
              <w:overflowPunct/>
              <w:topLinePunct/>
              <w:autoSpaceDE/>
              <w:autoSpaceDN/>
              <w:bidi w:val="0"/>
              <w:adjustRightInd w:val="0"/>
              <w:snapToGrid w:val="0"/>
              <w:spacing w:before="78" w:line="220" w:lineRule="auto"/>
              <w:ind w:left="71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委托代理人身份证</w:t>
            </w:r>
            <w:r>
              <w:rPr>
                <w:rFonts w:hint="eastAsia" w:ascii="宋体" w:hAnsi="宋体" w:eastAsia="宋体" w:cs="宋体"/>
                <w:color w:val="auto"/>
                <w:spacing w:val="-1"/>
                <w:sz w:val="24"/>
                <w:szCs w:val="24"/>
                <w:highlight w:val="none"/>
                <w:lang w:val="en-US" w:eastAsia="zh-CN"/>
              </w:rPr>
              <w:t>彩色扫描件</w:t>
            </w:r>
            <w:r>
              <w:rPr>
                <w:rFonts w:hint="eastAsia" w:ascii="宋体" w:hAnsi="宋体" w:eastAsia="宋体" w:cs="宋体"/>
                <w:color w:val="auto"/>
                <w:spacing w:val="-1"/>
                <w:sz w:val="24"/>
                <w:szCs w:val="24"/>
                <w:highlight w:val="none"/>
              </w:rPr>
              <w:t>正、反面</w:t>
            </w:r>
          </w:p>
        </w:tc>
      </w:tr>
    </w:tbl>
    <w:p w14:paraId="70785C71">
      <w:pPr>
        <w:pStyle w:val="6"/>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highlight w:val="none"/>
        </w:rPr>
      </w:pPr>
    </w:p>
    <w:p w14:paraId="76A187A4">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highlight w:val="none"/>
        </w:rPr>
        <w:sectPr>
          <w:footerReference r:id="rId16"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0B6567E0">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06" w:name="_Toc2657"/>
      <w:r>
        <w:rPr>
          <w:rFonts w:hint="eastAsia" w:ascii="宋体" w:hAnsi="宋体" w:eastAsia="宋体" w:cs="宋体"/>
          <w:b/>
          <w:bCs/>
          <w:color w:val="auto"/>
          <w:spacing w:val="-4"/>
          <w:sz w:val="24"/>
          <w:szCs w:val="24"/>
          <w:highlight w:val="none"/>
        </w:rPr>
        <w:t>格式五 法定代表人身份证明</w:t>
      </w:r>
      <w:bookmarkEnd w:id="206"/>
    </w:p>
    <w:p w14:paraId="70F937E1">
      <w:pPr>
        <w:pStyle w:val="6"/>
        <w:keepNext w:val="0"/>
        <w:keepLines w:val="0"/>
        <w:pageBreakBefore w:val="0"/>
        <w:widowControl w:val="0"/>
        <w:kinsoku/>
        <w:wordWrap w:val="0"/>
        <w:overflowPunct/>
        <w:topLinePunct/>
        <w:autoSpaceDE/>
        <w:autoSpaceDN/>
        <w:bidi w:val="0"/>
        <w:adjustRightInd w:val="0"/>
        <w:snapToGrid w:val="0"/>
        <w:spacing w:line="350" w:lineRule="auto"/>
        <w:ind w:right="84" w:rightChars="40"/>
        <w:rPr>
          <w:rFonts w:hint="eastAsia" w:ascii="宋体" w:hAnsi="宋体" w:eastAsia="宋体" w:cs="宋体"/>
          <w:color w:val="auto"/>
          <w:highlight w:val="none"/>
        </w:rPr>
      </w:pPr>
    </w:p>
    <w:p w14:paraId="1D9CB23D">
      <w:pPr>
        <w:pStyle w:val="6"/>
        <w:keepNext w:val="0"/>
        <w:keepLines w:val="0"/>
        <w:pageBreakBefore w:val="0"/>
        <w:widowControl w:val="0"/>
        <w:kinsoku/>
        <w:wordWrap w:val="0"/>
        <w:overflowPunct/>
        <w:topLinePunct/>
        <w:autoSpaceDE/>
        <w:autoSpaceDN/>
        <w:bidi w:val="0"/>
        <w:adjustRightInd w:val="0"/>
        <w:snapToGrid w:val="0"/>
        <w:spacing w:line="350" w:lineRule="auto"/>
        <w:ind w:right="84" w:rightChars="40"/>
        <w:rPr>
          <w:rFonts w:hint="eastAsia" w:ascii="宋体" w:hAnsi="宋体" w:eastAsia="宋体" w:cs="宋体"/>
          <w:color w:val="auto"/>
          <w:highlight w:val="none"/>
        </w:rPr>
      </w:pPr>
    </w:p>
    <w:p w14:paraId="4D83B1B1">
      <w:pPr>
        <w:keepNext w:val="0"/>
        <w:keepLines w:val="0"/>
        <w:pageBreakBefore w:val="0"/>
        <w:widowControl w:val="0"/>
        <w:kinsoku/>
        <w:wordWrap w:val="0"/>
        <w:overflowPunct/>
        <w:topLinePunct/>
        <w:autoSpaceDE/>
        <w:autoSpaceDN/>
        <w:bidi w:val="0"/>
        <w:adjustRightInd w:val="0"/>
        <w:snapToGrid w:val="0"/>
        <w:spacing w:before="98" w:line="220" w:lineRule="auto"/>
        <w:ind w:left="3183" w:right="84" w:rightChars="40"/>
        <w:rPr>
          <w:rFonts w:hint="eastAsia" w:ascii="宋体" w:hAnsi="宋体" w:eastAsia="宋体" w:cs="宋体"/>
          <w:color w:val="auto"/>
          <w:sz w:val="30"/>
          <w:szCs w:val="30"/>
          <w:highlight w:val="none"/>
        </w:rPr>
      </w:pPr>
      <w:bookmarkStart w:id="207" w:name="bookmark152"/>
      <w:bookmarkEnd w:id="207"/>
      <w:r>
        <w:rPr>
          <w:rFonts w:hint="eastAsia" w:ascii="宋体" w:hAnsi="宋体" w:eastAsia="宋体" w:cs="宋体"/>
          <w:b/>
          <w:bCs/>
          <w:color w:val="auto"/>
          <w:spacing w:val="-4"/>
          <w:sz w:val="30"/>
          <w:szCs w:val="30"/>
          <w:highlight w:val="none"/>
        </w:rPr>
        <w:t>法定代表人身份证明</w:t>
      </w:r>
    </w:p>
    <w:p w14:paraId="474CC8D2">
      <w:pPr>
        <w:pStyle w:val="6"/>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14:paraId="3CFFC51A">
      <w:pPr>
        <w:pStyle w:val="6"/>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14:paraId="454FFFB0">
      <w:pPr>
        <w:pStyle w:val="6"/>
        <w:keepNext w:val="0"/>
        <w:keepLines w:val="0"/>
        <w:pageBreakBefore w:val="0"/>
        <w:widowControl w:val="0"/>
        <w:kinsoku/>
        <w:wordWrap w:val="0"/>
        <w:overflowPunct/>
        <w:topLinePunct/>
        <w:autoSpaceDE/>
        <w:autoSpaceDN/>
        <w:bidi w:val="0"/>
        <w:adjustRightInd w:val="0"/>
        <w:snapToGrid w:val="0"/>
        <w:spacing w:line="251" w:lineRule="auto"/>
        <w:ind w:right="84" w:rightChars="40"/>
        <w:rPr>
          <w:rFonts w:hint="eastAsia" w:ascii="宋体" w:hAnsi="宋体" w:eastAsia="宋体" w:cs="宋体"/>
          <w:color w:val="auto"/>
          <w:highlight w:val="none"/>
        </w:rPr>
      </w:pPr>
    </w:p>
    <w:p w14:paraId="492CD064">
      <w:pPr>
        <w:keepNext w:val="0"/>
        <w:keepLines w:val="0"/>
        <w:pageBreakBefore w:val="0"/>
        <w:widowControl w:val="0"/>
        <w:kinsoku/>
        <w:wordWrap w:val="0"/>
        <w:overflowPunct/>
        <w:topLinePunct/>
        <w:autoSpaceDE/>
        <w:autoSpaceDN/>
        <w:bidi w:val="0"/>
        <w:adjustRightInd w:val="0"/>
        <w:snapToGrid w:val="0"/>
        <w:spacing w:line="440" w:lineRule="exact"/>
        <w:ind w:right="84" w:rightChars="40"/>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投标人名称：</w:t>
      </w:r>
      <w:r>
        <w:rPr>
          <w:rFonts w:hint="eastAsia" w:ascii="宋体" w:hAnsi="宋体" w:eastAsia="宋体" w:cs="宋体"/>
          <w:snapToGrid w:val="0"/>
          <w:color w:val="auto"/>
          <w:kern w:val="0"/>
          <w:sz w:val="24"/>
          <w:szCs w:val="24"/>
          <w:highlight w:val="none"/>
          <w:u w:val="single"/>
        </w:rPr>
        <w:t xml:space="preserve">                  </w:t>
      </w:r>
    </w:p>
    <w:p w14:paraId="37B56D72">
      <w:pPr>
        <w:keepNext w:val="0"/>
        <w:keepLines w:val="0"/>
        <w:pageBreakBefore w:val="0"/>
        <w:widowControl w:val="0"/>
        <w:kinsoku/>
        <w:wordWrap w:val="0"/>
        <w:overflowPunct/>
        <w:topLinePunct/>
        <w:autoSpaceDE/>
        <w:autoSpaceDN/>
        <w:bidi w:val="0"/>
        <w:adjustRightInd w:val="0"/>
        <w:snapToGrid w:val="0"/>
        <w:spacing w:line="440" w:lineRule="exact"/>
        <w:ind w:right="84" w:rightChars="40"/>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姓名：</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性别：</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年龄：</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职务：</w:t>
      </w:r>
      <w:r>
        <w:rPr>
          <w:rFonts w:hint="eastAsia" w:ascii="宋体" w:hAnsi="宋体" w:eastAsia="宋体" w:cs="宋体"/>
          <w:snapToGrid w:val="0"/>
          <w:color w:val="auto"/>
          <w:kern w:val="0"/>
          <w:sz w:val="24"/>
          <w:szCs w:val="24"/>
          <w:highlight w:val="none"/>
          <w:u w:val="single"/>
        </w:rPr>
        <w:t xml:space="preserve">           </w:t>
      </w:r>
    </w:p>
    <w:p w14:paraId="4AD0BF6A">
      <w:pPr>
        <w:keepNext w:val="0"/>
        <w:keepLines w:val="0"/>
        <w:pageBreakBefore w:val="0"/>
        <w:widowControl w:val="0"/>
        <w:kinsoku/>
        <w:wordWrap w:val="0"/>
        <w:overflowPunct/>
        <w:topLinePunct/>
        <w:autoSpaceDE/>
        <w:autoSpaceDN/>
        <w:bidi w:val="0"/>
        <w:adjustRightInd w:val="0"/>
        <w:snapToGrid w:val="0"/>
        <w:spacing w:line="440" w:lineRule="exact"/>
        <w:ind w:right="84" w:rightChars="4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系</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（投标人名称）的法定代表人。</w:t>
      </w:r>
    </w:p>
    <w:p w14:paraId="1E56F047">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 w:val="24"/>
          <w:szCs w:val="24"/>
          <w:highlight w:val="none"/>
        </w:rPr>
        <w:t xml:space="preserve">    特此证明。</w:t>
      </w:r>
    </w:p>
    <w:p w14:paraId="027AAFC4">
      <w:pPr>
        <w:pStyle w:val="6"/>
        <w:keepNext w:val="0"/>
        <w:keepLines w:val="0"/>
        <w:pageBreakBefore w:val="0"/>
        <w:widowControl w:val="0"/>
        <w:kinsoku/>
        <w:wordWrap w:val="0"/>
        <w:overflowPunct/>
        <w:topLinePunct/>
        <w:autoSpaceDE/>
        <w:autoSpaceDN/>
        <w:bidi w:val="0"/>
        <w:adjustRightInd w:val="0"/>
        <w:snapToGrid w:val="0"/>
        <w:spacing w:line="277" w:lineRule="auto"/>
        <w:ind w:right="84" w:rightChars="40"/>
        <w:rPr>
          <w:rFonts w:hint="eastAsia" w:ascii="宋体" w:hAnsi="宋体" w:eastAsia="宋体" w:cs="宋体"/>
          <w:color w:val="auto"/>
          <w:highlight w:val="none"/>
        </w:rPr>
      </w:pPr>
    </w:p>
    <w:p w14:paraId="2ED57677">
      <w:pPr>
        <w:pStyle w:val="6"/>
        <w:keepNext w:val="0"/>
        <w:keepLines w:val="0"/>
        <w:pageBreakBefore w:val="0"/>
        <w:widowControl w:val="0"/>
        <w:kinsoku/>
        <w:wordWrap w:val="0"/>
        <w:overflowPunct/>
        <w:topLinePunct/>
        <w:autoSpaceDE/>
        <w:autoSpaceDN/>
        <w:bidi w:val="0"/>
        <w:adjustRightInd w:val="0"/>
        <w:snapToGrid w:val="0"/>
        <w:spacing w:line="277" w:lineRule="auto"/>
        <w:ind w:right="84" w:rightChars="40"/>
        <w:rPr>
          <w:rFonts w:hint="eastAsia" w:ascii="宋体" w:hAnsi="宋体" w:eastAsia="宋体" w:cs="宋体"/>
          <w:color w:val="auto"/>
          <w:highlight w:val="none"/>
        </w:rPr>
      </w:pPr>
    </w:p>
    <w:p w14:paraId="7DF0A780">
      <w:pPr>
        <w:pStyle w:val="6"/>
        <w:keepNext w:val="0"/>
        <w:keepLines w:val="0"/>
        <w:pageBreakBefore w:val="0"/>
        <w:widowControl w:val="0"/>
        <w:kinsoku/>
        <w:wordWrap w:val="0"/>
        <w:overflowPunct/>
        <w:topLinePunct/>
        <w:autoSpaceDE/>
        <w:autoSpaceDN/>
        <w:bidi w:val="0"/>
        <w:adjustRightInd w:val="0"/>
        <w:snapToGrid w:val="0"/>
        <w:spacing w:line="278" w:lineRule="auto"/>
        <w:ind w:right="84" w:rightChars="40"/>
        <w:rPr>
          <w:rFonts w:hint="eastAsia" w:ascii="宋体" w:hAnsi="宋体" w:eastAsia="宋体" w:cs="宋体"/>
          <w:color w:val="auto"/>
          <w:highlight w:val="none"/>
        </w:rPr>
      </w:pPr>
    </w:p>
    <w:p w14:paraId="495E06F0">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盖单位章）</w:t>
      </w:r>
    </w:p>
    <w:p w14:paraId="13FD7EFE">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67B2AD8D">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5BE3FF63">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60FD7DE4">
      <w:pPr>
        <w:keepNext w:val="0"/>
        <w:keepLines w:val="0"/>
        <w:pageBreakBefore w:val="0"/>
        <w:widowControl w:val="0"/>
        <w:kinsoku/>
        <w:wordWrap w:val="0"/>
        <w:overflowPunct/>
        <w:topLinePunct/>
        <w:autoSpaceDE/>
        <w:autoSpaceDN/>
        <w:bidi w:val="0"/>
        <w:adjustRightInd w:val="0"/>
        <w:snapToGrid w:val="0"/>
        <w:spacing w:before="79" w:line="219" w:lineRule="auto"/>
        <w:ind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36EBE4AA">
      <w:pPr>
        <w:pStyle w:val="6"/>
        <w:keepNext w:val="0"/>
        <w:keepLines w:val="0"/>
        <w:pageBreakBefore w:val="0"/>
        <w:widowControl w:val="0"/>
        <w:kinsoku/>
        <w:wordWrap w:val="0"/>
        <w:overflowPunct/>
        <w:topLinePunct/>
        <w:autoSpaceDE/>
        <w:autoSpaceDN/>
        <w:bidi w:val="0"/>
        <w:adjustRightInd w:val="0"/>
        <w:snapToGrid w:val="0"/>
        <w:spacing w:line="257" w:lineRule="auto"/>
        <w:ind w:right="84" w:rightChars="40"/>
        <w:jc w:val="right"/>
        <w:rPr>
          <w:rFonts w:hint="eastAsia" w:ascii="宋体" w:hAnsi="宋体" w:eastAsia="宋体" w:cs="宋体"/>
          <w:color w:val="auto"/>
          <w:highlight w:val="none"/>
        </w:rPr>
      </w:pPr>
    </w:p>
    <w:p w14:paraId="3F3571D5">
      <w:pPr>
        <w:pStyle w:val="6"/>
        <w:keepNext w:val="0"/>
        <w:keepLines w:val="0"/>
        <w:pageBreakBefore w:val="0"/>
        <w:widowControl w:val="0"/>
        <w:kinsoku/>
        <w:wordWrap w:val="0"/>
        <w:overflowPunct/>
        <w:topLinePunct/>
        <w:autoSpaceDE/>
        <w:autoSpaceDN/>
        <w:bidi w:val="0"/>
        <w:adjustRightInd w:val="0"/>
        <w:snapToGrid w:val="0"/>
        <w:spacing w:line="257" w:lineRule="auto"/>
        <w:ind w:right="84" w:rightChars="40"/>
        <w:jc w:val="right"/>
        <w:rPr>
          <w:rFonts w:hint="eastAsia" w:ascii="宋体" w:hAnsi="宋体" w:eastAsia="宋体" w:cs="宋体"/>
          <w:color w:val="auto"/>
          <w:highlight w:val="none"/>
        </w:rPr>
      </w:pPr>
    </w:p>
    <w:p w14:paraId="4530997D">
      <w:pPr>
        <w:pStyle w:val="6"/>
        <w:keepNext w:val="0"/>
        <w:keepLines w:val="0"/>
        <w:pageBreakBefore w:val="0"/>
        <w:widowControl w:val="0"/>
        <w:kinsoku/>
        <w:wordWrap w:val="0"/>
        <w:overflowPunct/>
        <w:topLinePunct/>
        <w:autoSpaceDE/>
        <w:autoSpaceDN/>
        <w:bidi w:val="0"/>
        <w:adjustRightInd w:val="0"/>
        <w:snapToGrid w:val="0"/>
        <w:spacing w:line="254" w:lineRule="auto"/>
        <w:ind w:right="84" w:rightChars="40"/>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15966751">
      <w:pPr>
        <w:pStyle w:val="6"/>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highlight w:val="none"/>
        </w:rPr>
      </w:pPr>
    </w:p>
    <w:p w14:paraId="02BBBD50">
      <w:pPr>
        <w:pStyle w:val="6"/>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highlight w:val="none"/>
        </w:rPr>
      </w:pPr>
    </w:p>
    <w:p w14:paraId="6982C26D">
      <w:pPr>
        <w:pStyle w:val="6"/>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highlight w:val="none"/>
        </w:rPr>
      </w:pPr>
    </w:p>
    <w:p w14:paraId="1DA53CB0">
      <w:pPr>
        <w:pStyle w:val="6"/>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highlight w:val="none"/>
        </w:rPr>
      </w:pPr>
    </w:p>
    <w:p w14:paraId="611A376F">
      <w:pPr>
        <w:pStyle w:val="6"/>
        <w:keepNext w:val="0"/>
        <w:keepLines w:val="0"/>
        <w:pageBreakBefore w:val="0"/>
        <w:widowControl w:val="0"/>
        <w:kinsoku/>
        <w:wordWrap w:val="0"/>
        <w:overflowPunct/>
        <w:topLinePunct/>
        <w:autoSpaceDE/>
        <w:autoSpaceDN/>
        <w:bidi w:val="0"/>
        <w:adjustRightInd w:val="0"/>
        <w:snapToGrid w:val="0"/>
        <w:spacing w:line="255" w:lineRule="auto"/>
        <w:ind w:right="84" w:rightChars="40"/>
        <w:rPr>
          <w:rFonts w:hint="eastAsia" w:ascii="宋体" w:hAnsi="宋体" w:eastAsia="宋体" w:cs="宋体"/>
          <w:color w:val="auto"/>
          <w:highlight w:val="none"/>
        </w:rPr>
      </w:pPr>
    </w:p>
    <w:p w14:paraId="6F297A11">
      <w:pPr>
        <w:pStyle w:val="6"/>
        <w:keepNext w:val="0"/>
        <w:keepLines w:val="0"/>
        <w:pageBreakBefore w:val="0"/>
        <w:widowControl w:val="0"/>
        <w:kinsoku/>
        <w:wordWrap w:val="0"/>
        <w:overflowPunct/>
        <w:topLinePunct/>
        <w:autoSpaceDE/>
        <w:autoSpaceDN/>
        <w:bidi w:val="0"/>
        <w:adjustRightInd w:val="0"/>
        <w:snapToGrid w:val="0"/>
        <w:spacing w:line="255" w:lineRule="auto"/>
        <w:ind w:right="84" w:rightChars="40"/>
        <w:rPr>
          <w:rFonts w:hint="eastAsia" w:ascii="宋体" w:hAnsi="宋体" w:eastAsia="宋体" w:cs="宋体"/>
          <w:color w:val="auto"/>
          <w:highlight w:val="none"/>
        </w:rPr>
      </w:pPr>
    </w:p>
    <w:p w14:paraId="1997E053">
      <w:pPr>
        <w:pStyle w:val="6"/>
        <w:keepNext w:val="0"/>
        <w:keepLines w:val="0"/>
        <w:pageBreakBefore w:val="0"/>
        <w:widowControl w:val="0"/>
        <w:kinsoku/>
        <w:wordWrap w:val="0"/>
        <w:overflowPunct/>
        <w:topLinePunct/>
        <w:autoSpaceDE/>
        <w:autoSpaceDN/>
        <w:bidi w:val="0"/>
        <w:adjustRightInd w:val="0"/>
        <w:snapToGrid w:val="0"/>
        <w:spacing w:before="1" w:line="2510" w:lineRule="exact"/>
        <w:ind w:right="84" w:rightChars="40" w:firstLine="2534"/>
        <w:rPr>
          <w:rFonts w:hint="eastAsia" w:ascii="宋体" w:hAnsi="宋体" w:eastAsia="宋体" w:cs="宋体"/>
          <w:color w:val="auto"/>
          <w:highlight w:val="none"/>
        </w:rPr>
      </w:pPr>
      <w:r>
        <w:rPr>
          <w:rFonts w:hint="eastAsia" w:ascii="宋体" w:hAnsi="宋体" w:eastAsia="宋体" w:cs="宋体"/>
          <w:color w:val="auto"/>
          <w:position w:val="-50"/>
          <w:highlight w:val="none"/>
        </w:rPr>
        <mc:AlternateContent>
          <mc:Choice Requires="wpg">
            <w:drawing>
              <wp:inline distT="0" distB="0" distL="114300" distR="114300">
                <wp:extent cx="2835275" cy="1593850"/>
                <wp:effectExtent l="12700" t="0" r="28575" b="12700"/>
                <wp:docPr id="13" name="组合 13"/>
                <wp:cNvGraphicFramePr/>
                <a:graphic xmlns:a="http://schemas.openxmlformats.org/drawingml/2006/main">
                  <a:graphicData uri="http://schemas.microsoft.com/office/word/2010/wordprocessingGroup">
                    <wpg:wgp>
                      <wpg:cNvGrpSpPr>
                        <a:grpSpLocks noRot="1"/>
                      </wpg:cNvGrpSpPr>
                      <wpg:grpSpPr>
                        <a:xfrm>
                          <a:off x="0" y="0"/>
                          <a:ext cx="2835275" cy="1593850"/>
                          <a:chOff x="0" y="0"/>
                          <a:chExt cx="4465" cy="2510"/>
                        </a:xfrm>
                      </wpg:grpSpPr>
                      <pic:pic xmlns:pic="http://schemas.openxmlformats.org/drawingml/2006/picture">
                        <pic:nvPicPr>
                          <pic:cNvPr id="11" name="图片 5"/>
                          <pic:cNvPicPr>
                            <a:picLocks noChangeAspect="1"/>
                          </pic:cNvPicPr>
                        </pic:nvPicPr>
                        <pic:blipFill>
                          <a:blip r:embed="rId51"/>
                          <a:stretch>
                            <a:fillRect/>
                          </a:stretch>
                        </pic:blipFill>
                        <pic:spPr>
                          <a:xfrm>
                            <a:off x="0" y="0"/>
                            <a:ext cx="4465" cy="2510"/>
                          </a:xfrm>
                          <a:prstGeom prst="rect">
                            <a:avLst/>
                          </a:prstGeom>
                          <a:noFill/>
                          <a:ln>
                            <a:noFill/>
                          </a:ln>
                        </pic:spPr>
                      </pic:pic>
                      <wps:wsp>
                        <wps:cNvPr id="12" name="文本框 12"/>
                        <wps:cNvSpPr txBox="1"/>
                        <wps:spPr>
                          <a:xfrm>
                            <a:off x="-20" y="-20"/>
                            <a:ext cx="4505" cy="2550"/>
                          </a:xfrm>
                          <a:prstGeom prst="rect">
                            <a:avLst/>
                          </a:prstGeom>
                          <a:noFill/>
                          <a:ln>
                            <a:noFill/>
                          </a:ln>
                        </wps:spPr>
                        <wps:txbx>
                          <w:txbxContent>
                            <w:p w14:paraId="2242004A">
                              <w:pPr>
                                <w:spacing w:line="249" w:lineRule="auto"/>
                              </w:pPr>
                            </w:p>
                            <w:p w14:paraId="49E00F93">
                              <w:pPr>
                                <w:spacing w:line="249" w:lineRule="auto"/>
                              </w:pPr>
                            </w:p>
                            <w:p w14:paraId="6DDE7A3F">
                              <w:pPr>
                                <w:spacing w:line="249" w:lineRule="auto"/>
                              </w:pPr>
                            </w:p>
                            <w:p w14:paraId="5A85440D">
                              <w:pPr>
                                <w:spacing w:line="249" w:lineRule="auto"/>
                              </w:pPr>
                            </w:p>
                            <w:p w14:paraId="5CE13456">
                              <w:pPr>
                                <w:spacing w:before="78" w:line="220" w:lineRule="auto"/>
                                <w:jc w:val="center"/>
                                <w:rPr>
                                  <w:rFonts w:ascii="宋体" w:hAnsi="宋体" w:eastAsia="宋体" w:cs="宋体"/>
                                  <w:sz w:val="24"/>
                                  <w:szCs w:val="24"/>
                                </w:rPr>
                              </w:pPr>
                              <w:r>
                                <w:rPr>
                                  <w:rFonts w:ascii="宋体" w:hAnsi="宋体" w:eastAsia="宋体" w:cs="宋体"/>
                                  <w:spacing w:val="-1"/>
                                  <w:sz w:val="24"/>
                                  <w:szCs w:val="24"/>
                                </w:rPr>
                                <w:t>法定代表人身</w:t>
                              </w:r>
                              <w:r>
                                <w:rPr>
                                  <w:rFonts w:ascii="宋体" w:hAnsi="宋体" w:eastAsia="宋体" w:cs="宋体"/>
                                  <w:spacing w:val="-1"/>
                                  <w:sz w:val="24"/>
                                  <w:szCs w:val="24"/>
                                  <w:highlight w:val="none"/>
                                </w:rPr>
                                <w:t>份证</w:t>
                              </w:r>
                              <w:r>
                                <w:rPr>
                                  <w:rFonts w:hint="eastAsia" w:ascii="宋体" w:hAnsi="宋体" w:eastAsia="宋体" w:cs="宋体"/>
                                  <w:spacing w:val="-1"/>
                                  <w:sz w:val="24"/>
                                  <w:szCs w:val="24"/>
                                  <w:highlight w:val="none"/>
                                  <w:lang w:val="en-US" w:eastAsia="zh-CN"/>
                                </w:rPr>
                                <w:t>彩色扫描件</w:t>
                              </w:r>
                              <w:r>
                                <w:rPr>
                                  <w:rFonts w:ascii="宋体" w:hAnsi="宋体" w:eastAsia="宋体" w:cs="宋体"/>
                                  <w:spacing w:val="-1"/>
                                  <w:sz w:val="24"/>
                                  <w:szCs w:val="24"/>
                                  <w:highlight w:val="none"/>
                                </w:rPr>
                                <w:t>正</w:t>
                              </w:r>
                              <w:r>
                                <w:rPr>
                                  <w:rFonts w:ascii="宋体" w:hAnsi="宋体" w:eastAsia="宋体" w:cs="宋体"/>
                                  <w:spacing w:val="-1"/>
                                  <w:sz w:val="24"/>
                                  <w:szCs w:val="24"/>
                                </w:rPr>
                                <w:t>、反面</w:t>
                              </w:r>
                            </w:p>
                          </w:txbxContent>
                        </wps:txbx>
                        <wps:bodyPr lIns="0" tIns="0" rIns="0" bIns="0" upright="1"/>
                      </wps:wsp>
                    </wpg:wgp>
                  </a:graphicData>
                </a:graphic>
              </wp:inline>
            </w:drawing>
          </mc:Choice>
          <mc:Fallback>
            <w:pict>
              <v:group id="_x0000_s1026" o:spid="_x0000_s1026" o:spt="203" style="height:125.5pt;width:223.25pt;" coordsize="4465,2510" o:gfxdata="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">
                <o:lock v:ext="edit" rotation="t" aspectratio="f"/>
                <v:shape id="图片 5" o:spid="_x0000_s1026" o:spt="75" type="#_x0000_t75" style="position:absolute;left:0;top:0;height:2510;width:4465;" filled="f" o:preferrelative="t" stroked="f" coordsize="21600,21600" o:gfxdata="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RLC28AAAA&#10;2wAAAA8AAAAAAAAAAQAgAAAAIgAAAGRycy9kb3ducmV2LnhtbFBLAQIUABQAAAAIAIdO4kAzLwWe&#10;OwAAADkAAAAQAAAAAAAAAAEAIAAAAAsBAABkcnMvc2hhcGV4bWwueG1sUEsFBgAAAAAGAAYAWwEA&#10;ALUDAAAAAA==&#10;">
                  <v:fill on="f" focussize="0,0"/>
                  <v:stroke on="f"/>
                  <v:imagedata r:id="rId51" o:title=""/>
                  <o:lock v:ext="edit" aspectratio="t"/>
                </v:shape>
                <v:shape id="_x0000_s1026" o:spid="_x0000_s1026" o:spt="202" type="#_x0000_t202" style="position:absolute;left:-20;top:-20;height:2550;width:4505;"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242004A">
                        <w:pPr>
                          <w:spacing w:line="249" w:lineRule="auto"/>
                        </w:pPr>
                      </w:p>
                      <w:p w14:paraId="49E00F93">
                        <w:pPr>
                          <w:spacing w:line="249" w:lineRule="auto"/>
                        </w:pPr>
                      </w:p>
                      <w:p w14:paraId="6DDE7A3F">
                        <w:pPr>
                          <w:spacing w:line="249" w:lineRule="auto"/>
                        </w:pPr>
                      </w:p>
                      <w:p w14:paraId="5A85440D">
                        <w:pPr>
                          <w:spacing w:line="249" w:lineRule="auto"/>
                        </w:pPr>
                      </w:p>
                      <w:p w14:paraId="5CE13456">
                        <w:pPr>
                          <w:spacing w:before="78" w:line="220" w:lineRule="auto"/>
                          <w:jc w:val="center"/>
                          <w:rPr>
                            <w:rFonts w:ascii="宋体" w:hAnsi="宋体" w:eastAsia="宋体" w:cs="宋体"/>
                            <w:sz w:val="24"/>
                            <w:szCs w:val="24"/>
                          </w:rPr>
                        </w:pPr>
                        <w:r>
                          <w:rPr>
                            <w:rFonts w:ascii="宋体" w:hAnsi="宋体" w:eastAsia="宋体" w:cs="宋体"/>
                            <w:spacing w:val="-1"/>
                            <w:sz w:val="24"/>
                            <w:szCs w:val="24"/>
                          </w:rPr>
                          <w:t>法定代表人身</w:t>
                        </w:r>
                        <w:r>
                          <w:rPr>
                            <w:rFonts w:ascii="宋体" w:hAnsi="宋体" w:eastAsia="宋体" w:cs="宋体"/>
                            <w:spacing w:val="-1"/>
                            <w:sz w:val="24"/>
                            <w:szCs w:val="24"/>
                            <w:highlight w:val="none"/>
                          </w:rPr>
                          <w:t>份证</w:t>
                        </w:r>
                        <w:r>
                          <w:rPr>
                            <w:rFonts w:hint="eastAsia" w:ascii="宋体" w:hAnsi="宋体" w:eastAsia="宋体" w:cs="宋体"/>
                            <w:spacing w:val="-1"/>
                            <w:sz w:val="24"/>
                            <w:szCs w:val="24"/>
                            <w:highlight w:val="none"/>
                            <w:lang w:val="en-US" w:eastAsia="zh-CN"/>
                          </w:rPr>
                          <w:t>彩色扫描件</w:t>
                        </w:r>
                        <w:r>
                          <w:rPr>
                            <w:rFonts w:ascii="宋体" w:hAnsi="宋体" w:eastAsia="宋体" w:cs="宋体"/>
                            <w:spacing w:val="-1"/>
                            <w:sz w:val="24"/>
                            <w:szCs w:val="24"/>
                            <w:highlight w:val="none"/>
                          </w:rPr>
                          <w:t>正</w:t>
                        </w:r>
                        <w:r>
                          <w:rPr>
                            <w:rFonts w:ascii="宋体" w:hAnsi="宋体" w:eastAsia="宋体" w:cs="宋体"/>
                            <w:spacing w:val="-1"/>
                            <w:sz w:val="24"/>
                            <w:szCs w:val="24"/>
                          </w:rPr>
                          <w:t>、反面</w:t>
                        </w:r>
                      </w:p>
                    </w:txbxContent>
                  </v:textbox>
                </v:shape>
                <w10:wrap type="none"/>
                <w10:anchorlock/>
              </v:group>
            </w:pict>
          </mc:Fallback>
        </mc:AlternateContent>
      </w:r>
    </w:p>
    <w:p w14:paraId="3DDCB60F">
      <w:pPr>
        <w:keepNext w:val="0"/>
        <w:keepLines w:val="0"/>
        <w:pageBreakBefore w:val="0"/>
        <w:widowControl w:val="0"/>
        <w:kinsoku/>
        <w:wordWrap w:val="0"/>
        <w:overflowPunct/>
        <w:topLinePunct/>
        <w:autoSpaceDE/>
        <w:autoSpaceDN/>
        <w:bidi w:val="0"/>
        <w:adjustRightInd w:val="0"/>
        <w:snapToGrid w:val="0"/>
        <w:spacing w:line="2510" w:lineRule="exact"/>
        <w:ind w:right="84" w:rightChars="40"/>
        <w:rPr>
          <w:rFonts w:hint="eastAsia" w:ascii="宋体" w:hAnsi="宋体" w:eastAsia="宋体" w:cs="宋体"/>
          <w:color w:val="auto"/>
          <w:highlight w:val="none"/>
        </w:rPr>
        <w:sectPr>
          <w:footerReference r:id="rId17"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986E707">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08" w:name="_Toc23279"/>
      <w:r>
        <w:rPr>
          <w:rFonts w:hint="eastAsia" w:ascii="宋体" w:hAnsi="宋体" w:eastAsia="宋体" w:cs="宋体"/>
          <w:b/>
          <w:bCs/>
          <w:color w:val="auto"/>
          <w:spacing w:val="-4"/>
          <w:sz w:val="24"/>
          <w:szCs w:val="24"/>
          <w:highlight w:val="none"/>
        </w:rPr>
        <w:t>格式六 联合体协议书</w:t>
      </w:r>
      <w:bookmarkEnd w:id="208"/>
    </w:p>
    <w:p w14:paraId="246F6FC4">
      <w:pPr>
        <w:keepNext w:val="0"/>
        <w:keepLines w:val="0"/>
        <w:pageBreakBefore w:val="0"/>
        <w:widowControl w:val="0"/>
        <w:kinsoku/>
        <w:wordWrap w:val="0"/>
        <w:overflowPunct/>
        <w:topLinePunct/>
        <w:autoSpaceDE/>
        <w:autoSpaceDN/>
        <w:bidi w:val="0"/>
        <w:adjustRightInd w:val="0"/>
        <w:snapToGrid w:val="0"/>
        <w:spacing w:before="98" w:line="219" w:lineRule="auto"/>
        <w:ind w:left="3638" w:right="84" w:rightChars="40"/>
        <w:rPr>
          <w:rFonts w:hint="eastAsia" w:ascii="宋体" w:hAnsi="宋体" w:eastAsia="宋体" w:cs="宋体"/>
          <w:color w:val="auto"/>
          <w:sz w:val="30"/>
          <w:szCs w:val="30"/>
          <w:highlight w:val="none"/>
        </w:rPr>
      </w:pPr>
      <w:bookmarkStart w:id="209" w:name="bookmark153"/>
      <w:bookmarkEnd w:id="209"/>
      <w:r>
        <w:rPr>
          <w:rFonts w:hint="eastAsia" w:ascii="宋体" w:hAnsi="宋体" w:eastAsia="宋体" w:cs="宋体"/>
          <w:b/>
          <w:bCs/>
          <w:color w:val="auto"/>
          <w:spacing w:val="-5"/>
          <w:sz w:val="30"/>
          <w:szCs w:val="30"/>
          <w:highlight w:val="none"/>
        </w:rPr>
        <w:t>联合体协议书</w:t>
      </w:r>
    </w:p>
    <w:p w14:paraId="3C777236">
      <w:pPr>
        <w:pStyle w:val="6"/>
        <w:keepNext w:val="0"/>
        <w:keepLines w:val="0"/>
        <w:pageBreakBefore w:val="0"/>
        <w:widowControl w:val="0"/>
        <w:kinsoku/>
        <w:wordWrap w:val="0"/>
        <w:overflowPunct/>
        <w:topLinePunct/>
        <w:autoSpaceDE/>
        <w:autoSpaceDN/>
        <w:bidi w:val="0"/>
        <w:adjustRightInd w:val="0"/>
        <w:snapToGrid w:val="0"/>
        <w:spacing w:line="264" w:lineRule="auto"/>
        <w:ind w:right="84" w:rightChars="40"/>
        <w:textAlignment w:val="baseline"/>
        <w:rPr>
          <w:rFonts w:hint="eastAsia" w:ascii="宋体" w:hAnsi="宋体" w:eastAsia="宋体" w:cs="宋体"/>
          <w:color w:val="auto"/>
          <w:highlight w:val="none"/>
        </w:rPr>
      </w:pPr>
    </w:p>
    <w:p w14:paraId="1E2C93A7">
      <w:pPr>
        <w:keepNext w:val="0"/>
        <w:keepLines w:val="0"/>
        <w:pageBreakBefore w:val="0"/>
        <w:widowControl w:val="0"/>
        <w:kinsoku/>
        <w:wordWrap w:val="0"/>
        <w:overflowPunct/>
        <w:topLinePunct/>
        <w:autoSpaceDE/>
        <w:autoSpaceDN/>
        <w:bidi w:val="0"/>
        <w:adjustRightInd w:val="0"/>
        <w:snapToGrid w:val="0"/>
        <w:spacing w:line="400" w:lineRule="exact"/>
        <w:ind w:left="421" w:right="84" w:rightChars="40" w:hanging="3"/>
        <w:jc w:val="both"/>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12"/>
          <w:sz w:val="24"/>
          <w:szCs w:val="24"/>
          <w:highlight w:val="none"/>
        </w:rPr>
        <w:t>牵头人名称：</w:t>
      </w:r>
      <w:r>
        <w:rPr>
          <w:rFonts w:hint="eastAsia" w:ascii="宋体" w:hAnsi="宋体" w:eastAsia="宋体" w:cs="宋体"/>
          <w:color w:val="auto"/>
          <w:spacing w:val="4"/>
          <w:sz w:val="24"/>
          <w:szCs w:val="24"/>
          <w:highlight w:val="none"/>
        </w:rPr>
        <w:t xml:space="preserve"> </w:t>
      </w:r>
    </w:p>
    <w:p w14:paraId="09B2DB97">
      <w:pPr>
        <w:keepNext w:val="0"/>
        <w:keepLines w:val="0"/>
        <w:pageBreakBefore w:val="0"/>
        <w:widowControl w:val="0"/>
        <w:kinsoku/>
        <w:wordWrap w:val="0"/>
        <w:overflowPunct/>
        <w:topLinePunct/>
        <w:autoSpaceDE/>
        <w:autoSpaceDN/>
        <w:bidi w:val="0"/>
        <w:adjustRightInd w:val="0"/>
        <w:snapToGrid w:val="0"/>
        <w:spacing w:line="400" w:lineRule="exact"/>
        <w:ind w:left="421" w:right="84" w:rightChars="40" w:hanging="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14:paraId="3BB8D5A9">
      <w:pPr>
        <w:keepNext w:val="0"/>
        <w:keepLines w:val="0"/>
        <w:pageBreakBefore w:val="0"/>
        <w:widowControl w:val="0"/>
        <w:kinsoku/>
        <w:wordWrap w:val="0"/>
        <w:overflowPunct/>
        <w:topLinePunct/>
        <w:autoSpaceDE/>
        <w:autoSpaceDN/>
        <w:bidi w:val="0"/>
        <w:adjustRightInd w:val="0"/>
        <w:snapToGrid w:val="0"/>
        <w:spacing w:line="400" w:lineRule="exact"/>
        <w:ind w:left="421" w:right="84" w:rightChars="40" w:hanging="3"/>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法定住所：</w:t>
      </w:r>
    </w:p>
    <w:p w14:paraId="46C81FDA">
      <w:pPr>
        <w:keepNext w:val="0"/>
        <w:keepLines w:val="0"/>
        <w:pageBreakBefore w:val="0"/>
        <w:widowControl w:val="0"/>
        <w:kinsoku/>
        <w:wordWrap w:val="0"/>
        <w:overflowPunct/>
        <w:topLinePunct/>
        <w:autoSpaceDE/>
        <w:autoSpaceDN/>
        <w:bidi w:val="0"/>
        <w:adjustRightInd w:val="0"/>
        <w:snapToGrid w:val="0"/>
        <w:spacing w:line="400" w:lineRule="exact"/>
        <w:ind w:right="84" w:rightChars="40"/>
        <w:textAlignment w:val="baseline"/>
        <w:outlineLvl w:val="9"/>
        <w:rPr>
          <w:rFonts w:hint="eastAsia"/>
          <w:color w:val="auto"/>
          <w:highlight w:val="none"/>
        </w:rPr>
      </w:pPr>
    </w:p>
    <w:p w14:paraId="141F0805">
      <w:pPr>
        <w:keepNext w:val="0"/>
        <w:keepLines w:val="0"/>
        <w:pageBreakBefore w:val="0"/>
        <w:widowControl w:val="0"/>
        <w:kinsoku/>
        <w:wordWrap w:val="0"/>
        <w:overflowPunct/>
        <w:topLinePunct/>
        <w:autoSpaceDE/>
        <w:autoSpaceDN/>
        <w:bidi w:val="0"/>
        <w:adjustRightInd w:val="0"/>
        <w:snapToGrid w:val="0"/>
        <w:spacing w:line="400" w:lineRule="exact"/>
        <w:ind w:left="421"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成员二名称：</w:t>
      </w:r>
      <w:r>
        <w:rPr>
          <w:rFonts w:hint="eastAsia" w:ascii="宋体" w:hAnsi="宋体" w:eastAsia="宋体" w:cs="宋体"/>
          <w:color w:val="auto"/>
          <w:sz w:val="24"/>
          <w:szCs w:val="24"/>
          <w:highlight w:val="none"/>
        </w:rPr>
        <w:t xml:space="preserve"> </w:t>
      </w:r>
    </w:p>
    <w:p w14:paraId="6EC8F7F2">
      <w:pPr>
        <w:keepNext w:val="0"/>
        <w:keepLines w:val="0"/>
        <w:pageBreakBefore w:val="0"/>
        <w:widowControl w:val="0"/>
        <w:kinsoku/>
        <w:wordWrap w:val="0"/>
        <w:overflowPunct/>
        <w:topLinePunct/>
        <w:autoSpaceDE/>
        <w:autoSpaceDN/>
        <w:bidi w:val="0"/>
        <w:adjustRightInd w:val="0"/>
        <w:snapToGrid w:val="0"/>
        <w:spacing w:line="400" w:lineRule="exact"/>
        <w:ind w:left="421"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14:paraId="4BCA32DC">
      <w:pPr>
        <w:keepNext w:val="0"/>
        <w:keepLines w:val="0"/>
        <w:pageBreakBefore w:val="0"/>
        <w:widowControl w:val="0"/>
        <w:kinsoku/>
        <w:wordWrap w:val="0"/>
        <w:overflowPunct/>
        <w:topLinePunct/>
        <w:autoSpaceDE/>
        <w:autoSpaceDN/>
        <w:bidi w:val="0"/>
        <w:adjustRightInd w:val="0"/>
        <w:snapToGrid w:val="0"/>
        <w:spacing w:line="400" w:lineRule="exact"/>
        <w:ind w:left="421"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法定住所：</w:t>
      </w:r>
    </w:p>
    <w:p w14:paraId="67B52F49">
      <w:pPr>
        <w:keepNext w:val="0"/>
        <w:keepLines w:val="0"/>
        <w:pageBreakBefore w:val="0"/>
        <w:widowControl w:val="0"/>
        <w:kinsoku/>
        <w:wordWrap w:val="0"/>
        <w:overflowPunct/>
        <w:topLinePunct/>
        <w:autoSpaceDE/>
        <w:autoSpaceDN/>
        <w:bidi w:val="0"/>
        <w:adjustRightInd w:val="0"/>
        <w:snapToGrid w:val="0"/>
        <w:spacing w:line="400" w:lineRule="exact"/>
        <w:ind w:left="436"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3"/>
          <w:position w:val="3"/>
          <w:sz w:val="24"/>
          <w:szCs w:val="24"/>
          <w:highlight w:val="none"/>
        </w:rPr>
        <w:t>……</w:t>
      </w:r>
    </w:p>
    <w:p w14:paraId="25EAE5A9">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上述各成员单位经过友好协商，自愿组成联合体，</w:t>
      </w:r>
      <w:r>
        <w:rPr>
          <w:rFonts w:hint="eastAsia" w:ascii="宋体" w:hAnsi="宋体" w:eastAsia="宋体" w:cs="宋体"/>
          <w:color w:val="auto"/>
          <w:sz w:val="24"/>
          <w:szCs w:val="24"/>
          <w:highlight w:val="none"/>
        </w:rPr>
        <w:t>共同参加（项目名称</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以下简</w:t>
      </w:r>
      <w:r>
        <w:rPr>
          <w:rFonts w:hint="eastAsia" w:ascii="宋体" w:hAnsi="宋体" w:eastAsia="宋体" w:cs="宋体"/>
          <w:color w:val="auto"/>
          <w:spacing w:val="-2"/>
          <w:sz w:val="24"/>
          <w:szCs w:val="24"/>
          <w:highlight w:val="none"/>
        </w:rPr>
        <w:t>称“本项目</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”）的施工投标并争取赢得本项目施工承包</w:t>
      </w:r>
      <w:r>
        <w:rPr>
          <w:rFonts w:hint="eastAsia" w:ascii="宋体" w:hAnsi="宋体" w:eastAsia="宋体" w:cs="宋体"/>
          <w:color w:val="auto"/>
          <w:spacing w:val="-3"/>
          <w:sz w:val="24"/>
          <w:szCs w:val="24"/>
          <w:highlight w:val="none"/>
        </w:rPr>
        <w:t>合同（以下简称合同）。现就联</w:t>
      </w:r>
      <w:r>
        <w:rPr>
          <w:rFonts w:hint="eastAsia" w:ascii="宋体" w:hAnsi="宋体" w:eastAsia="宋体" w:cs="宋体"/>
          <w:color w:val="auto"/>
          <w:spacing w:val="-1"/>
          <w:sz w:val="24"/>
          <w:szCs w:val="24"/>
          <w:highlight w:val="none"/>
        </w:rPr>
        <w:t>合体投标事宜订立如下协议：</w:t>
      </w:r>
    </w:p>
    <w:p w14:paraId="133045B7">
      <w:pPr>
        <w:keepNext w:val="0"/>
        <w:keepLines w:val="0"/>
        <w:pageBreakBefore w:val="0"/>
        <w:widowControl w:val="0"/>
        <w:kinsoku/>
        <w:wordWrap w:val="0"/>
        <w:overflowPunct/>
        <w:topLinePunct/>
        <w:autoSpaceDE/>
        <w:autoSpaceDN/>
        <w:bidi w:val="0"/>
        <w:adjustRightInd w:val="0"/>
        <w:snapToGrid w:val="0"/>
        <w:spacing w:line="400" w:lineRule="exact"/>
        <w:ind w:left="499"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rPr>
        <w:t>某成员单位名称）为联合体牵头人。</w:t>
      </w:r>
    </w:p>
    <w:p w14:paraId="1D29FE2A">
      <w:pPr>
        <w:keepNext w:val="0"/>
        <w:keepLines w:val="0"/>
        <w:pageBreakBefore w:val="0"/>
        <w:widowControl w:val="0"/>
        <w:kinsoku/>
        <w:wordWrap w:val="0"/>
        <w:overflowPunct/>
        <w:topLinePunct/>
        <w:autoSpaceDE/>
        <w:autoSpaceDN/>
        <w:bidi w:val="0"/>
        <w:adjustRightInd w:val="0"/>
        <w:snapToGrid w:val="0"/>
        <w:spacing w:line="400" w:lineRule="exact"/>
        <w:ind w:left="1"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1"/>
          <w:sz w:val="24"/>
          <w:szCs w:val="24"/>
          <w:highlight w:val="none"/>
        </w:rPr>
        <w:t>．在本项目投标阶段，联合体牵头人合法代表联合体各成员负责本项目投标</w:t>
      </w:r>
      <w:r>
        <w:rPr>
          <w:rFonts w:hint="eastAsia" w:ascii="宋体" w:hAnsi="宋体" w:eastAsia="宋体" w:cs="宋体"/>
          <w:color w:val="auto"/>
          <w:spacing w:val="-2"/>
          <w:sz w:val="24"/>
          <w:szCs w:val="24"/>
          <w:highlight w:val="none"/>
        </w:rPr>
        <w:t>文件编制活动，代表联合体提交和接收相关的资料、信息及指示，并处理与投标和中标有关的一切事务；联合体中标后，联合体牵头人负责合同订立和合同实施阶段的主办、组织和协调工作。</w:t>
      </w:r>
    </w:p>
    <w:p w14:paraId="5889A2B3">
      <w:pPr>
        <w:keepNext w:val="0"/>
        <w:keepLines w:val="0"/>
        <w:pageBreakBefore w:val="0"/>
        <w:widowControl w:val="0"/>
        <w:kinsoku/>
        <w:wordWrap w:val="0"/>
        <w:overflowPunct/>
        <w:topLinePunct/>
        <w:autoSpaceDE/>
        <w:autoSpaceDN/>
        <w:bidi w:val="0"/>
        <w:adjustRightInd w:val="0"/>
        <w:snapToGrid w:val="0"/>
        <w:spacing w:line="400" w:lineRule="exact"/>
        <w:ind w:left="2" w:right="84" w:rightChars="40"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．联合体将严格按照招标文件的各项要求，递交投标文件，履行</w:t>
      </w:r>
      <w:r>
        <w:rPr>
          <w:rFonts w:hint="eastAsia" w:ascii="宋体" w:hAnsi="宋体" w:eastAsia="宋体" w:cs="宋体"/>
          <w:color w:val="auto"/>
          <w:spacing w:val="-2"/>
          <w:sz w:val="24"/>
          <w:szCs w:val="24"/>
          <w:highlight w:val="none"/>
        </w:rPr>
        <w:t>投标义务和中标后的合同，共同承担合同规定的一切义务和责任，联合体各成员单位按照内部职责的部</w:t>
      </w:r>
      <w:r>
        <w:rPr>
          <w:rFonts w:hint="eastAsia" w:ascii="宋体" w:hAnsi="宋体" w:eastAsia="宋体" w:cs="宋体"/>
          <w:color w:val="auto"/>
          <w:spacing w:val="-1"/>
          <w:sz w:val="24"/>
          <w:szCs w:val="24"/>
          <w:highlight w:val="none"/>
        </w:rPr>
        <w:t>分，承担各自所负的责任和风险，并向招标人承担连带责任。</w:t>
      </w:r>
    </w:p>
    <w:p w14:paraId="5628F1E0">
      <w:pPr>
        <w:keepNext w:val="0"/>
        <w:keepLines w:val="0"/>
        <w:pageBreakBefore w:val="0"/>
        <w:widowControl w:val="0"/>
        <w:kinsoku/>
        <w:wordWrap w:val="0"/>
        <w:overflowPunct/>
        <w:topLinePunct/>
        <w:autoSpaceDE/>
        <w:autoSpaceDN/>
        <w:bidi w:val="0"/>
        <w:adjustRightInd w:val="0"/>
        <w:snapToGrid w:val="0"/>
        <w:spacing w:line="400" w:lineRule="exact"/>
        <w:ind w:left="475" w:right="84" w:rightChars="40"/>
        <w:textAlignment w:val="baseline"/>
        <w:outlineLvl w:val="9"/>
        <w:rPr>
          <w:rFonts w:hint="eastAsia" w:ascii="宋体" w:hAnsi="宋体" w:eastAsia="宋体" w:cs="宋体"/>
          <w:color w:val="auto"/>
          <w:sz w:val="24"/>
          <w:szCs w:val="24"/>
          <w:highlight w:val="none"/>
        </w:rPr>
      </w:pPr>
      <w:bookmarkStart w:id="210" w:name="_Toc32149"/>
      <w:bookmarkStart w:id="211" w:name="_Toc5365"/>
      <w:r>
        <w:rPr>
          <w:rFonts w:hint="eastAsia" w:ascii="宋体" w:hAnsi="宋体" w:eastAsia="宋体" w:cs="宋体"/>
          <w:color w:val="auto"/>
          <w:spacing w:val="-2"/>
          <w:sz w:val="24"/>
          <w:szCs w:val="24"/>
          <w:highlight w:val="none"/>
        </w:rPr>
        <w:t>4</w:t>
      </w:r>
      <w:r>
        <w:rPr>
          <w:rFonts w:hint="eastAsia" w:ascii="宋体" w:hAnsi="宋体" w:eastAsia="宋体" w:cs="宋体"/>
          <w:color w:val="auto"/>
          <w:spacing w:val="-23"/>
          <w:sz w:val="24"/>
          <w:szCs w:val="24"/>
          <w:highlight w:val="none"/>
        </w:rPr>
        <w:t xml:space="preserve"> </w:t>
      </w:r>
      <w:r>
        <w:rPr>
          <w:rFonts w:hint="eastAsia" w:ascii="宋体" w:hAnsi="宋体" w:eastAsia="宋体" w:cs="宋体"/>
          <w:color w:val="auto"/>
          <w:spacing w:val="-2"/>
          <w:sz w:val="24"/>
          <w:szCs w:val="24"/>
          <w:highlight w:val="none"/>
        </w:rPr>
        <w:t>．联合体各成员单位内部的职责分工如下：</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w:t>
      </w:r>
      <w:bookmarkEnd w:id="210"/>
      <w:bookmarkEnd w:id="211"/>
    </w:p>
    <w:p w14:paraId="02EFFB7E">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48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．投标工作和联合体在中标后工程实施过程中的有关费用按</w:t>
      </w:r>
      <w:r>
        <w:rPr>
          <w:rFonts w:hint="eastAsia" w:ascii="宋体" w:hAnsi="宋体" w:eastAsia="宋体" w:cs="宋体"/>
          <w:color w:val="auto"/>
          <w:spacing w:val="-2"/>
          <w:sz w:val="24"/>
          <w:szCs w:val="24"/>
          <w:highlight w:val="none"/>
        </w:rPr>
        <w:t>各自承担的工作量分</w:t>
      </w:r>
      <w:r>
        <w:rPr>
          <w:rFonts w:hint="eastAsia" w:ascii="宋体" w:hAnsi="宋体" w:eastAsia="宋体" w:cs="宋体"/>
          <w:color w:val="auto"/>
          <w:spacing w:val="-5"/>
          <w:sz w:val="24"/>
          <w:szCs w:val="24"/>
          <w:highlight w:val="none"/>
        </w:rPr>
        <w:t>摊。</w:t>
      </w:r>
    </w:p>
    <w:p w14:paraId="7F643CE4">
      <w:pPr>
        <w:keepNext w:val="0"/>
        <w:keepLines w:val="0"/>
        <w:pageBreakBefore w:val="0"/>
        <w:widowControl w:val="0"/>
        <w:kinsoku/>
        <w:wordWrap w:val="0"/>
        <w:overflowPunct/>
        <w:topLinePunct/>
        <w:autoSpaceDE/>
        <w:autoSpaceDN/>
        <w:bidi w:val="0"/>
        <w:adjustRightInd w:val="0"/>
        <w:snapToGrid w:val="0"/>
        <w:spacing w:line="400" w:lineRule="exact"/>
        <w:ind w:left="4" w:right="84" w:rightChars="40"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．联合体中标后，本联合体协议是合同的附件，对联合体各成</w:t>
      </w:r>
      <w:r>
        <w:rPr>
          <w:rFonts w:hint="eastAsia" w:ascii="宋体" w:hAnsi="宋体" w:eastAsia="宋体" w:cs="宋体"/>
          <w:color w:val="auto"/>
          <w:spacing w:val="-2"/>
          <w:sz w:val="24"/>
          <w:szCs w:val="24"/>
          <w:highlight w:val="none"/>
        </w:rPr>
        <w:t>员单位有合同约束</w:t>
      </w:r>
      <w:r>
        <w:rPr>
          <w:rFonts w:hint="eastAsia" w:ascii="宋体" w:hAnsi="宋体" w:eastAsia="宋体" w:cs="宋体"/>
          <w:color w:val="auto"/>
          <w:spacing w:val="-7"/>
          <w:sz w:val="24"/>
          <w:szCs w:val="24"/>
          <w:highlight w:val="none"/>
        </w:rPr>
        <w:t>力。</w:t>
      </w:r>
    </w:p>
    <w:p w14:paraId="083B26FB">
      <w:pPr>
        <w:keepNext w:val="0"/>
        <w:keepLines w:val="0"/>
        <w:pageBreakBefore w:val="0"/>
        <w:widowControl w:val="0"/>
        <w:kinsoku/>
        <w:wordWrap w:val="0"/>
        <w:overflowPunct/>
        <w:topLinePunct/>
        <w:autoSpaceDE/>
        <w:autoSpaceDN/>
        <w:bidi w:val="0"/>
        <w:adjustRightInd w:val="0"/>
        <w:snapToGrid w:val="0"/>
        <w:spacing w:line="400" w:lineRule="exact"/>
        <w:ind w:left="6" w:right="84" w:rightChars="40" w:firstLine="47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．本协议书自签署之日起生效，联合体未中标或者中标时合同履行</w:t>
      </w:r>
      <w:r>
        <w:rPr>
          <w:rFonts w:hint="eastAsia" w:ascii="宋体" w:hAnsi="宋体" w:eastAsia="宋体" w:cs="宋体"/>
          <w:color w:val="auto"/>
          <w:spacing w:val="-2"/>
          <w:sz w:val="24"/>
          <w:szCs w:val="24"/>
          <w:highlight w:val="none"/>
        </w:rPr>
        <w:t>完毕后自动失</w:t>
      </w:r>
      <w:r>
        <w:rPr>
          <w:rFonts w:hint="eastAsia" w:ascii="宋体" w:hAnsi="宋体" w:eastAsia="宋体" w:cs="宋体"/>
          <w:color w:val="auto"/>
          <w:spacing w:val="-8"/>
          <w:sz w:val="24"/>
          <w:szCs w:val="24"/>
          <w:highlight w:val="none"/>
        </w:rPr>
        <w:t>效。</w:t>
      </w:r>
    </w:p>
    <w:p w14:paraId="110B82A4">
      <w:pPr>
        <w:keepNext w:val="0"/>
        <w:keepLines w:val="0"/>
        <w:pageBreakBefore w:val="0"/>
        <w:widowControl w:val="0"/>
        <w:kinsoku/>
        <w:wordWrap w:val="0"/>
        <w:overflowPunct/>
        <w:topLinePunct/>
        <w:autoSpaceDE/>
        <w:autoSpaceDN/>
        <w:bidi w:val="0"/>
        <w:adjustRightInd w:val="0"/>
        <w:snapToGrid w:val="0"/>
        <w:spacing w:line="400" w:lineRule="exact"/>
        <w:ind w:left="486" w:right="84" w:rightChars="40"/>
        <w:textAlignment w:val="baseline"/>
        <w:outlineLvl w:val="9"/>
        <w:rPr>
          <w:rFonts w:hint="eastAsia" w:ascii="宋体" w:hAnsi="宋体" w:eastAsia="宋体" w:cs="宋体"/>
          <w:color w:val="auto"/>
          <w:sz w:val="24"/>
          <w:szCs w:val="24"/>
          <w:highlight w:val="none"/>
        </w:rPr>
      </w:pPr>
      <w:bookmarkStart w:id="212" w:name="_Toc26708"/>
      <w:bookmarkStart w:id="213" w:name="_Toc22612"/>
      <w:r>
        <w:rPr>
          <w:rFonts w:hint="eastAsia" w:ascii="宋体" w:hAnsi="宋体" w:eastAsia="宋体" w:cs="宋体"/>
          <w:color w:val="auto"/>
          <w:spacing w:val="-2"/>
          <w:sz w:val="24"/>
          <w:szCs w:val="24"/>
          <w:highlight w:val="none"/>
        </w:rPr>
        <w:t>8</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．本协议书一式</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份，联合体成员和招标人各执</w:t>
      </w:r>
      <w:r>
        <w:rPr>
          <w:rFonts w:hint="eastAsia" w:ascii="宋体" w:hAnsi="宋体" w:eastAsia="宋体" w:cs="宋体"/>
          <w:color w:val="auto"/>
          <w:spacing w:val="-2"/>
          <w:sz w:val="24"/>
          <w:szCs w:val="24"/>
          <w:highlight w:val="none"/>
          <w:u w:val="single"/>
          <w:lang w:val="en-US" w:eastAsia="zh-CN"/>
        </w:rPr>
        <w:t xml:space="preserve"> 一 </w:t>
      </w:r>
      <w:r>
        <w:rPr>
          <w:rFonts w:hint="eastAsia" w:ascii="宋体" w:hAnsi="宋体" w:eastAsia="宋体" w:cs="宋体"/>
          <w:color w:val="auto"/>
          <w:spacing w:val="-2"/>
          <w:sz w:val="24"/>
          <w:szCs w:val="24"/>
          <w:highlight w:val="none"/>
        </w:rPr>
        <w:t>份。</w:t>
      </w:r>
      <w:bookmarkEnd w:id="212"/>
      <w:bookmarkEnd w:id="213"/>
    </w:p>
    <w:p w14:paraId="4FFCEE88">
      <w:pPr>
        <w:keepNext w:val="0"/>
        <w:keepLines w:val="0"/>
        <w:pageBreakBefore w:val="0"/>
        <w:widowControl w:val="0"/>
        <w:kinsoku/>
        <w:wordWrap w:val="0"/>
        <w:overflowPunct/>
        <w:topLinePunct/>
        <w:autoSpaceDE/>
        <w:autoSpaceDN/>
        <w:bidi w:val="0"/>
        <w:adjustRightInd w:val="0"/>
        <w:snapToGrid w:val="0"/>
        <w:spacing w:before="78" w:line="264" w:lineRule="auto"/>
        <w:ind w:right="84" w:rightChars="40"/>
        <w:jc w:val="right"/>
        <w:textAlignment w:val="baseline"/>
        <w:rPr>
          <w:rFonts w:hint="eastAsia" w:ascii="宋体" w:hAnsi="宋体" w:eastAsia="宋体" w:cs="宋体"/>
          <w:color w:val="auto"/>
          <w:sz w:val="24"/>
          <w:szCs w:val="24"/>
          <w:highlight w:val="none"/>
        </w:rPr>
      </w:pPr>
      <w:bookmarkStart w:id="214" w:name="bookmark154"/>
      <w:bookmarkEnd w:id="214"/>
      <w:r>
        <w:rPr>
          <w:rFonts w:hint="eastAsia" w:ascii="宋体" w:hAnsi="宋体" w:eastAsia="宋体" w:cs="宋体"/>
          <w:color w:val="auto"/>
          <w:sz w:val="24"/>
          <w:szCs w:val="24"/>
          <w:highlight w:val="none"/>
        </w:rPr>
        <w:t>牵头人名称</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rPr>
        <w:t>盖单位章）</w:t>
      </w:r>
    </w:p>
    <w:p w14:paraId="4F7207E6">
      <w:pPr>
        <w:pStyle w:val="6"/>
        <w:keepNext w:val="0"/>
        <w:keepLines w:val="0"/>
        <w:pageBreakBefore w:val="0"/>
        <w:widowControl w:val="0"/>
        <w:kinsoku/>
        <w:wordWrap w:val="0"/>
        <w:overflowPunct/>
        <w:topLinePunct/>
        <w:autoSpaceDE/>
        <w:autoSpaceDN/>
        <w:bidi w:val="0"/>
        <w:adjustRightInd w:val="0"/>
        <w:snapToGrid w:val="0"/>
        <w:spacing w:line="264" w:lineRule="auto"/>
        <w:ind w:right="84" w:rightChars="40"/>
        <w:textAlignment w:val="baseline"/>
        <w:rPr>
          <w:rFonts w:hint="eastAsia" w:ascii="宋体" w:hAnsi="宋体" w:eastAsia="宋体" w:cs="宋体"/>
          <w:color w:val="auto"/>
          <w:highlight w:val="none"/>
        </w:rPr>
      </w:pPr>
    </w:p>
    <w:p w14:paraId="27B81BBF">
      <w:pPr>
        <w:keepNext w:val="0"/>
        <w:keepLines w:val="0"/>
        <w:pageBreakBefore w:val="0"/>
        <w:widowControl w:val="0"/>
        <w:kinsoku/>
        <w:wordWrap w:val="0"/>
        <w:overflowPunct/>
        <w:topLinePunct/>
        <w:autoSpaceDE/>
        <w:autoSpaceDN/>
        <w:bidi w:val="0"/>
        <w:adjustRightInd w:val="0"/>
        <w:snapToGrid w:val="0"/>
        <w:spacing w:before="78" w:line="264" w:lineRule="auto"/>
        <w:ind w:right="84" w:rightChars="40"/>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0458AD4E">
      <w:pPr>
        <w:keepNext w:val="0"/>
        <w:keepLines w:val="0"/>
        <w:pageBreakBefore w:val="0"/>
        <w:widowControl w:val="0"/>
        <w:kinsoku/>
        <w:wordWrap w:val="0"/>
        <w:overflowPunct/>
        <w:topLinePunct/>
        <w:autoSpaceDE/>
        <w:autoSpaceDN/>
        <w:bidi w:val="0"/>
        <w:adjustRightInd w:val="0"/>
        <w:snapToGrid w:val="0"/>
        <w:spacing w:before="78" w:line="264" w:lineRule="auto"/>
        <w:ind w:right="84" w:rightChars="40"/>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成员二名称</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盖单位章）</w:t>
      </w:r>
    </w:p>
    <w:p w14:paraId="17C26060">
      <w:pPr>
        <w:pStyle w:val="6"/>
        <w:keepNext w:val="0"/>
        <w:keepLines w:val="0"/>
        <w:pageBreakBefore w:val="0"/>
        <w:widowControl w:val="0"/>
        <w:kinsoku/>
        <w:wordWrap w:val="0"/>
        <w:overflowPunct/>
        <w:topLinePunct/>
        <w:autoSpaceDE/>
        <w:autoSpaceDN/>
        <w:bidi w:val="0"/>
        <w:adjustRightInd w:val="0"/>
        <w:snapToGrid w:val="0"/>
        <w:spacing w:line="264" w:lineRule="auto"/>
        <w:ind w:right="84" w:rightChars="40"/>
        <w:textAlignment w:val="baseline"/>
        <w:rPr>
          <w:rFonts w:hint="eastAsia" w:ascii="宋体" w:hAnsi="宋体" w:eastAsia="宋体" w:cs="宋体"/>
          <w:color w:val="auto"/>
          <w:highlight w:val="none"/>
        </w:rPr>
      </w:pPr>
    </w:p>
    <w:p w14:paraId="5C533A01">
      <w:pPr>
        <w:keepNext w:val="0"/>
        <w:keepLines w:val="0"/>
        <w:pageBreakBefore w:val="0"/>
        <w:widowControl w:val="0"/>
        <w:kinsoku/>
        <w:wordWrap w:val="0"/>
        <w:overflowPunct/>
        <w:topLinePunct/>
        <w:autoSpaceDE/>
        <w:autoSpaceDN/>
        <w:bidi w:val="0"/>
        <w:adjustRightInd w:val="0"/>
        <w:snapToGrid w:val="0"/>
        <w:spacing w:before="78" w:line="264" w:lineRule="auto"/>
        <w:ind w:right="84" w:rightChars="40"/>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010F8ED6">
      <w:pPr>
        <w:keepNext w:val="0"/>
        <w:keepLines w:val="0"/>
        <w:pageBreakBefore w:val="0"/>
        <w:widowControl w:val="0"/>
        <w:kinsoku/>
        <w:wordWrap w:val="0"/>
        <w:overflowPunct/>
        <w:topLinePunct/>
        <w:autoSpaceDE/>
        <w:autoSpaceDN/>
        <w:bidi w:val="0"/>
        <w:adjustRightInd w:val="0"/>
        <w:snapToGrid w:val="0"/>
        <w:spacing w:before="78" w:line="220" w:lineRule="auto"/>
        <w:ind w:left="6730" w:right="84" w:rightChars="4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2E93A9AC">
      <w:pPr>
        <w:pStyle w:val="6"/>
        <w:keepNext w:val="0"/>
        <w:keepLines w:val="0"/>
        <w:pageBreakBefore w:val="0"/>
        <w:widowControl w:val="0"/>
        <w:kinsoku/>
        <w:wordWrap w:val="0"/>
        <w:overflowPunct/>
        <w:topLinePunct/>
        <w:autoSpaceDE/>
        <w:autoSpaceDN/>
        <w:bidi w:val="0"/>
        <w:adjustRightInd w:val="0"/>
        <w:snapToGrid w:val="0"/>
        <w:spacing w:line="264" w:lineRule="auto"/>
        <w:ind w:right="84" w:rightChars="40"/>
        <w:textAlignment w:val="baseline"/>
        <w:rPr>
          <w:rFonts w:hint="eastAsia" w:ascii="宋体" w:hAnsi="宋体" w:eastAsia="宋体" w:cs="宋体"/>
          <w:color w:val="auto"/>
          <w:highlight w:val="none"/>
        </w:rPr>
      </w:pPr>
    </w:p>
    <w:p w14:paraId="5E73535F">
      <w:pPr>
        <w:keepNext w:val="0"/>
        <w:keepLines w:val="0"/>
        <w:pageBreakBefore w:val="0"/>
        <w:widowControl w:val="0"/>
        <w:kinsoku/>
        <w:wordWrap w:val="0"/>
        <w:overflowPunct/>
        <w:topLinePunct/>
        <w:autoSpaceDE/>
        <w:autoSpaceDN/>
        <w:bidi w:val="0"/>
        <w:adjustRightInd w:val="0"/>
        <w:snapToGrid w:val="0"/>
        <w:spacing w:before="65" w:line="264" w:lineRule="auto"/>
        <w:ind w:right="84" w:rightChars="40"/>
        <w:jc w:val="both"/>
        <w:textAlignment w:val="baseline"/>
        <w:rPr>
          <w:rFonts w:hint="eastAsia"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rPr>
        <w:t>说明：《联合体协议书》</w:t>
      </w:r>
      <w:r>
        <w:rPr>
          <w:rFonts w:hint="eastAsia" w:ascii="宋体" w:hAnsi="宋体" w:eastAsia="宋体" w:cs="宋体"/>
          <w:color w:val="auto"/>
          <w:spacing w:val="-55"/>
          <w:sz w:val="20"/>
          <w:szCs w:val="20"/>
          <w:highlight w:val="none"/>
        </w:rPr>
        <w:t xml:space="preserve"> </w:t>
      </w:r>
      <w:r>
        <w:rPr>
          <w:rFonts w:hint="eastAsia" w:ascii="宋体" w:hAnsi="宋体" w:eastAsia="宋体" w:cs="宋体"/>
          <w:color w:val="auto"/>
          <w:spacing w:val="9"/>
          <w:sz w:val="20"/>
          <w:szCs w:val="20"/>
          <w:highlight w:val="none"/>
        </w:rPr>
        <w:t>由委托代理人签字或盖章的，</w:t>
      </w:r>
      <w:r>
        <w:rPr>
          <w:rFonts w:hint="eastAsia" w:ascii="宋体" w:hAnsi="宋体" w:eastAsia="宋体" w:cs="宋体"/>
          <w:color w:val="auto"/>
          <w:spacing w:val="8"/>
          <w:sz w:val="20"/>
          <w:szCs w:val="20"/>
          <w:highlight w:val="none"/>
        </w:rPr>
        <w:t>应附法定代表人签字或盖章的授权委托</w:t>
      </w:r>
      <w:r>
        <w:rPr>
          <w:rFonts w:hint="eastAsia" w:ascii="宋体" w:hAnsi="宋体" w:eastAsia="宋体" w:cs="宋体"/>
          <w:color w:val="auto"/>
          <w:spacing w:val="-2"/>
          <w:sz w:val="20"/>
          <w:szCs w:val="20"/>
          <w:highlight w:val="none"/>
        </w:rPr>
        <w:t>书。</w:t>
      </w:r>
    </w:p>
    <w:p w14:paraId="5DADA95F">
      <w:pPr>
        <w:keepNext w:val="0"/>
        <w:keepLines w:val="0"/>
        <w:pageBreakBefore w:val="0"/>
        <w:widowControl w:val="0"/>
        <w:kinsoku/>
        <w:wordWrap w:val="0"/>
        <w:overflowPunct/>
        <w:topLinePunct/>
        <w:autoSpaceDE/>
        <w:autoSpaceDN/>
        <w:bidi w:val="0"/>
        <w:adjustRightInd w:val="0"/>
        <w:snapToGrid w:val="0"/>
        <w:spacing w:line="264" w:lineRule="auto"/>
        <w:ind w:right="84" w:rightChars="40"/>
        <w:textAlignment w:val="baseline"/>
        <w:rPr>
          <w:rFonts w:hint="eastAsia" w:ascii="宋体" w:hAnsi="宋体" w:eastAsia="宋体" w:cs="宋体"/>
          <w:color w:val="auto"/>
          <w:sz w:val="20"/>
          <w:szCs w:val="20"/>
          <w:highlight w:val="none"/>
        </w:rPr>
        <w:sectPr>
          <w:footerReference r:id="rId18"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044B6C99">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15" w:name="_Toc15855"/>
      <w:r>
        <w:rPr>
          <w:rFonts w:hint="eastAsia" w:ascii="宋体" w:hAnsi="宋体" w:eastAsia="宋体" w:cs="宋体"/>
          <w:b/>
          <w:bCs/>
          <w:color w:val="auto"/>
          <w:spacing w:val="-4"/>
          <w:sz w:val="24"/>
          <w:szCs w:val="24"/>
          <w:highlight w:val="none"/>
        </w:rPr>
        <w:t>格式七 投标人基本情况表</w:t>
      </w:r>
      <w:bookmarkEnd w:id="215"/>
    </w:p>
    <w:p w14:paraId="45E9F960">
      <w:pPr>
        <w:keepNext w:val="0"/>
        <w:keepLines w:val="0"/>
        <w:pageBreakBefore w:val="0"/>
        <w:widowControl w:val="0"/>
        <w:kinsoku/>
        <w:wordWrap w:val="0"/>
        <w:overflowPunct/>
        <w:topLinePunct/>
        <w:autoSpaceDE/>
        <w:autoSpaceDN/>
        <w:bidi w:val="0"/>
        <w:adjustRightInd w:val="0"/>
        <w:snapToGrid w:val="0"/>
        <w:spacing w:before="333" w:line="219" w:lineRule="auto"/>
        <w:ind w:left="3350" w:right="84" w:rightChars="40"/>
        <w:rPr>
          <w:rFonts w:hint="eastAsia" w:ascii="宋体" w:hAnsi="宋体" w:eastAsia="宋体" w:cs="宋体"/>
          <w:color w:val="auto"/>
          <w:sz w:val="30"/>
          <w:szCs w:val="30"/>
          <w:highlight w:val="none"/>
        </w:rPr>
      </w:pPr>
      <w:r>
        <w:rPr>
          <w:rFonts w:hint="eastAsia" w:ascii="宋体" w:hAnsi="宋体" w:eastAsia="宋体" w:cs="宋体"/>
          <w:b/>
          <w:bCs/>
          <w:color w:val="auto"/>
          <w:spacing w:val="-5"/>
          <w:sz w:val="30"/>
          <w:szCs w:val="30"/>
          <w:highlight w:val="none"/>
        </w:rPr>
        <w:t>投标人基本情况表</w:t>
      </w:r>
    </w:p>
    <w:p w14:paraId="7303505A">
      <w:pPr>
        <w:keepNext w:val="0"/>
        <w:keepLines w:val="0"/>
        <w:pageBreakBefore w:val="0"/>
        <w:widowControl w:val="0"/>
        <w:kinsoku/>
        <w:wordWrap w:val="0"/>
        <w:overflowPunct/>
        <w:topLinePunct/>
        <w:autoSpaceDE/>
        <w:autoSpaceDN/>
        <w:bidi w:val="0"/>
        <w:adjustRightInd w:val="0"/>
        <w:snapToGrid w:val="0"/>
        <w:spacing w:line="239" w:lineRule="exact"/>
        <w:ind w:right="84" w:rightChars="40"/>
        <w:rPr>
          <w:rFonts w:hint="eastAsia" w:ascii="宋体" w:hAnsi="宋体" w:eastAsia="宋体" w:cs="宋体"/>
          <w:color w:val="auto"/>
          <w:highlight w:val="none"/>
        </w:rPr>
      </w:pPr>
    </w:p>
    <w:tbl>
      <w:tblPr>
        <w:tblStyle w:val="15"/>
        <w:tblW w:w="9259"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1123"/>
        <w:gridCol w:w="1689"/>
        <w:gridCol w:w="872"/>
        <w:gridCol w:w="424"/>
        <w:gridCol w:w="930"/>
        <w:gridCol w:w="283"/>
        <w:gridCol w:w="770"/>
        <w:gridCol w:w="1548"/>
      </w:tblGrid>
      <w:tr w14:paraId="46599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620" w:type="dxa"/>
            <w:vAlign w:val="center"/>
          </w:tcPr>
          <w:p w14:paraId="648306B4">
            <w:pPr>
              <w:keepNext w:val="0"/>
              <w:keepLines w:val="0"/>
              <w:pageBreakBefore w:val="0"/>
              <w:widowControl w:val="0"/>
              <w:kinsoku/>
              <w:wordWrap w:val="0"/>
              <w:overflowPunct/>
              <w:topLinePunct/>
              <w:autoSpaceDE/>
              <w:autoSpaceDN/>
              <w:bidi w:val="0"/>
              <w:adjustRightInd w:val="0"/>
              <w:snapToGrid w:val="0"/>
              <w:spacing w:before="149" w:line="229" w:lineRule="auto"/>
              <w:ind w:left="228" w:right="84" w:rightChars="40"/>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投标人名称</w:t>
            </w:r>
          </w:p>
        </w:tc>
        <w:tc>
          <w:tcPr>
            <w:tcW w:w="7639" w:type="dxa"/>
            <w:gridSpan w:val="8"/>
            <w:vAlign w:val="top"/>
          </w:tcPr>
          <w:p w14:paraId="27A9650A">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3EDDC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620" w:type="dxa"/>
            <w:vAlign w:val="top"/>
          </w:tcPr>
          <w:p w14:paraId="2839D7CD">
            <w:pPr>
              <w:keepNext w:val="0"/>
              <w:keepLines w:val="0"/>
              <w:pageBreakBefore w:val="0"/>
              <w:widowControl w:val="0"/>
              <w:kinsoku/>
              <w:wordWrap w:val="0"/>
              <w:overflowPunct/>
              <w:topLinePunct/>
              <w:autoSpaceDE/>
              <w:autoSpaceDN/>
              <w:bidi w:val="0"/>
              <w:adjustRightInd w:val="0"/>
              <w:snapToGrid w:val="0"/>
              <w:spacing w:before="144" w:line="230" w:lineRule="auto"/>
              <w:ind w:left="32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注册地址</w:t>
            </w:r>
          </w:p>
        </w:tc>
        <w:tc>
          <w:tcPr>
            <w:tcW w:w="3684" w:type="dxa"/>
            <w:gridSpan w:val="3"/>
            <w:vAlign w:val="top"/>
          </w:tcPr>
          <w:p w14:paraId="5CCEB222">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54" w:type="dxa"/>
            <w:gridSpan w:val="2"/>
            <w:vAlign w:val="top"/>
          </w:tcPr>
          <w:p w14:paraId="7016F7DE">
            <w:pPr>
              <w:keepNext w:val="0"/>
              <w:keepLines w:val="0"/>
              <w:pageBreakBefore w:val="0"/>
              <w:widowControl w:val="0"/>
              <w:kinsoku/>
              <w:wordWrap w:val="0"/>
              <w:overflowPunct/>
              <w:topLinePunct/>
              <w:autoSpaceDE/>
              <w:autoSpaceDN/>
              <w:bidi w:val="0"/>
              <w:adjustRightInd w:val="0"/>
              <w:snapToGrid w:val="0"/>
              <w:spacing w:before="144" w:line="228" w:lineRule="auto"/>
              <w:ind w:left="226"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邮政编码</w:t>
            </w:r>
          </w:p>
        </w:tc>
        <w:tc>
          <w:tcPr>
            <w:tcW w:w="2601" w:type="dxa"/>
            <w:gridSpan w:val="3"/>
            <w:vAlign w:val="top"/>
          </w:tcPr>
          <w:p w14:paraId="1BFAE7D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0632F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620" w:type="dxa"/>
            <w:vMerge w:val="restart"/>
            <w:tcBorders>
              <w:bottom w:val="nil"/>
            </w:tcBorders>
            <w:vAlign w:val="top"/>
          </w:tcPr>
          <w:p w14:paraId="14EC5373">
            <w:pPr>
              <w:pStyle w:val="21"/>
              <w:keepNext w:val="0"/>
              <w:keepLines w:val="0"/>
              <w:pageBreakBefore w:val="0"/>
              <w:widowControl w:val="0"/>
              <w:kinsoku/>
              <w:wordWrap w:val="0"/>
              <w:overflowPunct/>
              <w:topLinePunct/>
              <w:autoSpaceDE/>
              <w:autoSpaceDN/>
              <w:bidi w:val="0"/>
              <w:adjustRightInd w:val="0"/>
              <w:snapToGrid w:val="0"/>
              <w:spacing w:line="332" w:lineRule="auto"/>
              <w:ind w:right="84" w:rightChars="40"/>
              <w:rPr>
                <w:rFonts w:hint="eastAsia" w:ascii="宋体" w:hAnsi="宋体" w:eastAsia="宋体" w:cs="宋体"/>
                <w:color w:val="auto"/>
                <w:sz w:val="24"/>
                <w:szCs w:val="24"/>
                <w:highlight w:val="none"/>
              </w:rPr>
            </w:pPr>
          </w:p>
          <w:p w14:paraId="5E71A6F3">
            <w:pPr>
              <w:keepNext w:val="0"/>
              <w:keepLines w:val="0"/>
              <w:pageBreakBefore w:val="0"/>
              <w:widowControl w:val="0"/>
              <w:kinsoku/>
              <w:wordWrap w:val="0"/>
              <w:overflowPunct/>
              <w:topLinePunct/>
              <w:autoSpaceDE/>
              <w:autoSpaceDN/>
              <w:bidi w:val="0"/>
              <w:adjustRightInd w:val="0"/>
              <w:snapToGrid w:val="0"/>
              <w:spacing w:before="65" w:line="230" w:lineRule="auto"/>
              <w:ind w:left="32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联系方式</w:t>
            </w:r>
          </w:p>
        </w:tc>
        <w:tc>
          <w:tcPr>
            <w:tcW w:w="1123" w:type="dxa"/>
            <w:vAlign w:val="top"/>
          </w:tcPr>
          <w:p w14:paraId="18CAB378">
            <w:pPr>
              <w:keepNext w:val="0"/>
              <w:keepLines w:val="0"/>
              <w:pageBreakBefore w:val="0"/>
              <w:widowControl w:val="0"/>
              <w:kinsoku/>
              <w:wordWrap w:val="0"/>
              <w:overflowPunct/>
              <w:topLinePunct/>
              <w:autoSpaceDE/>
              <w:autoSpaceDN/>
              <w:bidi w:val="0"/>
              <w:adjustRightInd w:val="0"/>
              <w:snapToGrid w:val="0"/>
              <w:spacing w:before="145" w:line="231" w:lineRule="auto"/>
              <w:ind w:left="136" w:right="84" w:rightChars="40"/>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6"/>
                <w:sz w:val="24"/>
                <w:szCs w:val="24"/>
                <w:highlight w:val="none"/>
              </w:rPr>
              <w:t>联系</w:t>
            </w:r>
            <w:r>
              <w:rPr>
                <w:rFonts w:hint="eastAsia" w:ascii="宋体" w:hAnsi="宋体" w:eastAsia="宋体" w:cs="宋体"/>
                <w:color w:val="auto"/>
                <w:spacing w:val="6"/>
                <w:sz w:val="24"/>
                <w:szCs w:val="24"/>
                <w:highlight w:val="none"/>
                <w:lang w:eastAsia="zh-CN"/>
              </w:rPr>
              <w:t>人</w:t>
            </w:r>
          </w:p>
        </w:tc>
        <w:tc>
          <w:tcPr>
            <w:tcW w:w="2561" w:type="dxa"/>
            <w:gridSpan w:val="2"/>
            <w:vAlign w:val="top"/>
          </w:tcPr>
          <w:p w14:paraId="7FFFE8E7">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54" w:type="dxa"/>
            <w:gridSpan w:val="2"/>
            <w:vAlign w:val="top"/>
          </w:tcPr>
          <w:p w14:paraId="58611E09">
            <w:pPr>
              <w:keepNext w:val="0"/>
              <w:keepLines w:val="0"/>
              <w:pageBreakBefore w:val="0"/>
              <w:widowControl w:val="0"/>
              <w:kinsoku/>
              <w:wordWrap w:val="0"/>
              <w:overflowPunct/>
              <w:topLinePunct/>
              <w:autoSpaceDE/>
              <w:autoSpaceDN/>
              <w:bidi w:val="0"/>
              <w:adjustRightInd w:val="0"/>
              <w:snapToGrid w:val="0"/>
              <w:spacing w:before="145" w:line="231" w:lineRule="auto"/>
              <w:ind w:left="33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电</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2"/>
                <w:sz w:val="24"/>
                <w:szCs w:val="24"/>
                <w:highlight w:val="none"/>
              </w:rPr>
              <w:t>话</w:t>
            </w:r>
          </w:p>
        </w:tc>
        <w:tc>
          <w:tcPr>
            <w:tcW w:w="2601" w:type="dxa"/>
            <w:gridSpan w:val="3"/>
            <w:vAlign w:val="top"/>
          </w:tcPr>
          <w:p w14:paraId="7E70DCE1">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0E379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620" w:type="dxa"/>
            <w:vMerge w:val="continue"/>
            <w:tcBorders>
              <w:top w:val="nil"/>
            </w:tcBorders>
            <w:vAlign w:val="top"/>
          </w:tcPr>
          <w:p w14:paraId="78768970">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123" w:type="dxa"/>
            <w:vAlign w:val="top"/>
          </w:tcPr>
          <w:p w14:paraId="485644DF">
            <w:pPr>
              <w:keepNext w:val="0"/>
              <w:keepLines w:val="0"/>
              <w:pageBreakBefore w:val="0"/>
              <w:widowControl w:val="0"/>
              <w:kinsoku/>
              <w:wordWrap w:val="0"/>
              <w:overflowPunct/>
              <w:topLinePunct/>
              <w:autoSpaceDE/>
              <w:autoSpaceDN/>
              <w:bidi w:val="0"/>
              <w:adjustRightInd w:val="0"/>
              <w:snapToGrid w:val="0"/>
              <w:spacing w:before="143" w:line="228" w:lineRule="auto"/>
              <w:ind w:left="13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传</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真</w:t>
            </w:r>
          </w:p>
        </w:tc>
        <w:tc>
          <w:tcPr>
            <w:tcW w:w="2561" w:type="dxa"/>
            <w:gridSpan w:val="2"/>
            <w:vAlign w:val="top"/>
          </w:tcPr>
          <w:p w14:paraId="3895C5BA">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54" w:type="dxa"/>
            <w:gridSpan w:val="2"/>
            <w:vAlign w:val="top"/>
          </w:tcPr>
          <w:p w14:paraId="5D510AEC">
            <w:pPr>
              <w:keepNext w:val="0"/>
              <w:keepLines w:val="0"/>
              <w:pageBreakBefore w:val="0"/>
              <w:widowControl w:val="0"/>
              <w:kinsoku/>
              <w:wordWrap w:val="0"/>
              <w:overflowPunct/>
              <w:topLinePunct/>
              <w:autoSpaceDE/>
              <w:autoSpaceDN/>
              <w:bidi w:val="0"/>
              <w:adjustRightInd w:val="0"/>
              <w:snapToGrid w:val="0"/>
              <w:spacing w:before="144" w:line="229" w:lineRule="auto"/>
              <w:ind w:left="23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电子邮箱</w:t>
            </w:r>
          </w:p>
        </w:tc>
        <w:tc>
          <w:tcPr>
            <w:tcW w:w="2601" w:type="dxa"/>
            <w:gridSpan w:val="3"/>
            <w:vAlign w:val="top"/>
          </w:tcPr>
          <w:p w14:paraId="39FED04E">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413B5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620" w:type="dxa"/>
            <w:vAlign w:val="top"/>
          </w:tcPr>
          <w:p w14:paraId="7CDA19F0">
            <w:pPr>
              <w:keepNext w:val="0"/>
              <w:keepLines w:val="0"/>
              <w:pageBreakBefore w:val="0"/>
              <w:widowControl w:val="0"/>
              <w:kinsoku/>
              <w:wordWrap w:val="0"/>
              <w:overflowPunct/>
              <w:topLinePunct/>
              <w:autoSpaceDE/>
              <w:autoSpaceDN/>
              <w:bidi w:val="0"/>
              <w:adjustRightInd w:val="0"/>
              <w:snapToGrid w:val="0"/>
              <w:spacing w:before="145" w:line="229" w:lineRule="auto"/>
              <w:ind w:left="33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单位性质</w:t>
            </w:r>
          </w:p>
        </w:tc>
        <w:tc>
          <w:tcPr>
            <w:tcW w:w="7639" w:type="dxa"/>
            <w:gridSpan w:val="8"/>
            <w:vAlign w:val="top"/>
          </w:tcPr>
          <w:p w14:paraId="0CF5368F">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2E063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20" w:type="dxa"/>
            <w:vAlign w:val="top"/>
          </w:tcPr>
          <w:p w14:paraId="07A5940F">
            <w:pPr>
              <w:keepNext w:val="0"/>
              <w:keepLines w:val="0"/>
              <w:pageBreakBefore w:val="0"/>
              <w:widowControl w:val="0"/>
              <w:kinsoku/>
              <w:wordWrap w:val="0"/>
              <w:overflowPunct/>
              <w:topLinePunct/>
              <w:autoSpaceDE/>
              <w:autoSpaceDN/>
              <w:bidi w:val="0"/>
              <w:adjustRightInd w:val="0"/>
              <w:snapToGrid w:val="0"/>
              <w:spacing w:before="144" w:line="228" w:lineRule="auto"/>
              <w:ind w:left="226"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法定代表人</w:t>
            </w:r>
          </w:p>
        </w:tc>
        <w:tc>
          <w:tcPr>
            <w:tcW w:w="1123" w:type="dxa"/>
            <w:vAlign w:val="top"/>
          </w:tcPr>
          <w:p w14:paraId="324EBFE3">
            <w:pPr>
              <w:keepNext w:val="0"/>
              <w:keepLines w:val="0"/>
              <w:pageBreakBefore w:val="0"/>
              <w:widowControl w:val="0"/>
              <w:kinsoku/>
              <w:wordWrap w:val="0"/>
              <w:overflowPunct/>
              <w:topLinePunct/>
              <w:autoSpaceDE/>
              <w:autoSpaceDN/>
              <w:bidi w:val="0"/>
              <w:adjustRightInd w:val="0"/>
              <w:snapToGrid w:val="0"/>
              <w:spacing w:before="144" w:line="228" w:lineRule="auto"/>
              <w:ind w:left="24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姓名</w:t>
            </w:r>
          </w:p>
        </w:tc>
        <w:tc>
          <w:tcPr>
            <w:tcW w:w="1689" w:type="dxa"/>
            <w:vAlign w:val="top"/>
          </w:tcPr>
          <w:p w14:paraId="2A6B838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296" w:type="dxa"/>
            <w:gridSpan w:val="2"/>
            <w:vAlign w:val="top"/>
          </w:tcPr>
          <w:p w14:paraId="38260C2A">
            <w:pPr>
              <w:keepNext w:val="0"/>
              <w:keepLines w:val="0"/>
              <w:pageBreakBefore w:val="0"/>
              <w:widowControl w:val="0"/>
              <w:kinsoku/>
              <w:wordWrap w:val="0"/>
              <w:overflowPunct/>
              <w:topLinePunct/>
              <w:autoSpaceDE/>
              <w:autoSpaceDN/>
              <w:bidi w:val="0"/>
              <w:adjustRightInd w:val="0"/>
              <w:snapToGrid w:val="0"/>
              <w:spacing w:before="144" w:line="228" w:lineRule="auto"/>
              <w:ind w:left="13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技术职称</w:t>
            </w:r>
          </w:p>
        </w:tc>
        <w:tc>
          <w:tcPr>
            <w:tcW w:w="1213" w:type="dxa"/>
            <w:gridSpan w:val="2"/>
            <w:vAlign w:val="top"/>
          </w:tcPr>
          <w:p w14:paraId="00E24682">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770" w:type="dxa"/>
            <w:vAlign w:val="top"/>
          </w:tcPr>
          <w:p w14:paraId="028E8216">
            <w:pPr>
              <w:keepNext w:val="0"/>
              <w:keepLines w:val="0"/>
              <w:pageBreakBefore w:val="0"/>
              <w:widowControl w:val="0"/>
              <w:kinsoku/>
              <w:wordWrap w:val="0"/>
              <w:overflowPunct/>
              <w:topLinePunct/>
              <w:autoSpaceDE/>
              <w:autoSpaceDN/>
              <w:bidi w:val="0"/>
              <w:adjustRightInd w:val="0"/>
              <w:snapToGrid w:val="0"/>
              <w:spacing w:before="143" w:line="231" w:lineRule="auto"/>
              <w:ind w:left="17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电话</w:t>
            </w:r>
          </w:p>
        </w:tc>
        <w:tc>
          <w:tcPr>
            <w:tcW w:w="1548" w:type="dxa"/>
            <w:vAlign w:val="top"/>
          </w:tcPr>
          <w:p w14:paraId="4E48693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6ECFC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20" w:type="dxa"/>
            <w:vAlign w:val="top"/>
          </w:tcPr>
          <w:p w14:paraId="12D9D7B0">
            <w:pPr>
              <w:keepNext w:val="0"/>
              <w:keepLines w:val="0"/>
              <w:pageBreakBefore w:val="0"/>
              <w:widowControl w:val="0"/>
              <w:kinsoku/>
              <w:wordWrap w:val="0"/>
              <w:overflowPunct/>
              <w:topLinePunct/>
              <w:autoSpaceDE/>
              <w:autoSpaceDN/>
              <w:bidi w:val="0"/>
              <w:adjustRightInd w:val="0"/>
              <w:snapToGrid w:val="0"/>
              <w:spacing w:before="145" w:line="230" w:lineRule="auto"/>
              <w:ind w:left="33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成立时间</w:t>
            </w:r>
          </w:p>
        </w:tc>
        <w:tc>
          <w:tcPr>
            <w:tcW w:w="2812" w:type="dxa"/>
            <w:gridSpan w:val="2"/>
            <w:vAlign w:val="top"/>
          </w:tcPr>
          <w:p w14:paraId="24C796C9">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4827" w:type="dxa"/>
            <w:gridSpan w:val="6"/>
            <w:vAlign w:val="top"/>
          </w:tcPr>
          <w:p w14:paraId="567891C8">
            <w:pPr>
              <w:keepNext w:val="0"/>
              <w:keepLines w:val="0"/>
              <w:pageBreakBefore w:val="0"/>
              <w:widowControl w:val="0"/>
              <w:kinsoku/>
              <w:wordWrap w:val="0"/>
              <w:overflowPunct/>
              <w:topLinePunct/>
              <w:autoSpaceDE/>
              <w:autoSpaceDN/>
              <w:bidi w:val="0"/>
              <w:adjustRightInd w:val="0"/>
              <w:snapToGrid w:val="0"/>
              <w:spacing w:before="145" w:line="228" w:lineRule="auto"/>
              <w:ind w:left="128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员工总人数（个</w:t>
            </w:r>
            <w:r>
              <w:rPr>
                <w:rFonts w:hint="eastAsia" w:ascii="宋体" w:hAnsi="宋体" w:eastAsia="宋体" w:cs="宋体"/>
                <w:color w:val="auto"/>
                <w:sz w:val="24"/>
                <w:szCs w:val="24"/>
                <w:highlight w:val="none"/>
              </w:rPr>
              <w:t>）：</w:t>
            </w:r>
          </w:p>
        </w:tc>
      </w:tr>
      <w:tr w14:paraId="597A5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620" w:type="dxa"/>
            <w:vAlign w:val="top"/>
          </w:tcPr>
          <w:p w14:paraId="71C0CC14">
            <w:pPr>
              <w:keepNext w:val="0"/>
              <w:keepLines w:val="0"/>
              <w:pageBreakBefore w:val="0"/>
              <w:widowControl w:val="0"/>
              <w:kinsoku/>
              <w:wordWrap w:val="0"/>
              <w:overflowPunct/>
              <w:topLinePunct/>
              <w:autoSpaceDE/>
              <w:autoSpaceDN/>
              <w:bidi w:val="0"/>
              <w:adjustRightInd w:val="0"/>
              <w:snapToGrid w:val="0"/>
              <w:spacing w:before="61" w:line="262" w:lineRule="auto"/>
              <w:ind w:right="84" w:rightChars="40"/>
              <w:jc w:val="center"/>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企业资质</w:t>
            </w:r>
            <w:r>
              <w:rPr>
                <w:rFonts w:hint="eastAsia" w:ascii="宋体" w:hAnsi="宋体" w:eastAsia="宋体" w:cs="宋体"/>
                <w:color w:val="auto"/>
                <w:spacing w:val="7"/>
                <w:sz w:val="24"/>
                <w:szCs w:val="24"/>
                <w:highlight w:val="none"/>
              </w:rPr>
              <w:t>类型和等级</w:t>
            </w:r>
          </w:p>
        </w:tc>
        <w:tc>
          <w:tcPr>
            <w:tcW w:w="2812" w:type="dxa"/>
            <w:gridSpan w:val="2"/>
            <w:vAlign w:val="top"/>
          </w:tcPr>
          <w:p w14:paraId="25FB0D19">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296" w:type="dxa"/>
            <w:gridSpan w:val="2"/>
            <w:vMerge w:val="restart"/>
            <w:tcBorders>
              <w:bottom w:val="nil"/>
            </w:tcBorders>
            <w:vAlign w:val="top"/>
          </w:tcPr>
          <w:p w14:paraId="2343E876">
            <w:pPr>
              <w:pStyle w:val="21"/>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sz w:val="24"/>
                <w:szCs w:val="24"/>
                <w:highlight w:val="none"/>
              </w:rPr>
            </w:pPr>
          </w:p>
          <w:p w14:paraId="6DD020B9">
            <w:pPr>
              <w:pStyle w:val="21"/>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sz w:val="24"/>
                <w:szCs w:val="24"/>
                <w:highlight w:val="none"/>
              </w:rPr>
            </w:pPr>
          </w:p>
          <w:p w14:paraId="70527853">
            <w:pPr>
              <w:pStyle w:val="21"/>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sz w:val="24"/>
                <w:szCs w:val="24"/>
                <w:highlight w:val="none"/>
              </w:rPr>
            </w:pPr>
          </w:p>
          <w:p w14:paraId="1852C657">
            <w:pPr>
              <w:pStyle w:val="21"/>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sz w:val="24"/>
                <w:szCs w:val="24"/>
                <w:highlight w:val="none"/>
              </w:rPr>
            </w:pPr>
          </w:p>
          <w:p w14:paraId="2567D8B8">
            <w:pPr>
              <w:pStyle w:val="21"/>
              <w:keepNext w:val="0"/>
              <w:keepLines w:val="0"/>
              <w:pageBreakBefore w:val="0"/>
              <w:widowControl w:val="0"/>
              <w:kinsoku/>
              <w:wordWrap w:val="0"/>
              <w:overflowPunct/>
              <w:topLinePunct/>
              <w:autoSpaceDE/>
              <w:autoSpaceDN/>
              <w:bidi w:val="0"/>
              <w:adjustRightInd w:val="0"/>
              <w:snapToGrid w:val="0"/>
              <w:spacing w:line="255" w:lineRule="auto"/>
              <w:ind w:right="84" w:rightChars="40"/>
              <w:rPr>
                <w:rFonts w:hint="eastAsia" w:ascii="宋体" w:hAnsi="宋体" w:eastAsia="宋体" w:cs="宋体"/>
                <w:color w:val="auto"/>
                <w:sz w:val="24"/>
                <w:szCs w:val="24"/>
                <w:highlight w:val="none"/>
              </w:rPr>
            </w:pPr>
          </w:p>
          <w:p w14:paraId="698B780F">
            <w:pPr>
              <w:keepNext w:val="0"/>
              <w:keepLines w:val="0"/>
              <w:pageBreakBefore w:val="0"/>
              <w:widowControl w:val="0"/>
              <w:kinsoku/>
              <w:wordWrap w:val="0"/>
              <w:overflowPunct/>
              <w:topLinePunct/>
              <w:autoSpaceDE/>
              <w:autoSpaceDN/>
              <w:bidi w:val="0"/>
              <w:adjustRightInd w:val="0"/>
              <w:snapToGrid w:val="0"/>
              <w:spacing w:before="65" w:line="229" w:lineRule="auto"/>
              <w:ind w:left="34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其中</w:t>
            </w:r>
          </w:p>
        </w:tc>
        <w:tc>
          <w:tcPr>
            <w:tcW w:w="1983" w:type="dxa"/>
            <w:gridSpan w:val="3"/>
            <w:vAlign w:val="top"/>
          </w:tcPr>
          <w:p w14:paraId="7C094409">
            <w:pPr>
              <w:keepNext w:val="0"/>
              <w:keepLines w:val="0"/>
              <w:pageBreakBefore w:val="0"/>
              <w:widowControl w:val="0"/>
              <w:kinsoku/>
              <w:wordWrap w:val="0"/>
              <w:overflowPunct/>
              <w:topLinePunct/>
              <w:autoSpaceDE/>
              <w:autoSpaceDN/>
              <w:bidi w:val="0"/>
              <w:adjustRightInd w:val="0"/>
              <w:snapToGrid w:val="0"/>
              <w:spacing w:before="214" w:line="229" w:lineRule="auto"/>
              <w:ind w:left="55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1548" w:type="dxa"/>
            <w:vAlign w:val="top"/>
          </w:tcPr>
          <w:p w14:paraId="4466FB07">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1701E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620" w:type="dxa"/>
            <w:vAlign w:val="top"/>
          </w:tcPr>
          <w:p w14:paraId="30008457">
            <w:pPr>
              <w:keepNext w:val="0"/>
              <w:keepLines w:val="0"/>
              <w:pageBreakBefore w:val="0"/>
              <w:widowControl w:val="0"/>
              <w:kinsoku/>
              <w:wordWrap w:val="0"/>
              <w:overflowPunct/>
              <w:topLinePunct/>
              <w:autoSpaceDE/>
              <w:autoSpaceDN/>
              <w:bidi w:val="0"/>
              <w:adjustRightInd w:val="0"/>
              <w:snapToGrid w:val="0"/>
              <w:spacing w:before="146" w:line="228" w:lineRule="auto"/>
              <w:ind w:left="232"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营业执照号</w:t>
            </w:r>
          </w:p>
        </w:tc>
        <w:tc>
          <w:tcPr>
            <w:tcW w:w="2812" w:type="dxa"/>
            <w:gridSpan w:val="2"/>
            <w:vAlign w:val="top"/>
          </w:tcPr>
          <w:p w14:paraId="378F5F8D">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296" w:type="dxa"/>
            <w:gridSpan w:val="2"/>
            <w:vMerge w:val="continue"/>
            <w:tcBorders>
              <w:top w:val="nil"/>
              <w:bottom w:val="nil"/>
            </w:tcBorders>
            <w:vAlign w:val="top"/>
          </w:tcPr>
          <w:p w14:paraId="7E5DA4CC">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83" w:type="dxa"/>
            <w:gridSpan w:val="3"/>
            <w:vAlign w:val="top"/>
          </w:tcPr>
          <w:p w14:paraId="52088DE3">
            <w:pPr>
              <w:keepNext w:val="0"/>
              <w:keepLines w:val="0"/>
              <w:pageBreakBefore w:val="0"/>
              <w:widowControl w:val="0"/>
              <w:kinsoku/>
              <w:wordWrap w:val="0"/>
              <w:overflowPunct/>
              <w:topLinePunct/>
              <w:autoSpaceDE/>
              <w:autoSpaceDN/>
              <w:bidi w:val="0"/>
              <w:adjustRightInd w:val="0"/>
              <w:snapToGrid w:val="0"/>
              <w:spacing w:before="146" w:line="228" w:lineRule="auto"/>
              <w:ind w:left="34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高级职称人员</w:t>
            </w:r>
          </w:p>
        </w:tc>
        <w:tc>
          <w:tcPr>
            <w:tcW w:w="1548" w:type="dxa"/>
            <w:vAlign w:val="top"/>
          </w:tcPr>
          <w:p w14:paraId="731813FC">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29C12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0" w:type="dxa"/>
            <w:vAlign w:val="top"/>
          </w:tcPr>
          <w:p w14:paraId="3D928506">
            <w:pPr>
              <w:keepNext w:val="0"/>
              <w:keepLines w:val="0"/>
              <w:pageBreakBefore w:val="0"/>
              <w:widowControl w:val="0"/>
              <w:kinsoku/>
              <w:wordWrap w:val="0"/>
              <w:overflowPunct/>
              <w:topLinePunct/>
              <w:autoSpaceDE/>
              <w:autoSpaceDN/>
              <w:bidi w:val="0"/>
              <w:adjustRightInd w:val="0"/>
              <w:snapToGrid w:val="0"/>
              <w:spacing w:before="146" w:line="230" w:lineRule="auto"/>
              <w:ind w:left="32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注册资金</w:t>
            </w:r>
          </w:p>
        </w:tc>
        <w:tc>
          <w:tcPr>
            <w:tcW w:w="2812" w:type="dxa"/>
            <w:gridSpan w:val="2"/>
            <w:vAlign w:val="top"/>
          </w:tcPr>
          <w:p w14:paraId="2595EB17">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296" w:type="dxa"/>
            <w:gridSpan w:val="2"/>
            <w:vMerge w:val="continue"/>
            <w:tcBorders>
              <w:top w:val="nil"/>
              <w:bottom w:val="nil"/>
            </w:tcBorders>
            <w:vAlign w:val="top"/>
          </w:tcPr>
          <w:p w14:paraId="19D8C287">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83" w:type="dxa"/>
            <w:gridSpan w:val="3"/>
            <w:vAlign w:val="top"/>
          </w:tcPr>
          <w:p w14:paraId="10153255">
            <w:pPr>
              <w:keepNext w:val="0"/>
              <w:keepLines w:val="0"/>
              <w:pageBreakBefore w:val="0"/>
              <w:widowControl w:val="0"/>
              <w:kinsoku/>
              <w:wordWrap w:val="0"/>
              <w:overflowPunct/>
              <w:topLinePunct/>
              <w:autoSpaceDE/>
              <w:autoSpaceDN/>
              <w:bidi w:val="0"/>
              <w:adjustRightInd w:val="0"/>
              <w:snapToGrid w:val="0"/>
              <w:spacing w:before="147" w:line="229" w:lineRule="auto"/>
              <w:ind w:left="35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中级职称人员</w:t>
            </w:r>
          </w:p>
        </w:tc>
        <w:tc>
          <w:tcPr>
            <w:tcW w:w="1548" w:type="dxa"/>
            <w:vAlign w:val="top"/>
          </w:tcPr>
          <w:p w14:paraId="5950FD96">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5DAF5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620" w:type="dxa"/>
            <w:vAlign w:val="top"/>
          </w:tcPr>
          <w:p w14:paraId="3C50745D">
            <w:pPr>
              <w:keepNext w:val="0"/>
              <w:keepLines w:val="0"/>
              <w:pageBreakBefore w:val="0"/>
              <w:widowControl w:val="0"/>
              <w:kinsoku/>
              <w:wordWrap w:val="0"/>
              <w:overflowPunct/>
              <w:topLinePunct/>
              <w:autoSpaceDE/>
              <w:autoSpaceDN/>
              <w:bidi w:val="0"/>
              <w:adjustRightInd w:val="0"/>
              <w:snapToGrid w:val="0"/>
              <w:spacing w:before="62" w:line="241" w:lineRule="auto"/>
              <w:ind w:right="84" w:rightChars="40"/>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基本账户开户银行</w:t>
            </w:r>
          </w:p>
        </w:tc>
        <w:tc>
          <w:tcPr>
            <w:tcW w:w="2812" w:type="dxa"/>
            <w:gridSpan w:val="2"/>
            <w:vAlign w:val="top"/>
          </w:tcPr>
          <w:p w14:paraId="5863FD37">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296" w:type="dxa"/>
            <w:gridSpan w:val="2"/>
            <w:vMerge w:val="continue"/>
            <w:tcBorders>
              <w:top w:val="nil"/>
              <w:bottom w:val="nil"/>
            </w:tcBorders>
            <w:vAlign w:val="top"/>
          </w:tcPr>
          <w:p w14:paraId="462BC021">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83" w:type="dxa"/>
            <w:gridSpan w:val="3"/>
            <w:vAlign w:val="top"/>
          </w:tcPr>
          <w:p w14:paraId="5DDF0DFA">
            <w:pPr>
              <w:keepNext w:val="0"/>
              <w:keepLines w:val="0"/>
              <w:pageBreakBefore w:val="0"/>
              <w:widowControl w:val="0"/>
              <w:kinsoku/>
              <w:wordWrap w:val="0"/>
              <w:overflowPunct/>
              <w:topLinePunct/>
              <w:autoSpaceDE/>
              <w:autoSpaceDN/>
              <w:bidi w:val="0"/>
              <w:adjustRightInd w:val="0"/>
              <w:snapToGrid w:val="0"/>
              <w:spacing w:before="191" w:line="230" w:lineRule="auto"/>
              <w:ind w:left="33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初级职称人员</w:t>
            </w:r>
          </w:p>
        </w:tc>
        <w:tc>
          <w:tcPr>
            <w:tcW w:w="1548" w:type="dxa"/>
            <w:vAlign w:val="top"/>
          </w:tcPr>
          <w:p w14:paraId="3788AAA1">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639F0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1620" w:type="dxa"/>
            <w:vAlign w:val="top"/>
          </w:tcPr>
          <w:p w14:paraId="6C263EBF">
            <w:pPr>
              <w:keepNext w:val="0"/>
              <w:keepLines w:val="0"/>
              <w:pageBreakBefore w:val="0"/>
              <w:widowControl w:val="0"/>
              <w:kinsoku/>
              <w:wordWrap w:val="0"/>
              <w:overflowPunct/>
              <w:topLinePunct/>
              <w:autoSpaceDE/>
              <w:autoSpaceDN/>
              <w:bidi w:val="0"/>
              <w:adjustRightInd w:val="0"/>
              <w:snapToGrid w:val="0"/>
              <w:spacing w:before="62" w:line="259" w:lineRule="auto"/>
              <w:ind w:right="84" w:rightChars="40"/>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基本账户银行账号</w:t>
            </w:r>
          </w:p>
        </w:tc>
        <w:tc>
          <w:tcPr>
            <w:tcW w:w="2812" w:type="dxa"/>
            <w:gridSpan w:val="2"/>
            <w:vAlign w:val="top"/>
          </w:tcPr>
          <w:p w14:paraId="5D99BD92">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296" w:type="dxa"/>
            <w:gridSpan w:val="2"/>
            <w:vMerge w:val="continue"/>
            <w:tcBorders>
              <w:top w:val="nil"/>
            </w:tcBorders>
            <w:vAlign w:val="top"/>
          </w:tcPr>
          <w:p w14:paraId="665BF24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83" w:type="dxa"/>
            <w:gridSpan w:val="3"/>
            <w:vAlign w:val="top"/>
          </w:tcPr>
          <w:p w14:paraId="087130B2">
            <w:pPr>
              <w:keepNext w:val="0"/>
              <w:keepLines w:val="0"/>
              <w:pageBreakBefore w:val="0"/>
              <w:widowControl w:val="0"/>
              <w:kinsoku/>
              <w:wordWrap w:val="0"/>
              <w:overflowPunct/>
              <w:topLinePunct/>
              <w:autoSpaceDE/>
              <w:autoSpaceDN/>
              <w:bidi w:val="0"/>
              <w:adjustRightInd w:val="0"/>
              <w:snapToGrid w:val="0"/>
              <w:spacing w:before="211" w:line="228" w:lineRule="auto"/>
              <w:ind w:left="65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技术员</w:t>
            </w:r>
          </w:p>
        </w:tc>
        <w:tc>
          <w:tcPr>
            <w:tcW w:w="1548" w:type="dxa"/>
            <w:vAlign w:val="top"/>
          </w:tcPr>
          <w:p w14:paraId="223EB243">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2DCCC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620" w:type="dxa"/>
            <w:vAlign w:val="top"/>
          </w:tcPr>
          <w:p w14:paraId="6FDEBAC1">
            <w:pPr>
              <w:keepNext w:val="0"/>
              <w:keepLines w:val="0"/>
              <w:pageBreakBefore w:val="0"/>
              <w:widowControl w:val="0"/>
              <w:kinsoku/>
              <w:wordWrap w:val="0"/>
              <w:overflowPunct/>
              <w:topLinePunct/>
              <w:autoSpaceDE/>
              <w:autoSpaceDN/>
              <w:bidi w:val="0"/>
              <w:adjustRightInd w:val="0"/>
              <w:snapToGrid w:val="0"/>
              <w:spacing w:before="65" w:line="229" w:lineRule="auto"/>
              <w:ind w:left="33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经营范围</w:t>
            </w:r>
          </w:p>
        </w:tc>
        <w:tc>
          <w:tcPr>
            <w:tcW w:w="7639" w:type="dxa"/>
            <w:gridSpan w:val="8"/>
            <w:vAlign w:val="top"/>
          </w:tcPr>
          <w:p w14:paraId="1D6381FE">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33E47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1" w:hRule="atLeast"/>
        </w:trPr>
        <w:tc>
          <w:tcPr>
            <w:tcW w:w="1620" w:type="dxa"/>
            <w:vAlign w:val="top"/>
          </w:tcPr>
          <w:p w14:paraId="1672EDB4">
            <w:pPr>
              <w:pStyle w:val="21"/>
              <w:keepNext w:val="0"/>
              <w:keepLines w:val="0"/>
              <w:pageBreakBefore w:val="0"/>
              <w:widowControl w:val="0"/>
              <w:kinsoku/>
              <w:wordWrap w:val="0"/>
              <w:overflowPunct/>
              <w:topLinePunct/>
              <w:autoSpaceDE/>
              <w:autoSpaceDN/>
              <w:bidi w:val="0"/>
              <w:adjustRightInd w:val="0"/>
              <w:snapToGrid w:val="0"/>
              <w:spacing w:line="295" w:lineRule="auto"/>
              <w:ind w:right="84" w:rightChars="40"/>
              <w:rPr>
                <w:rFonts w:hint="eastAsia" w:ascii="宋体" w:hAnsi="宋体" w:eastAsia="宋体" w:cs="宋体"/>
                <w:color w:val="auto"/>
                <w:sz w:val="24"/>
                <w:szCs w:val="24"/>
                <w:highlight w:val="none"/>
              </w:rPr>
            </w:pPr>
          </w:p>
          <w:p w14:paraId="21298571">
            <w:pPr>
              <w:pStyle w:val="21"/>
              <w:keepNext w:val="0"/>
              <w:keepLines w:val="0"/>
              <w:pageBreakBefore w:val="0"/>
              <w:widowControl w:val="0"/>
              <w:kinsoku/>
              <w:wordWrap w:val="0"/>
              <w:overflowPunct/>
              <w:topLinePunct/>
              <w:autoSpaceDE/>
              <w:autoSpaceDN/>
              <w:bidi w:val="0"/>
              <w:adjustRightInd w:val="0"/>
              <w:snapToGrid w:val="0"/>
              <w:spacing w:line="296" w:lineRule="auto"/>
              <w:ind w:right="84" w:rightChars="40"/>
              <w:rPr>
                <w:rFonts w:hint="eastAsia" w:ascii="宋体" w:hAnsi="宋体" w:eastAsia="宋体" w:cs="宋体"/>
                <w:color w:val="auto"/>
                <w:sz w:val="24"/>
                <w:szCs w:val="24"/>
                <w:highlight w:val="none"/>
              </w:rPr>
            </w:pPr>
          </w:p>
          <w:p w14:paraId="3A8A9263">
            <w:pPr>
              <w:keepNext w:val="0"/>
              <w:keepLines w:val="0"/>
              <w:pageBreakBefore w:val="0"/>
              <w:widowControl w:val="0"/>
              <w:kinsoku/>
              <w:wordWrap w:val="0"/>
              <w:overflowPunct/>
              <w:topLinePunct/>
              <w:autoSpaceDE/>
              <w:autoSpaceDN/>
              <w:bidi w:val="0"/>
              <w:adjustRightInd w:val="0"/>
              <w:snapToGrid w:val="0"/>
              <w:spacing w:before="65" w:line="229" w:lineRule="auto"/>
              <w:ind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关联企业情况</w:t>
            </w:r>
          </w:p>
        </w:tc>
        <w:tc>
          <w:tcPr>
            <w:tcW w:w="7639" w:type="dxa"/>
            <w:gridSpan w:val="8"/>
            <w:vAlign w:val="top"/>
          </w:tcPr>
          <w:p w14:paraId="1D8E6FDA">
            <w:pPr>
              <w:keepNext w:val="0"/>
              <w:keepLines w:val="0"/>
              <w:pageBreakBefore w:val="0"/>
              <w:widowControl w:val="0"/>
              <w:kinsoku/>
              <w:wordWrap w:val="0"/>
              <w:overflowPunct/>
              <w:topLinePunct/>
              <w:autoSpaceDE/>
              <w:autoSpaceDN/>
              <w:bidi w:val="0"/>
              <w:adjustRightInd w:val="0"/>
              <w:snapToGrid w:val="0"/>
              <w:spacing w:before="168" w:line="228" w:lineRule="auto"/>
              <w:ind w:left="11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包括但不限于与投标人存在以下关系的不同单位：</w:t>
            </w:r>
          </w:p>
          <w:p w14:paraId="376A97FF">
            <w:pPr>
              <w:keepNext w:val="0"/>
              <w:keepLines w:val="0"/>
              <w:pageBreakBefore w:val="0"/>
              <w:widowControl w:val="0"/>
              <w:kinsoku/>
              <w:wordWrap w:val="0"/>
              <w:overflowPunct/>
              <w:topLinePunct/>
              <w:autoSpaceDE/>
              <w:autoSpaceDN/>
              <w:bidi w:val="0"/>
              <w:adjustRightInd w:val="0"/>
              <w:snapToGrid w:val="0"/>
              <w:spacing w:before="81" w:line="228" w:lineRule="auto"/>
              <w:ind w:left="12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4"/>
                <w:sz w:val="24"/>
                <w:szCs w:val="24"/>
                <w:highlight w:val="none"/>
              </w:rPr>
              <w:t>．法定代表人为同一人的。</w:t>
            </w:r>
          </w:p>
          <w:p w14:paraId="60571D9A">
            <w:pPr>
              <w:keepNext w:val="0"/>
              <w:keepLines w:val="0"/>
              <w:pageBreakBefore w:val="0"/>
              <w:widowControl w:val="0"/>
              <w:kinsoku/>
              <w:wordWrap w:val="0"/>
              <w:overflowPunct/>
              <w:topLinePunct/>
              <w:autoSpaceDE/>
              <w:autoSpaceDN/>
              <w:bidi w:val="0"/>
              <w:adjustRightInd w:val="0"/>
              <w:snapToGrid w:val="0"/>
              <w:spacing w:before="81" w:line="228" w:lineRule="auto"/>
              <w:ind w:left="10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6"/>
                <w:sz w:val="24"/>
                <w:szCs w:val="24"/>
                <w:highlight w:val="none"/>
              </w:rPr>
              <w:t>．存在控股、管理关系的。</w:t>
            </w:r>
          </w:p>
          <w:p w14:paraId="75F0E280">
            <w:pPr>
              <w:keepNext w:val="0"/>
              <w:keepLines w:val="0"/>
              <w:pageBreakBefore w:val="0"/>
              <w:widowControl w:val="0"/>
              <w:kinsoku/>
              <w:wordWrap w:val="0"/>
              <w:overflowPunct/>
              <w:topLinePunct/>
              <w:autoSpaceDE/>
              <w:autoSpaceDN/>
              <w:bidi w:val="0"/>
              <w:adjustRightInd w:val="0"/>
              <w:snapToGrid w:val="0"/>
              <w:spacing w:before="81" w:line="228" w:lineRule="auto"/>
              <w:ind w:left="112"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3</w:t>
            </w:r>
            <w:r>
              <w:rPr>
                <w:rFonts w:hint="eastAsia" w:ascii="宋体" w:hAnsi="宋体" w:eastAsia="宋体" w:cs="宋体"/>
                <w:color w:val="auto"/>
                <w:spacing w:val="-17"/>
                <w:sz w:val="24"/>
                <w:szCs w:val="24"/>
                <w:highlight w:val="none"/>
              </w:rPr>
              <w:t xml:space="preserve"> </w:t>
            </w:r>
            <w:r>
              <w:rPr>
                <w:rFonts w:hint="eastAsia" w:ascii="宋体" w:hAnsi="宋体" w:eastAsia="宋体" w:cs="宋体"/>
                <w:color w:val="auto"/>
                <w:spacing w:val="5"/>
                <w:sz w:val="24"/>
                <w:szCs w:val="24"/>
                <w:highlight w:val="none"/>
              </w:rPr>
              <w:t>．主要人员相互任职的。</w:t>
            </w:r>
          </w:p>
        </w:tc>
      </w:tr>
      <w:tr w14:paraId="01465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1620" w:type="dxa"/>
            <w:vAlign w:val="top"/>
          </w:tcPr>
          <w:p w14:paraId="4F6AD580">
            <w:pPr>
              <w:keepNext w:val="0"/>
              <w:keepLines w:val="0"/>
              <w:pageBreakBefore w:val="0"/>
              <w:widowControl w:val="0"/>
              <w:kinsoku/>
              <w:wordWrap w:val="0"/>
              <w:overflowPunct/>
              <w:topLinePunct/>
              <w:autoSpaceDE/>
              <w:autoSpaceDN/>
              <w:bidi w:val="0"/>
              <w:adjustRightInd w:val="0"/>
              <w:snapToGrid w:val="0"/>
              <w:spacing w:before="235" w:line="230" w:lineRule="auto"/>
              <w:ind w:left="542"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备注</w:t>
            </w:r>
          </w:p>
        </w:tc>
        <w:tc>
          <w:tcPr>
            <w:tcW w:w="7639" w:type="dxa"/>
            <w:gridSpan w:val="8"/>
            <w:vAlign w:val="top"/>
          </w:tcPr>
          <w:p w14:paraId="50ED60D5">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bl>
    <w:p w14:paraId="55670BF2">
      <w:pPr>
        <w:keepNext w:val="0"/>
        <w:keepLines w:val="0"/>
        <w:pageBreakBefore w:val="0"/>
        <w:widowControl w:val="0"/>
        <w:kinsoku/>
        <w:wordWrap w:val="0"/>
        <w:overflowPunct/>
        <w:topLinePunct/>
        <w:autoSpaceDE/>
        <w:autoSpaceDN/>
        <w:bidi w:val="0"/>
        <w:adjustRightInd w:val="0"/>
        <w:snapToGrid w:val="0"/>
        <w:spacing w:before="140" w:line="228" w:lineRule="auto"/>
        <w:ind w:right="84" w:rightChars="40"/>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说明：</w:t>
      </w:r>
    </w:p>
    <w:p w14:paraId="48FDA4A4">
      <w:pPr>
        <w:keepNext w:val="0"/>
        <w:keepLines w:val="0"/>
        <w:pageBreakBefore w:val="0"/>
        <w:widowControl w:val="0"/>
        <w:kinsoku/>
        <w:wordWrap w:val="0"/>
        <w:overflowPunct/>
        <w:topLinePunct/>
        <w:autoSpaceDE/>
        <w:autoSpaceDN/>
        <w:bidi w:val="0"/>
        <w:adjustRightInd w:val="0"/>
        <w:snapToGrid w:val="0"/>
        <w:spacing w:before="81" w:line="240" w:lineRule="auto"/>
        <w:ind w:right="84" w:rightChars="40"/>
        <w:textAlignment w:val="baseline"/>
        <w:outlineLvl w:val="9"/>
        <w:rPr>
          <w:rFonts w:hint="eastAsia" w:ascii="宋体" w:hAnsi="宋体" w:eastAsia="宋体" w:cs="宋体"/>
          <w:color w:val="auto"/>
          <w:spacing w:val="4"/>
          <w:sz w:val="18"/>
          <w:szCs w:val="18"/>
          <w:highlight w:val="none"/>
        </w:rPr>
      </w:pPr>
      <w:bookmarkStart w:id="216" w:name="_Toc14048"/>
      <w:bookmarkStart w:id="217" w:name="_Toc5131"/>
      <w:r>
        <w:rPr>
          <w:rFonts w:hint="eastAsia" w:ascii="宋体" w:hAnsi="宋体" w:eastAsia="宋体" w:cs="宋体"/>
          <w:color w:val="auto"/>
          <w:spacing w:val="4"/>
          <w:sz w:val="18"/>
          <w:szCs w:val="18"/>
          <w:highlight w:val="none"/>
        </w:rPr>
        <w:t>1 ．《投标人基本情况表》后应附以下资料：</w:t>
      </w:r>
      <w:bookmarkEnd w:id="216"/>
      <w:bookmarkEnd w:id="217"/>
    </w:p>
    <w:p w14:paraId="4204806C">
      <w:pPr>
        <w:keepNext w:val="0"/>
        <w:keepLines w:val="0"/>
        <w:pageBreakBefore w:val="0"/>
        <w:widowControl w:val="0"/>
        <w:kinsoku/>
        <w:wordWrap w:val="0"/>
        <w:overflowPunct/>
        <w:topLinePunct/>
        <w:autoSpaceDE/>
        <w:autoSpaceDN/>
        <w:bidi w:val="0"/>
        <w:adjustRightInd w:val="0"/>
        <w:snapToGrid w:val="0"/>
        <w:spacing w:before="153" w:line="240" w:lineRule="auto"/>
        <w:ind w:right="84" w:rightChars="40"/>
        <w:textAlignment w:val="baseline"/>
        <w:rPr>
          <w:rFonts w:hint="eastAsia" w:ascii="宋体" w:hAnsi="宋体" w:eastAsia="宋体" w:cs="宋体"/>
          <w:color w:val="auto"/>
          <w:spacing w:val="6"/>
          <w:sz w:val="18"/>
          <w:szCs w:val="18"/>
          <w:highlight w:val="none"/>
        </w:rPr>
      </w:pPr>
      <w:r>
        <w:rPr>
          <w:rFonts w:hint="eastAsia" w:ascii="宋体" w:hAnsi="宋体" w:eastAsia="宋体" w:cs="宋体"/>
          <w:color w:val="auto"/>
          <w:spacing w:val="9"/>
          <w:sz w:val="18"/>
          <w:szCs w:val="18"/>
          <w:highlight w:val="none"/>
          <w:lang w:eastAsia="zh-CN"/>
        </w:rPr>
        <w:t>（1）企业营业执照、资质证书、《承装、修、试电力设施许可证》、安全生产许可证的（因推行电子证照，企业的营业执照、资质证书等可以提供电子证照。为实时掌握项目投标单位的是否具备企业安全生产条件，企业的安全</w:t>
      </w:r>
      <w:r>
        <w:rPr>
          <w:rFonts w:hint="eastAsia" w:ascii="宋体" w:hAnsi="宋体" w:eastAsia="宋体" w:cs="宋体"/>
          <w:color w:val="auto"/>
          <w:spacing w:val="9"/>
          <w:sz w:val="18"/>
          <w:szCs w:val="18"/>
          <w:highlight w:val="none"/>
          <w:lang w:val="en-US" w:eastAsia="zh-CN"/>
        </w:rPr>
        <w:t>生产</w:t>
      </w:r>
      <w:r>
        <w:rPr>
          <w:rFonts w:hint="eastAsia" w:ascii="宋体" w:hAnsi="宋体" w:eastAsia="宋体" w:cs="宋体"/>
          <w:color w:val="auto"/>
          <w:spacing w:val="9"/>
          <w:sz w:val="18"/>
          <w:szCs w:val="18"/>
          <w:highlight w:val="none"/>
          <w:lang w:eastAsia="zh-CN"/>
        </w:rPr>
        <w:t>许可证需提供企业实时网页查询页，实时查询页的打印时间应在项目招标公告发布之日起至开标前。企业的安全生产许可证实时网页查询路径：登录“ 中华人民共和国住房和城乡建设部 ”进入“全国工程质量安全监管信息平台公共服务门户 ”版块，具体网址为：https://zlaq.mohurd.gov.cn，进入后点击“安全生产许可证信息 ”，输入企业名称和统一社会信用代码即可查询。如中标后，投标单位安全生产许可证发生被暂扣情形，需双方另行协商）；</w:t>
      </w:r>
    </w:p>
    <w:p w14:paraId="787D168D">
      <w:pPr>
        <w:keepNext w:val="0"/>
        <w:keepLines w:val="0"/>
        <w:pageBreakBefore w:val="0"/>
        <w:widowControl w:val="0"/>
        <w:kinsoku/>
        <w:wordWrap w:val="0"/>
        <w:overflowPunct/>
        <w:topLinePunct/>
        <w:autoSpaceDE/>
        <w:autoSpaceDN/>
        <w:bidi w:val="0"/>
        <w:adjustRightInd w:val="0"/>
        <w:snapToGrid w:val="0"/>
        <w:spacing w:before="153" w:line="240" w:lineRule="auto"/>
        <w:ind w:right="84" w:rightChars="40"/>
        <w:textAlignment w:val="baseline"/>
        <w:rPr>
          <w:rFonts w:hint="eastAsia" w:ascii="宋体" w:hAnsi="宋体" w:eastAsia="宋体" w:cs="宋体"/>
          <w:color w:val="auto"/>
          <w:spacing w:val="9"/>
          <w:sz w:val="18"/>
          <w:szCs w:val="18"/>
          <w:highlight w:val="none"/>
          <w:lang w:eastAsia="zh-CN"/>
        </w:rPr>
      </w:pPr>
      <w:r>
        <w:rPr>
          <w:rFonts w:hint="eastAsia" w:ascii="宋体" w:hAnsi="宋体" w:eastAsia="宋体" w:cs="宋体"/>
          <w:color w:val="auto"/>
          <w:spacing w:val="9"/>
          <w:sz w:val="18"/>
          <w:szCs w:val="18"/>
          <w:highlight w:val="none"/>
          <w:lang w:eastAsia="zh-CN"/>
        </w:rPr>
        <w:t>（2）“进粤企业和人员诚信信息登记平台 ”企业信息情况打印页。（适用于省外建筑企业）</w:t>
      </w:r>
    </w:p>
    <w:p w14:paraId="181391B5">
      <w:pPr>
        <w:keepNext w:val="0"/>
        <w:keepLines w:val="0"/>
        <w:pageBreakBefore w:val="0"/>
        <w:widowControl w:val="0"/>
        <w:kinsoku/>
        <w:wordWrap w:val="0"/>
        <w:overflowPunct/>
        <w:topLinePunct/>
        <w:autoSpaceDE/>
        <w:autoSpaceDN/>
        <w:bidi w:val="0"/>
        <w:adjustRightInd w:val="0"/>
        <w:snapToGrid w:val="0"/>
        <w:spacing w:before="153" w:line="240" w:lineRule="auto"/>
        <w:ind w:right="84" w:rightChars="40"/>
        <w:textAlignment w:val="baseline"/>
        <w:rPr>
          <w:rFonts w:hint="eastAsia" w:ascii="宋体" w:hAnsi="宋体" w:eastAsia="宋体" w:cs="宋体"/>
          <w:color w:val="auto"/>
          <w:spacing w:val="9"/>
          <w:sz w:val="18"/>
          <w:szCs w:val="18"/>
          <w:highlight w:val="none"/>
          <w:lang w:eastAsia="zh-CN"/>
        </w:rPr>
      </w:pPr>
      <w:r>
        <w:rPr>
          <w:rFonts w:hint="eastAsia" w:ascii="宋体" w:hAnsi="宋体" w:eastAsia="宋体" w:cs="宋体"/>
          <w:color w:val="auto"/>
          <w:spacing w:val="9"/>
          <w:sz w:val="18"/>
          <w:szCs w:val="18"/>
          <w:highlight w:val="none"/>
          <w:lang w:eastAsia="zh-CN"/>
        </w:rPr>
        <w:t>（3）《法人和非法人组织公共信用信息报告》（在“信用中国 ”网站企业查询界面中下载）。</w:t>
      </w:r>
    </w:p>
    <w:p w14:paraId="20164BD1">
      <w:pPr>
        <w:keepNext w:val="0"/>
        <w:keepLines w:val="0"/>
        <w:pageBreakBefore w:val="0"/>
        <w:widowControl w:val="0"/>
        <w:kinsoku/>
        <w:wordWrap w:val="0"/>
        <w:overflowPunct/>
        <w:topLinePunct/>
        <w:autoSpaceDE/>
        <w:autoSpaceDN/>
        <w:bidi w:val="0"/>
        <w:adjustRightInd w:val="0"/>
        <w:snapToGrid w:val="0"/>
        <w:spacing w:before="153" w:line="240" w:lineRule="auto"/>
        <w:ind w:right="84" w:rightChars="40"/>
        <w:textAlignment w:val="baseline"/>
        <w:rPr>
          <w:rFonts w:hint="eastAsia" w:ascii="宋体" w:hAnsi="宋体" w:eastAsia="宋体" w:cs="宋体"/>
          <w:color w:val="auto"/>
          <w:spacing w:val="9"/>
          <w:sz w:val="18"/>
          <w:szCs w:val="18"/>
          <w:highlight w:val="none"/>
          <w:lang w:eastAsia="zh-CN"/>
        </w:rPr>
      </w:pPr>
      <w:r>
        <w:rPr>
          <w:rFonts w:hint="eastAsia" w:ascii="宋体" w:hAnsi="宋体" w:eastAsia="宋体" w:cs="宋体"/>
          <w:color w:val="auto"/>
          <w:spacing w:val="9"/>
          <w:sz w:val="18"/>
          <w:szCs w:val="18"/>
          <w:highlight w:val="none"/>
          <w:lang w:eastAsia="zh-CN"/>
        </w:rPr>
        <w:t>2 ．联合体投标的，联合体成员单位均应填写《投标人基本情况表》并提供以上所需资料。</w:t>
      </w:r>
    </w:p>
    <w:p w14:paraId="480FCCFC">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18" w:name="_Toc18786"/>
      <w:r>
        <w:rPr>
          <w:rFonts w:hint="eastAsia" w:ascii="宋体" w:hAnsi="宋体" w:eastAsia="宋体" w:cs="宋体"/>
          <w:b/>
          <w:bCs/>
          <w:color w:val="auto"/>
          <w:spacing w:val="-4"/>
          <w:sz w:val="24"/>
          <w:szCs w:val="24"/>
          <w:highlight w:val="none"/>
        </w:rPr>
        <w:t>格式八 项目经理简历表</w:t>
      </w:r>
      <w:bookmarkEnd w:id="218"/>
    </w:p>
    <w:p w14:paraId="1F29FC38">
      <w:pPr>
        <w:pStyle w:val="6"/>
        <w:keepNext w:val="0"/>
        <w:keepLines w:val="0"/>
        <w:pageBreakBefore w:val="0"/>
        <w:widowControl w:val="0"/>
        <w:kinsoku/>
        <w:wordWrap w:val="0"/>
        <w:overflowPunct/>
        <w:topLinePunct/>
        <w:autoSpaceDE/>
        <w:autoSpaceDN/>
        <w:bidi w:val="0"/>
        <w:adjustRightInd w:val="0"/>
        <w:snapToGrid w:val="0"/>
        <w:spacing w:line="444" w:lineRule="auto"/>
        <w:ind w:right="84" w:rightChars="40"/>
        <w:rPr>
          <w:rFonts w:hint="eastAsia" w:ascii="宋体" w:hAnsi="宋体" w:eastAsia="宋体" w:cs="宋体"/>
          <w:color w:val="auto"/>
          <w:highlight w:val="none"/>
        </w:rPr>
      </w:pPr>
    </w:p>
    <w:p w14:paraId="13172251">
      <w:pPr>
        <w:keepNext w:val="0"/>
        <w:keepLines w:val="0"/>
        <w:pageBreakBefore w:val="0"/>
        <w:widowControl w:val="0"/>
        <w:kinsoku/>
        <w:wordWrap w:val="0"/>
        <w:overflowPunct/>
        <w:topLinePunct/>
        <w:autoSpaceDE/>
        <w:autoSpaceDN/>
        <w:bidi w:val="0"/>
        <w:adjustRightInd w:val="0"/>
        <w:snapToGrid w:val="0"/>
        <w:spacing w:before="97" w:line="219" w:lineRule="auto"/>
        <w:ind w:left="3538" w:right="84" w:rightChars="40"/>
        <w:outlineLvl w:val="9"/>
        <w:rPr>
          <w:rFonts w:hint="eastAsia" w:ascii="宋体" w:hAnsi="宋体" w:eastAsia="宋体" w:cs="宋体"/>
          <w:color w:val="auto"/>
          <w:sz w:val="30"/>
          <w:szCs w:val="30"/>
          <w:highlight w:val="none"/>
        </w:rPr>
      </w:pPr>
      <w:bookmarkStart w:id="219" w:name="bookmark89"/>
      <w:bookmarkEnd w:id="219"/>
      <w:bookmarkStart w:id="220" w:name="bookmark156"/>
      <w:bookmarkEnd w:id="220"/>
      <w:bookmarkStart w:id="221" w:name="_Toc24489"/>
      <w:bookmarkStart w:id="222" w:name="_Toc31533"/>
      <w:r>
        <w:rPr>
          <w:rFonts w:hint="eastAsia" w:ascii="宋体" w:hAnsi="宋体" w:eastAsia="宋体" w:cs="宋体"/>
          <w:b/>
          <w:bCs/>
          <w:color w:val="auto"/>
          <w:spacing w:val="-5"/>
          <w:sz w:val="30"/>
          <w:szCs w:val="30"/>
          <w:highlight w:val="none"/>
        </w:rPr>
        <w:t>项目经理简历表</w:t>
      </w:r>
      <w:bookmarkEnd w:id="221"/>
      <w:bookmarkEnd w:id="222"/>
    </w:p>
    <w:p w14:paraId="5F2C7D8F">
      <w:pPr>
        <w:keepNext w:val="0"/>
        <w:keepLines w:val="0"/>
        <w:pageBreakBefore w:val="0"/>
        <w:widowControl w:val="0"/>
        <w:kinsoku/>
        <w:wordWrap w:val="0"/>
        <w:overflowPunct/>
        <w:topLinePunct/>
        <w:autoSpaceDE/>
        <w:autoSpaceDN/>
        <w:bidi w:val="0"/>
        <w:adjustRightInd w:val="0"/>
        <w:snapToGrid w:val="0"/>
        <w:spacing w:line="240" w:lineRule="exact"/>
        <w:ind w:right="84" w:rightChars="40"/>
        <w:rPr>
          <w:rFonts w:hint="eastAsia" w:ascii="宋体" w:hAnsi="宋体" w:eastAsia="宋体" w:cs="宋体"/>
          <w:color w:val="auto"/>
          <w:highlight w:val="none"/>
        </w:rPr>
      </w:pPr>
    </w:p>
    <w:tbl>
      <w:tblPr>
        <w:tblStyle w:val="15"/>
        <w:tblW w:w="99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098"/>
        <w:gridCol w:w="526"/>
        <w:gridCol w:w="680"/>
        <w:gridCol w:w="1357"/>
        <w:gridCol w:w="2297"/>
        <w:gridCol w:w="1755"/>
        <w:gridCol w:w="1425"/>
      </w:tblGrid>
      <w:tr w14:paraId="08998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16" w:type="dxa"/>
            <w:gridSpan w:val="2"/>
            <w:vAlign w:val="top"/>
          </w:tcPr>
          <w:p w14:paraId="169C7E80">
            <w:pPr>
              <w:keepNext w:val="0"/>
              <w:keepLines w:val="0"/>
              <w:pageBreakBefore w:val="0"/>
              <w:widowControl w:val="0"/>
              <w:kinsoku/>
              <w:wordWrap w:val="0"/>
              <w:overflowPunct/>
              <w:topLinePunct/>
              <w:autoSpaceDE/>
              <w:autoSpaceDN/>
              <w:bidi w:val="0"/>
              <w:adjustRightInd w:val="0"/>
              <w:snapToGrid w:val="0"/>
              <w:spacing w:before="177" w:line="228" w:lineRule="auto"/>
              <w:ind w:left="508"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名</w:t>
            </w:r>
          </w:p>
        </w:tc>
        <w:tc>
          <w:tcPr>
            <w:tcW w:w="1206" w:type="dxa"/>
            <w:gridSpan w:val="2"/>
            <w:vAlign w:val="top"/>
          </w:tcPr>
          <w:p w14:paraId="2C8DD025">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57" w:type="dxa"/>
            <w:vAlign w:val="top"/>
          </w:tcPr>
          <w:p w14:paraId="23BE29D7">
            <w:pPr>
              <w:keepNext w:val="0"/>
              <w:keepLines w:val="0"/>
              <w:pageBreakBefore w:val="0"/>
              <w:widowControl w:val="0"/>
              <w:kinsoku/>
              <w:wordWrap w:val="0"/>
              <w:overflowPunct/>
              <w:topLinePunct/>
              <w:autoSpaceDE/>
              <w:autoSpaceDN/>
              <w:bidi w:val="0"/>
              <w:adjustRightInd w:val="0"/>
              <w:snapToGrid w:val="0"/>
              <w:spacing w:before="177" w:line="229" w:lineRule="auto"/>
              <w:ind w:left="336"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别</w:t>
            </w:r>
          </w:p>
        </w:tc>
        <w:tc>
          <w:tcPr>
            <w:tcW w:w="2297" w:type="dxa"/>
            <w:vAlign w:val="top"/>
          </w:tcPr>
          <w:p w14:paraId="5F94D5A1">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55" w:type="dxa"/>
            <w:vAlign w:val="top"/>
          </w:tcPr>
          <w:p w14:paraId="55D1562A">
            <w:pPr>
              <w:keepNext w:val="0"/>
              <w:keepLines w:val="0"/>
              <w:pageBreakBefore w:val="0"/>
              <w:widowControl w:val="0"/>
              <w:kinsoku/>
              <w:wordWrap w:val="0"/>
              <w:overflowPunct/>
              <w:topLinePunct/>
              <w:autoSpaceDE/>
              <w:autoSpaceDN/>
              <w:bidi w:val="0"/>
              <w:adjustRightInd w:val="0"/>
              <w:snapToGrid w:val="0"/>
              <w:spacing w:before="177" w:line="228" w:lineRule="auto"/>
              <w:ind w:left="488"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龄</w:t>
            </w:r>
          </w:p>
        </w:tc>
        <w:tc>
          <w:tcPr>
            <w:tcW w:w="1425" w:type="dxa"/>
            <w:vAlign w:val="top"/>
          </w:tcPr>
          <w:p w14:paraId="275DECEF">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1CF4A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916" w:type="dxa"/>
            <w:gridSpan w:val="2"/>
            <w:vAlign w:val="top"/>
          </w:tcPr>
          <w:p w14:paraId="20CBBC59">
            <w:pPr>
              <w:keepNext w:val="0"/>
              <w:keepLines w:val="0"/>
              <w:pageBreakBefore w:val="0"/>
              <w:widowControl w:val="0"/>
              <w:kinsoku/>
              <w:wordWrap w:val="0"/>
              <w:overflowPunct/>
              <w:topLinePunct/>
              <w:autoSpaceDE/>
              <w:autoSpaceDN/>
              <w:bidi w:val="0"/>
              <w:adjustRightInd w:val="0"/>
              <w:snapToGrid w:val="0"/>
              <w:spacing w:before="175" w:line="228" w:lineRule="auto"/>
              <w:ind w:left="509"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务</w:t>
            </w:r>
          </w:p>
        </w:tc>
        <w:tc>
          <w:tcPr>
            <w:tcW w:w="1206" w:type="dxa"/>
            <w:gridSpan w:val="2"/>
            <w:vAlign w:val="top"/>
          </w:tcPr>
          <w:p w14:paraId="263E7DB2">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57" w:type="dxa"/>
            <w:vAlign w:val="top"/>
          </w:tcPr>
          <w:p w14:paraId="145C23A8">
            <w:pPr>
              <w:keepNext w:val="0"/>
              <w:keepLines w:val="0"/>
              <w:pageBreakBefore w:val="0"/>
              <w:widowControl w:val="0"/>
              <w:kinsoku/>
              <w:wordWrap w:val="0"/>
              <w:overflowPunct/>
              <w:topLinePunct/>
              <w:autoSpaceDE/>
              <w:autoSpaceDN/>
              <w:bidi w:val="0"/>
              <w:adjustRightInd w:val="0"/>
              <w:snapToGrid w:val="0"/>
              <w:spacing w:before="174" w:line="231" w:lineRule="auto"/>
              <w:ind w:left="337"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称</w:t>
            </w:r>
          </w:p>
        </w:tc>
        <w:tc>
          <w:tcPr>
            <w:tcW w:w="2297" w:type="dxa"/>
            <w:vAlign w:val="top"/>
          </w:tcPr>
          <w:p w14:paraId="24D48AB4">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55" w:type="dxa"/>
            <w:vAlign w:val="top"/>
          </w:tcPr>
          <w:p w14:paraId="6717ABBE">
            <w:pPr>
              <w:keepNext w:val="0"/>
              <w:keepLines w:val="0"/>
              <w:pageBreakBefore w:val="0"/>
              <w:widowControl w:val="0"/>
              <w:kinsoku/>
              <w:wordWrap w:val="0"/>
              <w:overflowPunct/>
              <w:topLinePunct/>
              <w:autoSpaceDE/>
              <w:autoSpaceDN/>
              <w:bidi w:val="0"/>
              <w:adjustRightInd w:val="0"/>
              <w:snapToGrid w:val="0"/>
              <w:spacing w:before="175" w:line="230" w:lineRule="auto"/>
              <w:ind w:left="49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学</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历</w:t>
            </w:r>
          </w:p>
        </w:tc>
        <w:tc>
          <w:tcPr>
            <w:tcW w:w="1425" w:type="dxa"/>
            <w:vAlign w:val="top"/>
          </w:tcPr>
          <w:p w14:paraId="69D3134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0086A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1916" w:type="dxa"/>
            <w:gridSpan w:val="2"/>
            <w:vAlign w:val="top"/>
          </w:tcPr>
          <w:p w14:paraId="6896D560">
            <w:pPr>
              <w:keepNext w:val="0"/>
              <w:keepLines w:val="0"/>
              <w:pageBreakBefore w:val="0"/>
              <w:widowControl w:val="0"/>
              <w:kinsoku/>
              <w:wordWrap w:val="0"/>
              <w:overflowPunct/>
              <w:topLinePunct/>
              <w:autoSpaceDE/>
              <w:autoSpaceDN/>
              <w:bidi w:val="0"/>
              <w:adjustRightInd w:val="0"/>
              <w:snapToGrid w:val="0"/>
              <w:spacing w:before="175" w:line="229" w:lineRule="auto"/>
              <w:ind w:left="24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参加工作时间</w:t>
            </w:r>
          </w:p>
        </w:tc>
        <w:tc>
          <w:tcPr>
            <w:tcW w:w="2563" w:type="dxa"/>
            <w:gridSpan w:val="3"/>
            <w:vAlign w:val="top"/>
          </w:tcPr>
          <w:p w14:paraId="6B7D903D">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4052" w:type="dxa"/>
            <w:gridSpan w:val="2"/>
            <w:vAlign w:val="top"/>
          </w:tcPr>
          <w:p w14:paraId="79B252D1">
            <w:pPr>
              <w:keepNext w:val="0"/>
              <w:keepLines w:val="0"/>
              <w:pageBreakBefore w:val="0"/>
              <w:widowControl w:val="0"/>
              <w:kinsoku/>
              <w:wordWrap w:val="0"/>
              <w:overflowPunct/>
              <w:topLinePunct/>
              <w:autoSpaceDE/>
              <w:autoSpaceDN/>
              <w:bidi w:val="0"/>
              <w:adjustRightInd w:val="0"/>
              <w:snapToGrid w:val="0"/>
              <w:spacing w:before="176" w:line="228" w:lineRule="auto"/>
              <w:ind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从事工程建设项目管理工作年限</w:t>
            </w:r>
          </w:p>
        </w:tc>
        <w:tc>
          <w:tcPr>
            <w:tcW w:w="1425" w:type="dxa"/>
            <w:vAlign w:val="top"/>
          </w:tcPr>
          <w:p w14:paraId="275488B8">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71343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9956" w:type="dxa"/>
            <w:gridSpan w:val="8"/>
            <w:vAlign w:val="top"/>
          </w:tcPr>
          <w:p w14:paraId="2E2093F3">
            <w:pPr>
              <w:keepNext w:val="0"/>
              <w:keepLines w:val="0"/>
              <w:pageBreakBefore w:val="0"/>
              <w:widowControl w:val="0"/>
              <w:kinsoku/>
              <w:wordWrap w:val="0"/>
              <w:overflowPunct/>
              <w:topLinePunct/>
              <w:autoSpaceDE/>
              <w:autoSpaceDN/>
              <w:bidi w:val="0"/>
              <w:adjustRightInd w:val="0"/>
              <w:snapToGrid w:val="0"/>
              <w:spacing w:before="176" w:line="228" w:lineRule="auto"/>
              <w:ind w:left="2356"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以项目经理身份参与过的主要业绩（已完工项目）</w:t>
            </w:r>
          </w:p>
        </w:tc>
      </w:tr>
      <w:tr w14:paraId="265D3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818" w:type="dxa"/>
            <w:vAlign w:val="top"/>
          </w:tcPr>
          <w:p w14:paraId="194320A7">
            <w:pPr>
              <w:keepNext w:val="0"/>
              <w:keepLines w:val="0"/>
              <w:pageBreakBefore w:val="0"/>
              <w:widowControl w:val="0"/>
              <w:kinsoku/>
              <w:wordWrap w:val="0"/>
              <w:overflowPunct/>
              <w:topLinePunct/>
              <w:autoSpaceDE/>
              <w:autoSpaceDN/>
              <w:bidi w:val="0"/>
              <w:adjustRightInd w:val="0"/>
              <w:snapToGrid w:val="0"/>
              <w:spacing w:before="176" w:line="230" w:lineRule="auto"/>
              <w:ind w:left="183"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24" w:type="dxa"/>
            <w:gridSpan w:val="2"/>
            <w:vAlign w:val="top"/>
          </w:tcPr>
          <w:p w14:paraId="26102B5C">
            <w:pPr>
              <w:keepNext w:val="0"/>
              <w:keepLines w:val="0"/>
              <w:pageBreakBefore w:val="0"/>
              <w:widowControl w:val="0"/>
              <w:kinsoku/>
              <w:wordWrap w:val="0"/>
              <w:overflowPunct/>
              <w:topLinePunct/>
              <w:autoSpaceDE/>
              <w:autoSpaceDN/>
              <w:bidi w:val="0"/>
              <w:adjustRightInd w:val="0"/>
              <w:snapToGrid w:val="0"/>
              <w:spacing w:before="176" w:line="229" w:lineRule="auto"/>
              <w:ind w:left="35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项目名称</w:t>
            </w:r>
          </w:p>
        </w:tc>
        <w:tc>
          <w:tcPr>
            <w:tcW w:w="2037" w:type="dxa"/>
            <w:gridSpan w:val="2"/>
            <w:vAlign w:val="top"/>
          </w:tcPr>
          <w:p w14:paraId="1A65D8C6">
            <w:pPr>
              <w:keepNext w:val="0"/>
              <w:keepLines w:val="0"/>
              <w:pageBreakBefore w:val="0"/>
              <w:widowControl w:val="0"/>
              <w:kinsoku/>
              <w:wordWrap w:val="0"/>
              <w:overflowPunct/>
              <w:topLinePunct/>
              <w:autoSpaceDE/>
              <w:autoSpaceDN/>
              <w:bidi w:val="0"/>
              <w:adjustRightInd w:val="0"/>
              <w:snapToGrid w:val="0"/>
              <w:spacing w:before="176" w:line="229" w:lineRule="auto"/>
              <w:ind w:left="55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建设单位</w:t>
            </w:r>
          </w:p>
        </w:tc>
        <w:tc>
          <w:tcPr>
            <w:tcW w:w="2297" w:type="dxa"/>
            <w:vAlign w:val="top"/>
          </w:tcPr>
          <w:p w14:paraId="688C2E42">
            <w:pPr>
              <w:keepNext w:val="0"/>
              <w:keepLines w:val="0"/>
              <w:pageBreakBefore w:val="0"/>
              <w:widowControl w:val="0"/>
              <w:kinsoku/>
              <w:wordWrap w:val="0"/>
              <w:overflowPunct/>
              <w:topLinePunct/>
              <w:autoSpaceDE/>
              <w:autoSpaceDN/>
              <w:bidi w:val="0"/>
              <w:adjustRightInd w:val="0"/>
              <w:snapToGrid w:val="0"/>
              <w:spacing w:before="176" w:line="228" w:lineRule="auto"/>
              <w:ind w:left="26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建设内容和规模</w:t>
            </w:r>
          </w:p>
        </w:tc>
        <w:tc>
          <w:tcPr>
            <w:tcW w:w="1755" w:type="dxa"/>
            <w:vAlign w:val="top"/>
          </w:tcPr>
          <w:p w14:paraId="6DC1577F">
            <w:pPr>
              <w:keepNext w:val="0"/>
              <w:keepLines w:val="0"/>
              <w:pageBreakBefore w:val="0"/>
              <w:widowControl w:val="0"/>
              <w:kinsoku/>
              <w:wordWrap w:val="0"/>
              <w:overflowPunct/>
              <w:topLinePunct/>
              <w:autoSpaceDE/>
              <w:autoSpaceDN/>
              <w:bidi w:val="0"/>
              <w:adjustRightInd w:val="0"/>
              <w:snapToGrid w:val="0"/>
              <w:spacing w:before="176" w:line="228" w:lineRule="auto"/>
              <w:ind w:left="23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开、竣工日期</w:t>
            </w:r>
          </w:p>
        </w:tc>
        <w:tc>
          <w:tcPr>
            <w:tcW w:w="1425" w:type="dxa"/>
            <w:vAlign w:val="top"/>
          </w:tcPr>
          <w:p w14:paraId="38F2403D">
            <w:pPr>
              <w:keepNext w:val="0"/>
              <w:keepLines w:val="0"/>
              <w:pageBreakBefore w:val="0"/>
              <w:widowControl w:val="0"/>
              <w:kinsoku/>
              <w:wordWrap w:val="0"/>
              <w:overflowPunct/>
              <w:topLinePunct/>
              <w:autoSpaceDE/>
              <w:autoSpaceDN/>
              <w:bidi w:val="0"/>
              <w:adjustRightInd w:val="0"/>
              <w:snapToGrid w:val="0"/>
              <w:spacing w:before="176" w:line="228" w:lineRule="auto"/>
              <w:ind w:left="25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质量等级</w:t>
            </w:r>
          </w:p>
        </w:tc>
      </w:tr>
      <w:tr w14:paraId="59C16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top"/>
          </w:tcPr>
          <w:p w14:paraId="6E6E3C75">
            <w:pPr>
              <w:keepNext w:val="0"/>
              <w:keepLines w:val="0"/>
              <w:pageBreakBefore w:val="0"/>
              <w:widowControl w:val="0"/>
              <w:kinsoku/>
              <w:wordWrap w:val="0"/>
              <w:overflowPunct/>
              <w:topLinePunct/>
              <w:autoSpaceDE/>
              <w:autoSpaceDN/>
              <w:bidi w:val="0"/>
              <w:adjustRightInd w:val="0"/>
              <w:snapToGrid w:val="0"/>
              <w:spacing w:before="214" w:line="195" w:lineRule="auto"/>
              <w:ind w:left="359"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24" w:type="dxa"/>
            <w:gridSpan w:val="2"/>
            <w:vAlign w:val="top"/>
          </w:tcPr>
          <w:p w14:paraId="7423672E">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37" w:type="dxa"/>
            <w:gridSpan w:val="2"/>
            <w:vAlign w:val="top"/>
          </w:tcPr>
          <w:p w14:paraId="44185FD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297" w:type="dxa"/>
            <w:vAlign w:val="top"/>
          </w:tcPr>
          <w:p w14:paraId="0E1D139D">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55" w:type="dxa"/>
            <w:vAlign w:val="top"/>
          </w:tcPr>
          <w:p w14:paraId="44FB6891">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425" w:type="dxa"/>
            <w:vAlign w:val="top"/>
          </w:tcPr>
          <w:p w14:paraId="71EBE9F7">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6FEE5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818" w:type="dxa"/>
            <w:vAlign w:val="top"/>
          </w:tcPr>
          <w:p w14:paraId="389231DF">
            <w:pPr>
              <w:keepNext w:val="0"/>
              <w:keepLines w:val="0"/>
              <w:pageBreakBefore w:val="0"/>
              <w:widowControl w:val="0"/>
              <w:kinsoku/>
              <w:wordWrap w:val="0"/>
              <w:overflowPunct/>
              <w:topLinePunct/>
              <w:autoSpaceDE/>
              <w:autoSpaceDN/>
              <w:bidi w:val="0"/>
              <w:adjustRightInd w:val="0"/>
              <w:snapToGrid w:val="0"/>
              <w:spacing w:before="213" w:line="195" w:lineRule="auto"/>
              <w:ind w:left="339"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24" w:type="dxa"/>
            <w:gridSpan w:val="2"/>
            <w:vAlign w:val="top"/>
          </w:tcPr>
          <w:p w14:paraId="2E8B0E2D">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37" w:type="dxa"/>
            <w:gridSpan w:val="2"/>
            <w:vAlign w:val="top"/>
          </w:tcPr>
          <w:p w14:paraId="050C3658">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297" w:type="dxa"/>
            <w:vAlign w:val="top"/>
          </w:tcPr>
          <w:p w14:paraId="3D77DCC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55" w:type="dxa"/>
            <w:vAlign w:val="top"/>
          </w:tcPr>
          <w:p w14:paraId="38AF65FD">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425" w:type="dxa"/>
            <w:vAlign w:val="top"/>
          </w:tcPr>
          <w:p w14:paraId="3D27D6E4">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6F8CB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top"/>
          </w:tcPr>
          <w:p w14:paraId="3CC3E49B">
            <w:pPr>
              <w:keepNext w:val="0"/>
              <w:keepLines w:val="0"/>
              <w:pageBreakBefore w:val="0"/>
              <w:widowControl w:val="0"/>
              <w:kinsoku/>
              <w:wordWrap w:val="0"/>
              <w:overflowPunct/>
              <w:topLinePunct/>
              <w:autoSpaceDE/>
              <w:autoSpaceDN/>
              <w:bidi w:val="0"/>
              <w:adjustRightInd w:val="0"/>
              <w:snapToGrid w:val="0"/>
              <w:spacing w:before="213" w:line="195" w:lineRule="auto"/>
              <w:ind w:left="343"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24" w:type="dxa"/>
            <w:gridSpan w:val="2"/>
            <w:vAlign w:val="top"/>
          </w:tcPr>
          <w:p w14:paraId="252C15D7">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37" w:type="dxa"/>
            <w:gridSpan w:val="2"/>
            <w:vAlign w:val="top"/>
          </w:tcPr>
          <w:p w14:paraId="6DF6FD8E">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297" w:type="dxa"/>
            <w:vAlign w:val="top"/>
          </w:tcPr>
          <w:p w14:paraId="498CA2C3">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55" w:type="dxa"/>
            <w:vAlign w:val="top"/>
          </w:tcPr>
          <w:p w14:paraId="6A8C3B75">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425" w:type="dxa"/>
            <w:vAlign w:val="top"/>
          </w:tcPr>
          <w:p w14:paraId="2CC0F4B0">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47D9E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818" w:type="dxa"/>
            <w:vAlign w:val="top"/>
          </w:tcPr>
          <w:p w14:paraId="22E38557">
            <w:pPr>
              <w:keepNext w:val="0"/>
              <w:keepLines w:val="0"/>
              <w:pageBreakBefore w:val="0"/>
              <w:widowControl w:val="0"/>
              <w:kinsoku/>
              <w:wordWrap w:val="0"/>
              <w:overflowPunct/>
              <w:topLinePunct/>
              <w:autoSpaceDE/>
              <w:autoSpaceDN/>
              <w:bidi w:val="0"/>
              <w:adjustRightInd w:val="0"/>
              <w:snapToGrid w:val="0"/>
              <w:spacing w:before="177" w:line="325" w:lineRule="exact"/>
              <w:ind w:left="19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624" w:type="dxa"/>
            <w:gridSpan w:val="2"/>
            <w:vAlign w:val="top"/>
          </w:tcPr>
          <w:p w14:paraId="0E441454">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37" w:type="dxa"/>
            <w:gridSpan w:val="2"/>
            <w:vAlign w:val="top"/>
          </w:tcPr>
          <w:p w14:paraId="05E9ED79">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297" w:type="dxa"/>
            <w:vAlign w:val="top"/>
          </w:tcPr>
          <w:p w14:paraId="50388D60">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55" w:type="dxa"/>
            <w:vAlign w:val="top"/>
          </w:tcPr>
          <w:p w14:paraId="1304667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425" w:type="dxa"/>
            <w:vAlign w:val="top"/>
          </w:tcPr>
          <w:p w14:paraId="1105AA71">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bl>
    <w:p w14:paraId="3D281E9D">
      <w:pPr>
        <w:pStyle w:val="6"/>
        <w:keepNext w:val="0"/>
        <w:keepLines w:val="0"/>
        <w:pageBreakBefore w:val="0"/>
        <w:widowControl w:val="0"/>
        <w:kinsoku/>
        <w:wordWrap w:val="0"/>
        <w:overflowPunct/>
        <w:topLinePunct/>
        <w:autoSpaceDE/>
        <w:autoSpaceDN/>
        <w:bidi w:val="0"/>
        <w:adjustRightInd w:val="0"/>
        <w:snapToGrid w:val="0"/>
        <w:spacing w:line="315" w:lineRule="auto"/>
        <w:ind w:right="84" w:rightChars="40"/>
        <w:rPr>
          <w:rFonts w:hint="eastAsia" w:ascii="宋体" w:hAnsi="宋体" w:eastAsia="宋体" w:cs="宋体"/>
          <w:color w:val="auto"/>
          <w:highlight w:val="none"/>
        </w:rPr>
      </w:pPr>
    </w:p>
    <w:p w14:paraId="582FB0BA">
      <w:pPr>
        <w:keepNext w:val="0"/>
        <w:keepLines w:val="0"/>
        <w:pageBreakBefore w:val="0"/>
        <w:widowControl w:val="0"/>
        <w:kinsoku/>
        <w:wordWrap w:val="0"/>
        <w:overflowPunct/>
        <w:topLinePunct/>
        <w:autoSpaceDE/>
        <w:autoSpaceDN/>
        <w:bidi w:val="0"/>
        <w:adjustRightInd w:val="0"/>
        <w:snapToGrid w:val="0"/>
        <w:spacing w:before="78" w:line="220" w:lineRule="auto"/>
        <w:ind w:left="696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项目经理</w:t>
      </w:r>
      <w:r>
        <w:rPr>
          <w:rFonts w:hint="eastAsia" w:ascii="宋体" w:hAnsi="宋体" w:eastAsia="宋体" w:cs="宋体"/>
          <w:color w:val="auto"/>
          <w:spacing w:val="-18"/>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3"/>
          <w:sz w:val="24"/>
          <w:szCs w:val="24"/>
          <w:highlight w:val="none"/>
        </w:rPr>
        <w:t>签字）</w:t>
      </w:r>
    </w:p>
    <w:p w14:paraId="680B388F">
      <w:pPr>
        <w:pStyle w:val="6"/>
        <w:keepNext w:val="0"/>
        <w:keepLines w:val="0"/>
        <w:pageBreakBefore w:val="0"/>
        <w:widowControl w:val="0"/>
        <w:kinsoku/>
        <w:wordWrap w:val="0"/>
        <w:overflowPunct/>
        <w:topLinePunct/>
        <w:autoSpaceDE/>
        <w:autoSpaceDN/>
        <w:bidi w:val="0"/>
        <w:adjustRightInd w:val="0"/>
        <w:snapToGrid w:val="0"/>
        <w:spacing w:line="256" w:lineRule="auto"/>
        <w:ind w:right="84" w:rightChars="40"/>
        <w:rPr>
          <w:rFonts w:hint="eastAsia" w:ascii="宋体" w:hAnsi="宋体" w:eastAsia="宋体" w:cs="宋体"/>
          <w:color w:val="auto"/>
          <w:highlight w:val="none"/>
        </w:rPr>
      </w:pPr>
    </w:p>
    <w:p w14:paraId="0BD3A601">
      <w:pPr>
        <w:pStyle w:val="6"/>
        <w:keepNext w:val="0"/>
        <w:keepLines w:val="0"/>
        <w:pageBreakBefore w:val="0"/>
        <w:widowControl w:val="0"/>
        <w:kinsoku/>
        <w:wordWrap w:val="0"/>
        <w:overflowPunct/>
        <w:topLinePunct/>
        <w:autoSpaceDE/>
        <w:autoSpaceDN/>
        <w:bidi w:val="0"/>
        <w:adjustRightInd w:val="0"/>
        <w:snapToGrid w:val="0"/>
        <w:spacing w:line="254" w:lineRule="auto"/>
        <w:ind w:right="84" w:rightChars="40"/>
        <w:jc w:val="right"/>
        <w:rPr>
          <w:rFonts w:hint="eastAsia" w:ascii="宋体" w:hAnsi="宋体" w:eastAsia="宋体" w:cs="宋体"/>
          <w:color w:val="auto"/>
          <w:highlight w:val="none"/>
        </w:rPr>
      </w:pPr>
      <w:r>
        <w:rPr>
          <w:rFonts w:hint="eastAsia" w:ascii="宋体" w:hAnsi="宋体" w:eastAsia="宋体" w:cs="宋体"/>
          <w:color w:val="auto"/>
          <w:spacing w:val="-4"/>
          <w:sz w:val="24"/>
          <w:szCs w:val="24"/>
          <w:highlight w:val="none"/>
          <w:lang w:val="en-US" w:eastAsia="zh-CN"/>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8956AC0">
      <w:pPr>
        <w:keepNext w:val="0"/>
        <w:keepLines w:val="0"/>
        <w:pageBreakBefore w:val="0"/>
        <w:widowControl w:val="0"/>
        <w:kinsoku/>
        <w:wordWrap w:val="0"/>
        <w:overflowPunct/>
        <w:topLinePunct/>
        <w:autoSpaceDE/>
        <w:autoSpaceDN/>
        <w:bidi w:val="0"/>
        <w:adjustRightInd w:val="0"/>
        <w:snapToGrid w:val="0"/>
        <w:spacing w:before="78" w:line="220" w:lineRule="auto"/>
        <w:ind w:left="4226" w:right="84" w:rightChars="40"/>
        <w:jc w:val="center"/>
        <w:rPr>
          <w:rFonts w:hint="eastAsia" w:ascii="宋体" w:hAnsi="宋体" w:eastAsia="宋体" w:cs="宋体"/>
          <w:color w:val="auto"/>
          <w:highlight w:val="none"/>
        </w:rPr>
      </w:pPr>
    </w:p>
    <w:p w14:paraId="1EC1E49C">
      <w:pPr>
        <w:pStyle w:val="6"/>
        <w:keepNext w:val="0"/>
        <w:keepLines w:val="0"/>
        <w:pageBreakBefore w:val="0"/>
        <w:widowControl w:val="0"/>
        <w:kinsoku/>
        <w:wordWrap w:val="0"/>
        <w:overflowPunct/>
        <w:topLinePunct/>
        <w:autoSpaceDE/>
        <w:autoSpaceDN/>
        <w:bidi w:val="0"/>
        <w:adjustRightInd w:val="0"/>
        <w:snapToGrid w:val="0"/>
        <w:spacing w:line="241" w:lineRule="auto"/>
        <w:ind w:right="84" w:rightChars="40"/>
        <w:rPr>
          <w:rFonts w:hint="eastAsia" w:ascii="宋体" w:hAnsi="宋体" w:eastAsia="宋体" w:cs="宋体"/>
          <w:color w:val="auto"/>
          <w:highlight w:val="none"/>
        </w:rPr>
      </w:pPr>
    </w:p>
    <w:p w14:paraId="5177F71E">
      <w:pPr>
        <w:keepNext w:val="0"/>
        <w:keepLines w:val="0"/>
        <w:pageBreakBefore w:val="0"/>
        <w:widowControl w:val="0"/>
        <w:kinsoku/>
        <w:wordWrap w:val="0"/>
        <w:overflowPunct/>
        <w:topLinePunct/>
        <w:autoSpaceDE/>
        <w:autoSpaceDN/>
        <w:bidi w:val="0"/>
        <w:adjustRightInd w:val="0"/>
        <w:snapToGrid w:val="0"/>
        <w:spacing w:before="65" w:line="228" w:lineRule="auto"/>
        <w:ind w:left="47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说明：《项目经理简历表》后应附拟派项目经理以下资料：</w:t>
      </w:r>
    </w:p>
    <w:p w14:paraId="7156B056">
      <w:pPr>
        <w:keepNext w:val="0"/>
        <w:keepLines w:val="0"/>
        <w:pageBreakBefore w:val="0"/>
        <w:widowControl w:val="0"/>
        <w:kinsoku/>
        <w:wordWrap w:val="0"/>
        <w:overflowPunct/>
        <w:topLinePunct/>
        <w:autoSpaceDE/>
        <w:autoSpaceDN/>
        <w:bidi w:val="0"/>
        <w:adjustRightInd w:val="0"/>
        <w:snapToGrid w:val="0"/>
        <w:spacing w:before="152" w:line="228" w:lineRule="auto"/>
        <w:ind w:left="484" w:right="84" w:rightChars="40"/>
        <w:outlineLvl w:val="9"/>
        <w:rPr>
          <w:rFonts w:hint="eastAsia" w:ascii="宋体" w:hAnsi="宋体" w:eastAsia="宋体" w:cs="宋体"/>
          <w:color w:val="auto"/>
          <w:sz w:val="24"/>
          <w:szCs w:val="24"/>
          <w:highlight w:val="none"/>
        </w:rPr>
      </w:pPr>
      <w:bookmarkStart w:id="223" w:name="_Toc25271"/>
      <w:bookmarkStart w:id="224" w:name="_Toc1942"/>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3"/>
          <w:sz w:val="24"/>
          <w:szCs w:val="24"/>
          <w:highlight w:val="none"/>
        </w:rPr>
        <w:t>．身份证彩色扫描件；</w:t>
      </w:r>
      <w:bookmarkEnd w:id="223"/>
      <w:bookmarkEnd w:id="224"/>
    </w:p>
    <w:p w14:paraId="47DCFA21">
      <w:pPr>
        <w:keepNext w:val="0"/>
        <w:keepLines w:val="0"/>
        <w:pageBreakBefore w:val="0"/>
        <w:widowControl w:val="0"/>
        <w:kinsoku/>
        <w:wordWrap w:val="0"/>
        <w:overflowPunct/>
        <w:topLinePunct/>
        <w:autoSpaceDE/>
        <w:autoSpaceDN/>
        <w:bidi w:val="0"/>
        <w:adjustRightInd w:val="0"/>
        <w:snapToGrid w:val="0"/>
        <w:spacing w:before="153" w:line="228" w:lineRule="auto"/>
        <w:ind w:left="46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8"/>
          <w:sz w:val="24"/>
          <w:szCs w:val="24"/>
          <w:highlight w:val="none"/>
        </w:rPr>
        <w:t>．建造师电子注册证书（在使用有效期内的有效电子证书）彩色扫描件；</w:t>
      </w:r>
    </w:p>
    <w:p w14:paraId="1F92F11D">
      <w:pPr>
        <w:keepNext w:val="0"/>
        <w:keepLines w:val="0"/>
        <w:pageBreakBefore w:val="0"/>
        <w:widowControl w:val="0"/>
        <w:kinsoku/>
        <w:wordWrap w:val="0"/>
        <w:overflowPunct/>
        <w:topLinePunct/>
        <w:autoSpaceDE/>
        <w:autoSpaceDN/>
        <w:bidi w:val="0"/>
        <w:adjustRightInd w:val="0"/>
        <w:snapToGrid w:val="0"/>
        <w:spacing w:before="154" w:line="298" w:lineRule="auto"/>
        <w:ind w:left="50" w:right="84" w:rightChars="40" w:firstLine="41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lang w:eastAsia="zh-CN"/>
        </w:rPr>
        <w:t>3.</w:t>
      </w:r>
      <w:r>
        <w:rPr>
          <w:rFonts w:hint="eastAsia" w:ascii="宋体" w:hAnsi="宋体" w:eastAsia="宋体" w:cs="宋体"/>
          <w:color w:val="auto"/>
          <w:spacing w:val="8"/>
          <w:sz w:val="24"/>
          <w:szCs w:val="24"/>
          <w:highlight w:val="none"/>
        </w:rPr>
        <w:t>B类安全生产考核合格证书彩色扫描件或广东省建筑施工企业管理人员安全生产考核系统考</w:t>
      </w:r>
      <w:r>
        <w:rPr>
          <w:rFonts w:hint="eastAsia" w:ascii="宋体" w:hAnsi="宋体" w:eastAsia="宋体" w:cs="宋体"/>
          <w:color w:val="auto"/>
          <w:spacing w:val="7"/>
          <w:sz w:val="24"/>
          <w:szCs w:val="24"/>
          <w:highlight w:val="none"/>
        </w:rPr>
        <w:t>核合格信息彩色扫描件；</w:t>
      </w:r>
    </w:p>
    <w:p w14:paraId="35E61452">
      <w:pPr>
        <w:keepNext w:val="0"/>
        <w:keepLines w:val="0"/>
        <w:pageBreakBefore w:val="0"/>
        <w:widowControl w:val="0"/>
        <w:kinsoku/>
        <w:wordWrap w:val="0"/>
        <w:overflowPunct/>
        <w:topLinePunct/>
        <w:autoSpaceDE/>
        <w:autoSpaceDN/>
        <w:bidi w:val="0"/>
        <w:adjustRightInd w:val="0"/>
        <w:snapToGrid w:val="0"/>
        <w:spacing w:before="153" w:line="299" w:lineRule="auto"/>
        <w:ind w:left="49" w:right="84" w:rightChars="40" w:firstLine="413"/>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20"/>
          <w:sz w:val="24"/>
          <w:szCs w:val="24"/>
          <w:highlight w:val="none"/>
        </w:rPr>
        <w:t xml:space="preserve"> </w:t>
      </w:r>
      <w:r>
        <w:rPr>
          <w:rFonts w:hint="eastAsia" w:ascii="宋体" w:hAnsi="宋体" w:eastAsia="宋体" w:cs="宋体"/>
          <w:color w:val="auto"/>
          <w:spacing w:val="8"/>
          <w:sz w:val="24"/>
          <w:szCs w:val="24"/>
          <w:highlight w:val="none"/>
        </w:rPr>
        <w:t>．在本单位缴纳社保</w:t>
      </w:r>
      <w:r>
        <w:rPr>
          <w:rFonts w:hint="eastAsia" w:ascii="宋体" w:hAnsi="宋体" w:eastAsia="宋体" w:cs="宋体"/>
          <w:color w:val="auto"/>
          <w:sz w:val="24"/>
          <w:szCs w:val="24"/>
          <w:highlight w:val="none"/>
          <w:lang w:eastAsia="zh-CN"/>
        </w:rPr>
        <w:t>的证明（至少连续三个月，其中必须有2025年10月）</w:t>
      </w:r>
      <w:r>
        <w:rPr>
          <w:rFonts w:hint="eastAsia" w:ascii="宋体" w:hAnsi="宋体" w:eastAsia="宋体" w:cs="宋体"/>
          <w:color w:val="auto"/>
          <w:spacing w:val="8"/>
          <w:sz w:val="24"/>
          <w:szCs w:val="24"/>
          <w:highlight w:val="none"/>
        </w:rPr>
        <w:t>彩色扫描件或打印件。拟</w:t>
      </w:r>
      <w:r>
        <w:rPr>
          <w:rFonts w:hint="eastAsia" w:ascii="宋体" w:hAnsi="宋体" w:eastAsia="宋体" w:cs="宋体"/>
          <w:color w:val="auto"/>
          <w:spacing w:val="9"/>
          <w:sz w:val="24"/>
          <w:szCs w:val="24"/>
          <w:highlight w:val="none"/>
        </w:rPr>
        <w:t>派项目经理为退休返聘人员无法提供社保证明的，提供退休证和劳动合同彩色扫描件。</w:t>
      </w:r>
    </w:p>
    <w:p w14:paraId="2AAFB0D9">
      <w:pPr>
        <w:keepNext w:val="0"/>
        <w:keepLines w:val="0"/>
        <w:pageBreakBefore w:val="0"/>
        <w:widowControl w:val="0"/>
        <w:kinsoku/>
        <w:wordWrap w:val="0"/>
        <w:overflowPunct/>
        <w:topLinePunct/>
        <w:autoSpaceDE/>
        <w:autoSpaceDN/>
        <w:bidi w:val="0"/>
        <w:adjustRightInd w:val="0"/>
        <w:snapToGrid w:val="0"/>
        <w:spacing w:before="150" w:line="300" w:lineRule="auto"/>
        <w:ind w:left="49" w:right="84" w:rightChars="40" w:firstLine="42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5</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7"/>
          <w:sz w:val="24"/>
          <w:szCs w:val="24"/>
          <w:highlight w:val="none"/>
        </w:rPr>
        <w:t>．“进粤企业和人员诚信信息登记平台</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7"/>
          <w:sz w:val="24"/>
          <w:szCs w:val="24"/>
          <w:highlight w:val="none"/>
        </w:rPr>
        <w:t>”个人信息</w:t>
      </w:r>
      <w:r>
        <w:rPr>
          <w:rFonts w:hint="eastAsia" w:ascii="宋体" w:hAnsi="宋体" w:eastAsia="宋体" w:cs="宋体"/>
          <w:color w:val="auto"/>
          <w:spacing w:val="6"/>
          <w:sz w:val="24"/>
          <w:szCs w:val="24"/>
          <w:highlight w:val="none"/>
        </w:rPr>
        <w:t>情况截图。（适用于省外建</w:t>
      </w:r>
      <w:r>
        <w:rPr>
          <w:rFonts w:hint="eastAsia" w:ascii="宋体" w:hAnsi="宋体" w:eastAsia="宋体" w:cs="宋体"/>
          <w:color w:val="auto"/>
          <w:spacing w:val="4"/>
          <w:sz w:val="24"/>
          <w:szCs w:val="24"/>
          <w:highlight w:val="none"/>
        </w:rPr>
        <w:t>筑企业）</w:t>
      </w:r>
    </w:p>
    <w:p w14:paraId="7FB47615">
      <w:pPr>
        <w:keepNext w:val="0"/>
        <w:keepLines w:val="0"/>
        <w:pageBreakBefore w:val="0"/>
        <w:widowControl w:val="0"/>
        <w:kinsoku/>
        <w:wordWrap w:val="0"/>
        <w:overflowPunct/>
        <w:topLinePunct/>
        <w:autoSpaceDE/>
        <w:autoSpaceDN/>
        <w:bidi w:val="0"/>
        <w:adjustRightInd w:val="0"/>
        <w:snapToGrid w:val="0"/>
        <w:spacing w:line="300" w:lineRule="auto"/>
        <w:ind w:right="84" w:rightChars="40"/>
        <w:rPr>
          <w:rFonts w:hint="eastAsia" w:ascii="宋体" w:hAnsi="宋体" w:eastAsia="宋体" w:cs="宋体"/>
          <w:color w:val="auto"/>
          <w:sz w:val="20"/>
          <w:szCs w:val="20"/>
          <w:highlight w:val="none"/>
        </w:rPr>
        <w:sectPr>
          <w:footerReference r:id="rId19"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01698A38">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25" w:name="_Toc12898"/>
      <w:r>
        <w:rPr>
          <w:rFonts w:hint="eastAsia" w:ascii="宋体" w:hAnsi="宋体" w:eastAsia="宋体" w:cs="宋体"/>
          <w:b/>
          <w:bCs/>
          <w:color w:val="auto"/>
          <w:spacing w:val="-4"/>
          <w:sz w:val="24"/>
          <w:szCs w:val="24"/>
          <w:highlight w:val="none"/>
        </w:rPr>
        <w:t>格式九 项目经理任职声明</w:t>
      </w:r>
      <w:bookmarkEnd w:id="225"/>
    </w:p>
    <w:p w14:paraId="13C0954D">
      <w:pPr>
        <w:pStyle w:val="6"/>
        <w:keepNext w:val="0"/>
        <w:keepLines w:val="0"/>
        <w:pageBreakBefore w:val="0"/>
        <w:widowControl w:val="0"/>
        <w:kinsoku/>
        <w:wordWrap w:val="0"/>
        <w:overflowPunct/>
        <w:topLinePunct/>
        <w:autoSpaceDE/>
        <w:autoSpaceDN/>
        <w:bidi w:val="0"/>
        <w:adjustRightInd w:val="0"/>
        <w:snapToGrid w:val="0"/>
        <w:spacing w:line="350" w:lineRule="auto"/>
        <w:ind w:right="84" w:rightChars="40"/>
        <w:rPr>
          <w:rFonts w:hint="eastAsia" w:ascii="宋体" w:hAnsi="宋体" w:eastAsia="宋体" w:cs="宋体"/>
          <w:color w:val="auto"/>
          <w:highlight w:val="none"/>
        </w:rPr>
      </w:pPr>
    </w:p>
    <w:p w14:paraId="7378010F">
      <w:pPr>
        <w:pStyle w:val="6"/>
        <w:keepNext w:val="0"/>
        <w:keepLines w:val="0"/>
        <w:pageBreakBefore w:val="0"/>
        <w:widowControl w:val="0"/>
        <w:kinsoku/>
        <w:wordWrap w:val="0"/>
        <w:overflowPunct/>
        <w:topLinePunct/>
        <w:autoSpaceDE/>
        <w:autoSpaceDN/>
        <w:bidi w:val="0"/>
        <w:adjustRightInd w:val="0"/>
        <w:snapToGrid w:val="0"/>
        <w:spacing w:line="350" w:lineRule="auto"/>
        <w:ind w:right="84" w:rightChars="40"/>
        <w:rPr>
          <w:rFonts w:hint="eastAsia" w:ascii="宋体" w:hAnsi="宋体" w:eastAsia="宋体" w:cs="宋体"/>
          <w:color w:val="auto"/>
          <w:highlight w:val="none"/>
        </w:rPr>
      </w:pPr>
    </w:p>
    <w:p w14:paraId="26D90D56">
      <w:pPr>
        <w:keepNext w:val="0"/>
        <w:keepLines w:val="0"/>
        <w:pageBreakBefore w:val="0"/>
        <w:widowControl w:val="0"/>
        <w:kinsoku/>
        <w:wordWrap w:val="0"/>
        <w:overflowPunct/>
        <w:topLinePunct/>
        <w:autoSpaceDE/>
        <w:autoSpaceDN/>
        <w:bidi w:val="0"/>
        <w:adjustRightInd w:val="0"/>
        <w:snapToGrid w:val="0"/>
        <w:spacing w:before="98" w:line="220" w:lineRule="auto"/>
        <w:ind w:left="3338" w:right="84" w:rightChars="40"/>
        <w:rPr>
          <w:rFonts w:hint="eastAsia" w:ascii="宋体" w:hAnsi="宋体" w:eastAsia="宋体" w:cs="宋体"/>
          <w:color w:val="auto"/>
          <w:sz w:val="30"/>
          <w:szCs w:val="30"/>
          <w:highlight w:val="none"/>
        </w:rPr>
      </w:pPr>
      <w:bookmarkStart w:id="226" w:name="bookmark157"/>
      <w:bookmarkEnd w:id="226"/>
      <w:r>
        <w:rPr>
          <w:rFonts w:hint="eastAsia" w:ascii="宋体" w:hAnsi="宋体" w:eastAsia="宋体" w:cs="宋体"/>
          <w:b/>
          <w:bCs/>
          <w:color w:val="auto"/>
          <w:spacing w:val="-5"/>
          <w:sz w:val="30"/>
          <w:szCs w:val="30"/>
          <w:highlight w:val="none"/>
        </w:rPr>
        <w:t>项目经理任职声明</w:t>
      </w:r>
    </w:p>
    <w:p w14:paraId="3CC93CA6">
      <w:pPr>
        <w:pStyle w:val="6"/>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14:paraId="66C675B1">
      <w:pPr>
        <w:pStyle w:val="6"/>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14:paraId="321C1758">
      <w:pPr>
        <w:pStyle w:val="6"/>
        <w:keepNext w:val="0"/>
        <w:keepLines w:val="0"/>
        <w:pageBreakBefore w:val="0"/>
        <w:widowControl w:val="0"/>
        <w:kinsoku/>
        <w:wordWrap w:val="0"/>
        <w:overflowPunct/>
        <w:topLinePunct/>
        <w:autoSpaceDE/>
        <w:autoSpaceDN/>
        <w:bidi w:val="0"/>
        <w:adjustRightInd w:val="0"/>
        <w:snapToGrid w:val="0"/>
        <w:spacing w:line="251" w:lineRule="auto"/>
        <w:ind w:right="84" w:rightChars="40"/>
        <w:rPr>
          <w:rFonts w:hint="eastAsia" w:ascii="宋体" w:hAnsi="宋体" w:eastAsia="宋体" w:cs="宋体"/>
          <w:color w:val="auto"/>
          <w:highlight w:val="none"/>
        </w:rPr>
      </w:pPr>
    </w:p>
    <w:p w14:paraId="472334D7">
      <w:pPr>
        <w:keepNext w:val="0"/>
        <w:keepLines w:val="0"/>
        <w:pageBreakBefore w:val="0"/>
        <w:widowControl w:val="0"/>
        <w:kinsoku/>
        <w:wordWrap w:val="0"/>
        <w:overflowPunct/>
        <w:topLinePunct/>
        <w:autoSpaceDE/>
        <w:autoSpaceDN/>
        <w:bidi w:val="0"/>
        <w:adjustRightInd w:val="0"/>
        <w:snapToGrid w:val="0"/>
        <w:spacing w:before="78" w:line="221" w:lineRule="auto"/>
        <w:ind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致</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17"/>
          <w:sz w:val="24"/>
          <w:szCs w:val="24"/>
          <w:highlight w:val="none"/>
          <w:u w:val="single"/>
          <w:lang w:val="en-US" w:eastAsia="zh-CN"/>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9"/>
          <w:sz w:val="24"/>
          <w:szCs w:val="24"/>
          <w:highlight w:val="none"/>
        </w:rPr>
        <w:t>招标人名称</w:t>
      </w:r>
      <w:r>
        <w:rPr>
          <w:rFonts w:hint="eastAsia" w:ascii="宋体" w:hAnsi="宋体" w:eastAsia="宋体" w:cs="宋体"/>
          <w:color w:val="auto"/>
          <w:spacing w:val="-17"/>
          <w:sz w:val="24"/>
          <w:szCs w:val="24"/>
          <w:highlight w:val="none"/>
        </w:rPr>
        <w:t>）</w:t>
      </w:r>
    </w:p>
    <w:p w14:paraId="3FADC8ED">
      <w:pPr>
        <w:keepNext w:val="0"/>
        <w:keepLines w:val="0"/>
        <w:pageBreakBefore w:val="0"/>
        <w:widowControl w:val="0"/>
        <w:kinsoku/>
        <w:wordWrap w:val="0"/>
        <w:overflowPunct/>
        <w:topLinePunct/>
        <w:autoSpaceDE/>
        <w:autoSpaceDN/>
        <w:bidi w:val="0"/>
        <w:adjustRightInd w:val="0"/>
        <w:snapToGrid w:val="0"/>
        <w:spacing w:before="155" w:line="324" w:lineRule="auto"/>
        <w:ind w:right="84" w:rightChars="40"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我方在此声明，我方拟派往</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（项目名称）的项目经理</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（项目经理姓名）现阶段没有</w:t>
      </w:r>
      <w:r>
        <w:rPr>
          <w:rFonts w:hint="eastAsia" w:ascii="宋体" w:hAnsi="宋体" w:eastAsia="宋体" w:cs="宋体"/>
          <w:color w:val="auto"/>
          <w:sz w:val="24"/>
          <w:szCs w:val="24"/>
          <w:highlight w:val="none"/>
        </w:rPr>
        <w:t>担任任何在施（包括已中标未开工、已开工未竣工）</w:t>
      </w:r>
      <w:r>
        <w:rPr>
          <w:rFonts w:hint="eastAsia" w:ascii="宋体" w:hAnsi="宋体" w:eastAsia="宋体" w:cs="宋体"/>
          <w:color w:val="auto"/>
          <w:spacing w:val="-1"/>
          <w:sz w:val="24"/>
          <w:szCs w:val="24"/>
          <w:highlight w:val="none"/>
        </w:rPr>
        <w:t>建设工程项目的项目经理。</w:t>
      </w:r>
    </w:p>
    <w:p w14:paraId="5A3E49A8">
      <w:pPr>
        <w:keepNext w:val="0"/>
        <w:keepLines w:val="0"/>
        <w:pageBreakBefore w:val="0"/>
        <w:widowControl w:val="0"/>
        <w:kinsoku/>
        <w:wordWrap w:val="0"/>
        <w:overflowPunct/>
        <w:topLinePunct/>
        <w:autoSpaceDE/>
        <w:autoSpaceDN/>
        <w:bidi w:val="0"/>
        <w:adjustRightInd w:val="0"/>
        <w:snapToGrid w:val="0"/>
        <w:spacing w:before="35" w:line="326" w:lineRule="auto"/>
        <w:ind w:right="84" w:rightChars="40"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我方保证上述信息的真实和准确，并愿意承担因我方就此弄虚作假所引起的一切法</w:t>
      </w:r>
      <w:r>
        <w:rPr>
          <w:rFonts w:hint="eastAsia" w:ascii="宋体" w:hAnsi="宋体" w:eastAsia="宋体" w:cs="宋体"/>
          <w:color w:val="auto"/>
          <w:spacing w:val="-3"/>
          <w:sz w:val="24"/>
          <w:szCs w:val="24"/>
          <w:highlight w:val="none"/>
        </w:rPr>
        <w:t>律后果。</w:t>
      </w:r>
    </w:p>
    <w:p w14:paraId="364F0ABB">
      <w:pPr>
        <w:pStyle w:val="6"/>
        <w:keepNext w:val="0"/>
        <w:keepLines w:val="0"/>
        <w:pageBreakBefore w:val="0"/>
        <w:widowControl w:val="0"/>
        <w:kinsoku/>
        <w:wordWrap w:val="0"/>
        <w:overflowPunct/>
        <w:topLinePunct/>
        <w:autoSpaceDE/>
        <w:autoSpaceDN/>
        <w:bidi w:val="0"/>
        <w:adjustRightInd w:val="0"/>
        <w:snapToGrid w:val="0"/>
        <w:spacing w:line="391" w:lineRule="auto"/>
        <w:ind w:right="84" w:rightChars="40"/>
        <w:rPr>
          <w:rFonts w:hint="eastAsia" w:ascii="宋体" w:hAnsi="宋体" w:eastAsia="宋体" w:cs="宋体"/>
          <w:color w:val="auto"/>
          <w:highlight w:val="none"/>
        </w:rPr>
      </w:pPr>
    </w:p>
    <w:p w14:paraId="42B3FE2B">
      <w:pPr>
        <w:keepNext w:val="0"/>
        <w:keepLines w:val="0"/>
        <w:pageBreakBefore w:val="0"/>
        <w:widowControl w:val="0"/>
        <w:kinsoku/>
        <w:wordWrap w:val="0"/>
        <w:overflowPunct/>
        <w:topLinePunct/>
        <w:autoSpaceDE/>
        <w:autoSpaceDN/>
        <w:bidi w:val="0"/>
        <w:adjustRightInd w:val="0"/>
        <w:snapToGrid w:val="0"/>
        <w:spacing w:before="78" w:line="220" w:lineRule="auto"/>
        <w:ind w:left="48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特此承诺</w:t>
      </w:r>
    </w:p>
    <w:p w14:paraId="3317B315">
      <w:pPr>
        <w:pStyle w:val="6"/>
        <w:keepNext w:val="0"/>
        <w:keepLines w:val="0"/>
        <w:pageBreakBefore w:val="0"/>
        <w:widowControl w:val="0"/>
        <w:kinsoku/>
        <w:wordWrap w:val="0"/>
        <w:overflowPunct/>
        <w:topLinePunct/>
        <w:autoSpaceDE/>
        <w:autoSpaceDN/>
        <w:bidi w:val="0"/>
        <w:adjustRightInd w:val="0"/>
        <w:snapToGrid w:val="0"/>
        <w:spacing w:line="316" w:lineRule="auto"/>
        <w:ind w:right="84" w:rightChars="40"/>
        <w:rPr>
          <w:rFonts w:hint="eastAsia" w:ascii="宋体" w:hAnsi="宋体" w:eastAsia="宋体" w:cs="宋体"/>
          <w:color w:val="auto"/>
          <w:highlight w:val="none"/>
        </w:rPr>
      </w:pPr>
    </w:p>
    <w:p w14:paraId="431EA649">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rPr>
          <w:rFonts w:hint="eastAsia" w:ascii="宋体" w:hAnsi="宋体" w:eastAsia="宋体" w:cs="宋体"/>
          <w:color w:val="auto"/>
          <w:highlight w:val="none"/>
        </w:rPr>
      </w:pPr>
    </w:p>
    <w:p w14:paraId="219BDB07">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rPr>
          <w:rFonts w:hint="eastAsia" w:ascii="宋体" w:hAnsi="宋体" w:eastAsia="宋体" w:cs="宋体"/>
          <w:color w:val="auto"/>
          <w:highlight w:val="none"/>
        </w:rPr>
      </w:pPr>
    </w:p>
    <w:p w14:paraId="2A3D6FF7">
      <w:pPr>
        <w:keepNext w:val="0"/>
        <w:keepLines w:val="0"/>
        <w:pageBreakBefore w:val="0"/>
        <w:widowControl w:val="0"/>
        <w:kinsoku/>
        <w:wordWrap w:val="0"/>
        <w:overflowPunct/>
        <w:topLinePunct/>
        <w:autoSpaceDE/>
        <w:autoSpaceDN/>
        <w:bidi w:val="0"/>
        <w:adjustRightInd w:val="0"/>
        <w:snapToGrid w:val="0"/>
        <w:spacing w:before="79" w:line="219" w:lineRule="auto"/>
        <w:ind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25508BD0">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rPr>
          <w:rFonts w:hint="eastAsia" w:ascii="宋体" w:hAnsi="宋体" w:eastAsia="宋体" w:cs="宋体"/>
          <w:color w:val="auto"/>
          <w:highlight w:val="none"/>
        </w:rPr>
      </w:pPr>
    </w:p>
    <w:p w14:paraId="67D5DA51">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rPr>
          <w:rFonts w:hint="eastAsia" w:ascii="宋体" w:hAnsi="宋体" w:eastAsia="宋体" w:cs="宋体"/>
          <w:color w:val="auto"/>
          <w:highlight w:val="none"/>
        </w:rPr>
      </w:pPr>
    </w:p>
    <w:p w14:paraId="3E20AAE2">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rPr>
          <w:rFonts w:hint="eastAsia" w:ascii="宋体" w:hAnsi="宋体" w:eastAsia="宋体" w:cs="宋体"/>
          <w:color w:val="auto"/>
          <w:highlight w:val="none"/>
        </w:rPr>
      </w:pPr>
    </w:p>
    <w:p w14:paraId="1910CA70">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0A76B6DD">
      <w:pPr>
        <w:pStyle w:val="6"/>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2BD42591">
      <w:pPr>
        <w:pStyle w:val="6"/>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2DF9C577">
      <w:pPr>
        <w:pStyle w:val="6"/>
        <w:keepNext w:val="0"/>
        <w:keepLines w:val="0"/>
        <w:pageBreakBefore w:val="0"/>
        <w:widowControl w:val="0"/>
        <w:kinsoku/>
        <w:wordWrap w:val="0"/>
        <w:overflowPunct/>
        <w:topLinePunct/>
        <w:autoSpaceDE/>
        <w:autoSpaceDN/>
        <w:bidi w:val="0"/>
        <w:adjustRightInd w:val="0"/>
        <w:snapToGrid w:val="0"/>
        <w:spacing w:line="254" w:lineRule="auto"/>
        <w:ind w:right="84" w:rightChars="40"/>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55AFB66E">
      <w:pPr>
        <w:keepNext w:val="0"/>
        <w:keepLines w:val="0"/>
        <w:pageBreakBefore w:val="0"/>
        <w:widowControl w:val="0"/>
        <w:kinsoku/>
        <w:wordWrap w:val="0"/>
        <w:overflowPunct/>
        <w:topLinePunct/>
        <w:autoSpaceDE/>
        <w:autoSpaceDN/>
        <w:bidi w:val="0"/>
        <w:adjustRightInd w:val="0"/>
        <w:snapToGrid w:val="0"/>
        <w:spacing w:line="220" w:lineRule="auto"/>
        <w:ind w:right="84" w:rightChars="40"/>
        <w:rPr>
          <w:rFonts w:hint="eastAsia" w:ascii="宋体" w:hAnsi="宋体" w:eastAsia="宋体" w:cs="宋体"/>
          <w:color w:val="auto"/>
          <w:sz w:val="24"/>
          <w:szCs w:val="24"/>
          <w:highlight w:val="none"/>
        </w:rPr>
        <w:sectPr>
          <w:footerReference r:id="rId20"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78F5D732">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27" w:name="_Toc6986"/>
      <w:r>
        <w:rPr>
          <w:rFonts w:hint="eastAsia" w:ascii="宋体" w:hAnsi="宋体" w:eastAsia="宋体" w:cs="宋体"/>
          <w:b/>
          <w:bCs/>
          <w:color w:val="auto"/>
          <w:spacing w:val="-4"/>
          <w:sz w:val="24"/>
          <w:szCs w:val="24"/>
          <w:highlight w:val="none"/>
        </w:rPr>
        <w:t>格式十 项目技术负责人简历表</w:t>
      </w:r>
      <w:bookmarkEnd w:id="227"/>
    </w:p>
    <w:p w14:paraId="050271EC">
      <w:pPr>
        <w:pStyle w:val="6"/>
        <w:keepNext w:val="0"/>
        <w:keepLines w:val="0"/>
        <w:pageBreakBefore w:val="0"/>
        <w:widowControl w:val="0"/>
        <w:kinsoku/>
        <w:wordWrap w:val="0"/>
        <w:overflowPunct/>
        <w:topLinePunct/>
        <w:autoSpaceDE/>
        <w:autoSpaceDN/>
        <w:bidi w:val="0"/>
        <w:adjustRightInd w:val="0"/>
        <w:snapToGrid w:val="0"/>
        <w:spacing w:line="444" w:lineRule="auto"/>
        <w:ind w:right="84" w:rightChars="40"/>
        <w:rPr>
          <w:rFonts w:hint="eastAsia" w:ascii="宋体" w:hAnsi="宋体" w:eastAsia="宋体" w:cs="宋体"/>
          <w:color w:val="auto"/>
          <w:highlight w:val="none"/>
        </w:rPr>
      </w:pPr>
    </w:p>
    <w:p w14:paraId="1234BD80">
      <w:pPr>
        <w:keepNext w:val="0"/>
        <w:keepLines w:val="0"/>
        <w:pageBreakBefore w:val="0"/>
        <w:widowControl w:val="0"/>
        <w:kinsoku/>
        <w:wordWrap w:val="0"/>
        <w:overflowPunct/>
        <w:topLinePunct/>
        <w:autoSpaceDE/>
        <w:autoSpaceDN/>
        <w:bidi w:val="0"/>
        <w:adjustRightInd w:val="0"/>
        <w:snapToGrid w:val="0"/>
        <w:spacing w:before="97" w:line="219" w:lineRule="auto"/>
        <w:ind w:left="3087" w:right="84" w:rightChars="40"/>
        <w:outlineLvl w:val="9"/>
        <w:rPr>
          <w:rFonts w:hint="eastAsia" w:ascii="宋体" w:hAnsi="宋体" w:eastAsia="宋体" w:cs="宋体"/>
          <w:color w:val="auto"/>
          <w:sz w:val="30"/>
          <w:szCs w:val="30"/>
          <w:highlight w:val="none"/>
        </w:rPr>
      </w:pPr>
      <w:bookmarkStart w:id="228" w:name="_Toc25712"/>
      <w:bookmarkStart w:id="229" w:name="_Toc1553"/>
      <w:r>
        <w:rPr>
          <w:rFonts w:hint="eastAsia" w:ascii="宋体" w:hAnsi="宋体" w:eastAsia="宋体" w:cs="宋体"/>
          <w:b/>
          <w:bCs/>
          <w:color w:val="auto"/>
          <w:spacing w:val="-4"/>
          <w:sz w:val="30"/>
          <w:szCs w:val="30"/>
          <w:highlight w:val="none"/>
        </w:rPr>
        <w:t>项目技术负责人简历表</w:t>
      </w:r>
      <w:bookmarkEnd w:id="228"/>
      <w:bookmarkEnd w:id="229"/>
    </w:p>
    <w:p w14:paraId="2E07CC3E">
      <w:pPr>
        <w:keepNext w:val="0"/>
        <w:keepLines w:val="0"/>
        <w:pageBreakBefore w:val="0"/>
        <w:widowControl w:val="0"/>
        <w:kinsoku/>
        <w:wordWrap w:val="0"/>
        <w:overflowPunct/>
        <w:topLinePunct/>
        <w:autoSpaceDE/>
        <w:autoSpaceDN/>
        <w:bidi w:val="0"/>
        <w:adjustRightInd w:val="0"/>
        <w:snapToGrid w:val="0"/>
        <w:spacing w:line="240" w:lineRule="exact"/>
        <w:ind w:right="84" w:rightChars="40"/>
        <w:rPr>
          <w:rFonts w:hint="eastAsia" w:ascii="宋体" w:hAnsi="宋体" w:eastAsia="宋体" w:cs="宋体"/>
          <w:color w:val="auto"/>
          <w:highlight w:val="none"/>
        </w:rPr>
      </w:pPr>
    </w:p>
    <w:tbl>
      <w:tblPr>
        <w:tblStyle w:val="15"/>
        <w:tblW w:w="96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154"/>
        <w:gridCol w:w="456"/>
        <w:gridCol w:w="675"/>
        <w:gridCol w:w="1346"/>
        <w:gridCol w:w="2047"/>
        <w:gridCol w:w="1783"/>
        <w:gridCol w:w="1386"/>
      </w:tblGrid>
      <w:tr w14:paraId="534E3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jc w:val="center"/>
        </w:trPr>
        <w:tc>
          <w:tcPr>
            <w:tcW w:w="1964" w:type="dxa"/>
            <w:gridSpan w:val="2"/>
            <w:vAlign w:val="top"/>
          </w:tcPr>
          <w:p w14:paraId="4D37881B">
            <w:pPr>
              <w:keepNext w:val="0"/>
              <w:keepLines w:val="0"/>
              <w:pageBreakBefore w:val="0"/>
              <w:widowControl w:val="0"/>
              <w:kinsoku/>
              <w:wordWrap w:val="0"/>
              <w:overflowPunct/>
              <w:topLinePunct/>
              <w:autoSpaceDE/>
              <w:autoSpaceDN/>
              <w:bidi w:val="0"/>
              <w:adjustRightInd w:val="0"/>
              <w:snapToGrid w:val="0"/>
              <w:spacing w:before="177" w:line="228" w:lineRule="auto"/>
              <w:ind w:left="508"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名</w:t>
            </w:r>
          </w:p>
        </w:tc>
        <w:tc>
          <w:tcPr>
            <w:tcW w:w="1131" w:type="dxa"/>
            <w:gridSpan w:val="2"/>
            <w:vAlign w:val="top"/>
          </w:tcPr>
          <w:p w14:paraId="14954DEE">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46" w:type="dxa"/>
            <w:vAlign w:val="top"/>
          </w:tcPr>
          <w:p w14:paraId="78CBDCE4">
            <w:pPr>
              <w:keepNext w:val="0"/>
              <w:keepLines w:val="0"/>
              <w:pageBreakBefore w:val="0"/>
              <w:widowControl w:val="0"/>
              <w:kinsoku/>
              <w:wordWrap w:val="0"/>
              <w:overflowPunct/>
              <w:topLinePunct/>
              <w:autoSpaceDE/>
              <w:autoSpaceDN/>
              <w:bidi w:val="0"/>
              <w:adjustRightInd w:val="0"/>
              <w:snapToGrid w:val="0"/>
              <w:spacing w:before="177" w:line="229" w:lineRule="auto"/>
              <w:ind w:left="336"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别</w:t>
            </w:r>
          </w:p>
        </w:tc>
        <w:tc>
          <w:tcPr>
            <w:tcW w:w="2047" w:type="dxa"/>
            <w:vAlign w:val="top"/>
          </w:tcPr>
          <w:p w14:paraId="3EBB7F5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14:paraId="2C077D2F">
            <w:pPr>
              <w:keepNext w:val="0"/>
              <w:keepLines w:val="0"/>
              <w:pageBreakBefore w:val="0"/>
              <w:widowControl w:val="0"/>
              <w:kinsoku/>
              <w:wordWrap w:val="0"/>
              <w:overflowPunct/>
              <w:topLinePunct/>
              <w:autoSpaceDE/>
              <w:autoSpaceDN/>
              <w:bidi w:val="0"/>
              <w:adjustRightInd w:val="0"/>
              <w:snapToGrid w:val="0"/>
              <w:spacing w:before="177" w:line="228" w:lineRule="auto"/>
              <w:ind w:left="487"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龄</w:t>
            </w:r>
          </w:p>
        </w:tc>
        <w:tc>
          <w:tcPr>
            <w:tcW w:w="1386" w:type="dxa"/>
            <w:vAlign w:val="top"/>
          </w:tcPr>
          <w:p w14:paraId="7A81E159">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65D9E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1964" w:type="dxa"/>
            <w:gridSpan w:val="2"/>
            <w:vAlign w:val="top"/>
          </w:tcPr>
          <w:p w14:paraId="712FEE99">
            <w:pPr>
              <w:keepNext w:val="0"/>
              <w:keepLines w:val="0"/>
              <w:pageBreakBefore w:val="0"/>
              <w:widowControl w:val="0"/>
              <w:kinsoku/>
              <w:wordWrap w:val="0"/>
              <w:overflowPunct/>
              <w:topLinePunct/>
              <w:autoSpaceDE/>
              <w:autoSpaceDN/>
              <w:bidi w:val="0"/>
              <w:adjustRightInd w:val="0"/>
              <w:snapToGrid w:val="0"/>
              <w:spacing w:before="175" w:line="228" w:lineRule="auto"/>
              <w:ind w:left="509"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务</w:t>
            </w:r>
          </w:p>
        </w:tc>
        <w:tc>
          <w:tcPr>
            <w:tcW w:w="1131" w:type="dxa"/>
            <w:gridSpan w:val="2"/>
            <w:vAlign w:val="top"/>
          </w:tcPr>
          <w:p w14:paraId="6AC8EB1D">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46" w:type="dxa"/>
            <w:vAlign w:val="top"/>
          </w:tcPr>
          <w:p w14:paraId="480BF61C">
            <w:pPr>
              <w:keepNext w:val="0"/>
              <w:keepLines w:val="0"/>
              <w:pageBreakBefore w:val="0"/>
              <w:widowControl w:val="0"/>
              <w:kinsoku/>
              <w:wordWrap w:val="0"/>
              <w:overflowPunct/>
              <w:topLinePunct/>
              <w:autoSpaceDE/>
              <w:autoSpaceDN/>
              <w:bidi w:val="0"/>
              <w:adjustRightInd w:val="0"/>
              <w:snapToGrid w:val="0"/>
              <w:spacing w:before="174" w:line="231" w:lineRule="auto"/>
              <w:ind w:left="337"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称</w:t>
            </w:r>
          </w:p>
        </w:tc>
        <w:tc>
          <w:tcPr>
            <w:tcW w:w="2047" w:type="dxa"/>
            <w:vAlign w:val="top"/>
          </w:tcPr>
          <w:p w14:paraId="6C6B6AED">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14:paraId="6A9B328F">
            <w:pPr>
              <w:keepNext w:val="0"/>
              <w:keepLines w:val="0"/>
              <w:pageBreakBefore w:val="0"/>
              <w:widowControl w:val="0"/>
              <w:kinsoku/>
              <w:wordWrap w:val="0"/>
              <w:overflowPunct/>
              <w:topLinePunct/>
              <w:autoSpaceDE/>
              <w:autoSpaceDN/>
              <w:bidi w:val="0"/>
              <w:adjustRightInd w:val="0"/>
              <w:snapToGrid w:val="0"/>
              <w:spacing w:before="175" w:line="230" w:lineRule="auto"/>
              <w:ind w:left="49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学</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历</w:t>
            </w:r>
          </w:p>
        </w:tc>
        <w:tc>
          <w:tcPr>
            <w:tcW w:w="1386" w:type="dxa"/>
            <w:vAlign w:val="top"/>
          </w:tcPr>
          <w:p w14:paraId="0D3DCFB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13DC1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1964" w:type="dxa"/>
            <w:gridSpan w:val="2"/>
            <w:vAlign w:val="top"/>
          </w:tcPr>
          <w:p w14:paraId="26AAA477">
            <w:pPr>
              <w:keepNext w:val="0"/>
              <w:keepLines w:val="0"/>
              <w:pageBreakBefore w:val="0"/>
              <w:widowControl w:val="0"/>
              <w:kinsoku/>
              <w:wordWrap w:val="0"/>
              <w:overflowPunct/>
              <w:topLinePunct/>
              <w:autoSpaceDE/>
              <w:autoSpaceDN/>
              <w:bidi w:val="0"/>
              <w:adjustRightInd w:val="0"/>
              <w:snapToGrid w:val="0"/>
              <w:spacing w:before="175" w:line="229" w:lineRule="auto"/>
              <w:ind w:left="24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参加工作时间</w:t>
            </w:r>
          </w:p>
        </w:tc>
        <w:tc>
          <w:tcPr>
            <w:tcW w:w="2477" w:type="dxa"/>
            <w:gridSpan w:val="3"/>
            <w:vAlign w:val="top"/>
          </w:tcPr>
          <w:p w14:paraId="3BA8DF1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3830" w:type="dxa"/>
            <w:gridSpan w:val="2"/>
            <w:vAlign w:val="top"/>
          </w:tcPr>
          <w:p w14:paraId="4C1CAE05">
            <w:pPr>
              <w:keepNext w:val="0"/>
              <w:keepLines w:val="0"/>
              <w:pageBreakBefore w:val="0"/>
              <w:widowControl w:val="0"/>
              <w:kinsoku/>
              <w:wordWrap w:val="0"/>
              <w:overflowPunct/>
              <w:topLinePunct/>
              <w:autoSpaceDE/>
              <w:autoSpaceDN/>
              <w:bidi w:val="0"/>
              <w:adjustRightInd w:val="0"/>
              <w:snapToGrid w:val="0"/>
              <w:spacing w:before="176" w:line="228" w:lineRule="auto"/>
              <w:ind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从事工程建设项目管理工作年限</w:t>
            </w:r>
          </w:p>
        </w:tc>
        <w:tc>
          <w:tcPr>
            <w:tcW w:w="1386" w:type="dxa"/>
            <w:vAlign w:val="top"/>
          </w:tcPr>
          <w:p w14:paraId="15535D22">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2163D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9657" w:type="dxa"/>
            <w:gridSpan w:val="8"/>
            <w:vAlign w:val="top"/>
          </w:tcPr>
          <w:p w14:paraId="2514914F">
            <w:pPr>
              <w:keepNext w:val="0"/>
              <w:keepLines w:val="0"/>
              <w:pageBreakBefore w:val="0"/>
              <w:widowControl w:val="0"/>
              <w:kinsoku/>
              <w:wordWrap w:val="0"/>
              <w:overflowPunct/>
              <w:topLinePunct/>
              <w:autoSpaceDE/>
              <w:autoSpaceDN/>
              <w:bidi w:val="0"/>
              <w:adjustRightInd w:val="0"/>
              <w:snapToGrid w:val="0"/>
              <w:spacing w:before="176" w:line="228" w:lineRule="auto"/>
              <w:ind w:left="204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以项目技术负责人身份参与过的主要业绩（已完工项目）</w:t>
            </w:r>
          </w:p>
        </w:tc>
      </w:tr>
      <w:tr w14:paraId="678C2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810" w:type="dxa"/>
            <w:vAlign w:val="top"/>
          </w:tcPr>
          <w:p w14:paraId="08556A96">
            <w:pPr>
              <w:keepNext w:val="0"/>
              <w:keepLines w:val="0"/>
              <w:pageBreakBefore w:val="0"/>
              <w:widowControl w:val="0"/>
              <w:kinsoku/>
              <w:wordWrap w:val="0"/>
              <w:overflowPunct/>
              <w:topLinePunct/>
              <w:autoSpaceDE/>
              <w:autoSpaceDN/>
              <w:bidi w:val="0"/>
              <w:adjustRightInd w:val="0"/>
              <w:snapToGrid w:val="0"/>
              <w:spacing w:before="176" w:line="230" w:lineRule="auto"/>
              <w:ind w:left="183"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10" w:type="dxa"/>
            <w:gridSpan w:val="2"/>
            <w:vAlign w:val="top"/>
          </w:tcPr>
          <w:p w14:paraId="15761AE8">
            <w:pPr>
              <w:keepNext w:val="0"/>
              <w:keepLines w:val="0"/>
              <w:pageBreakBefore w:val="0"/>
              <w:widowControl w:val="0"/>
              <w:kinsoku/>
              <w:wordWrap w:val="0"/>
              <w:overflowPunct/>
              <w:topLinePunct/>
              <w:autoSpaceDE/>
              <w:autoSpaceDN/>
              <w:bidi w:val="0"/>
              <w:adjustRightInd w:val="0"/>
              <w:snapToGrid w:val="0"/>
              <w:spacing w:before="176" w:line="229" w:lineRule="auto"/>
              <w:ind w:left="35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项目名称</w:t>
            </w:r>
          </w:p>
        </w:tc>
        <w:tc>
          <w:tcPr>
            <w:tcW w:w="2021" w:type="dxa"/>
            <w:gridSpan w:val="2"/>
            <w:vAlign w:val="top"/>
          </w:tcPr>
          <w:p w14:paraId="29499D7C">
            <w:pPr>
              <w:keepNext w:val="0"/>
              <w:keepLines w:val="0"/>
              <w:pageBreakBefore w:val="0"/>
              <w:widowControl w:val="0"/>
              <w:kinsoku/>
              <w:wordWrap w:val="0"/>
              <w:overflowPunct/>
              <w:topLinePunct/>
              <w:autoSpaceDE/>
              <w:autoSpaceDN/>
              <w:bidi w:val="0"/>
              <w:adjustRightInd w:val="0"/>
              <w:snapToGrid w:val="0"/>
              <w:spacing w:before="176" w:line="229" w:lineRule="auto"/>
              <w:ind w:left="55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建设单位</w:t>
            </w:r>
          </w:p>
        </w:tc>
        <w:tc>
          <w:tcPr>
            <w:tcW w:w="2047" w:type="dxa"/>
            <w:vAlign w:val="top"/>
          </w:tcPr>
          <w:p w14:paraId="4D411C7B">
            <w:pPr>
              <w:keepNext w:val="0"/>
              <w:keepLines w:val="0"/>
              <w:pageBreakBefore w:val="0"/>
              <w:widowControl w:val="0"/>
              <w:kinsoku/>
              <w:wordWrap w:val="0"/>
              <w:overflowPunct/>
              <w:topLinePunct/>
              <w:autoSpaceDE/>
              <w:autoSpaceDN/>
              <w:bidi w:val="0"/>
              <w:adjustRightInd w:val="0"/>
              <w:snapToGrid w:val="0"/>
              <w:spacing w:before="176" w:line="228" w:lineRule="auto"/>
              <w:ind w:right="84" w:rightChars="40"/>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建设内容和规模</w:t>
            </w:r>
          </w:p>
        </w:tc>
        <w:tc>
          <w:tcPr>
            <w:tcW w:w="1783" w:type="dxa"/>
            <w:vAlign w:val="top"/>
          </w:tcPr>
          <w:p w14:paraId="409BE10F">
            <w:pPr>
              <w:keepNext w:val="0"/>
              <w:keepLines w:val="0"/>
              <w:pageBreakBefore w:val="0"/>
              <w:widowControl w:val="0"/>
              <w:kinsoku/>
              <w:wordWrap w:val="0"/>
              <w:overflowPunct/>
              <w:topLinePunct/>
              <w:autoSpaceDE/>
              <w:autoSpaceDN/>
              <w:bidi w:val="0"/>
              <w:adjustRightInd w:val="0"/>
              <w:snapToGrid w:val="0"/>
              <w:spacing w:before="176" w:line="228" w:lineRule="auto"/>
              <w:ind w:left="23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开、竣工日期</w:t>
            </w:r>
          </w:p>
        </w:tc>
        <w:tc>
          <w:tcPr>
            <w:tcW w:w="1386" w:type="dxa"/>
            <w:vAlign w:val="top"/>
          </w:tcPr>
          <w:p w14:paraId="777DC259">
            <w:pPr>
              <w:keepNext w:val="0"/>
              <w:keepLines w:val="0"/>
              <w:pageBreakBefore w:val="0"/>
              <w:widowControl w:val="0"/>
              <w:kinsoku/>
              <w:wordWrap w:val="0"/>
              <w:overflowPunct/>
              <w:topLinePunct/>
              <w:autoSpaceDE/>
              <w:autoSpaceDN/>
              <w:bidi w:val="0"/>
              <w:adjustRightInd w:val="0"/>
              <w:snapToGrid w:val="0"/>
              <w:spacing w:before="176" w:line="228" w:lineRule="auto"/>
              <w:ind w:left="25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质量等级</w:t>
            </w:r>
          </w:p>
        </w:tc>
      </w:tr>
      <w:tr w14:paraId="6E97C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3F4ECC4D">
            <w:pPr>
              <w:keepNext w:val="0"/>
              <w:keepLines w:val="0"/>
              <w:pageBreakBefore w:val="0"/>
              <w:widowControl w:val="0"/>
              <w:kinsoku/>
              <w:wordWrap w:val="0"/>
              <w:overflowPunct/>
              <w:topLinePunct/>
              <w:autoSpaceDE/>
              <w:autoSpaceDN/>
              <w:bidi w:val="0"/>
              <w:adjustRightInd w:val="0"/>
              <w:snapToGrid w:val="0"/>
              <w:spacing w:before="214" w:line="195" w:lineRule="auto"/>
              <w:ind w:left="359"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10" w:type="dxa"/>
            <w:gridSpan w:val="2"/>
            <w:vAlign w:val="top"/>
          </w:tcPr>
          <w:p w14:paraId="7C84C679">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21" w:type="dxa"/>
            <w:gridSpan w:val="2"/>
            <w:vAlign w:val="top"/>
          </w:tcPr>
          <w:p w14:paraId="5639B13A">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47" w:type="dxa"/>
            <w:vAlign w:val="top"/>
          </w:tcPr>
          <w:p w14:paraId="4974DF9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14:paraId="6210ACB7">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86" w:type="dxa"/>
            <w:vAlign w:val="top"/>
          </w:tcPr>
          <w:p w14:paraId="6A9B921A">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28A4C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810" w:type="dxa"/>
            <w:vAlign w:val="top"/>
          </w:tcPr>
          <w:p w14:paraId="3C7A39FC">
            <w:pPr>
              <w:keepNext w:val="0"/>
              <w:keepLines w:val="0"/>
              <w:pageBreakBefore w:val="0"/>
              <w:widowControl w:val="0"/>
              <w:kinsoku/>
              <w:wordWrap w:val="0"/>
              <w:overflowPunct/>
              <w:topLinePunct/>
              <w:autoSpaceDE/>
              <w:autoSpaceDN/>
              <w:bidi w:val="0"/>
              <w:adjustRightInd w:val="0"/>
              <w:snapToGrid w:val="0"/>
              <w:spacing w:before="213" w:line="195" w:lineRule="auto"/>
              <w:ind w:left="339"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10" w:type="dxa"/>
            <w:gridSpan w:val="2"/>
            <w:vAlign w:val="top"/>
          </w:tcPr>
          <w:p w14:paraId="2AC9BB61">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21" w:type="dxa"/>
            <w:gridSpan w:val="2"/>
            <w:vAlign w:val="top"/>
          </w:tcPr>
          <w:p w14:paraId="5BB91F8F">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47" w:type="dxa"/>
            <w:vAlign w:val="top"/>
          </w:tcPr>
          <w:p w14:paraId="09B32C0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14:paraId="74493564">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86" w:type="dxa"/>
            <w:vAlign w:val="top"/>
          </w:tcPr>
          <w:p w14:paraId="69CE742A">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7804C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714FE15E">
            <w:pPr>
              <w:keepNext w:val="0"/>
              <w:keepLines w:val="0"/>
              <w:pageBreakBefore w:val="0"/>
              <w:widowControl w:val="0"/>
              <w:kinsoku/>
              <w:wordWrap w:val="0"/>
              <w:overflowPunct/>
              <w:topLinePunct/>
              <w:autoSpaceDE/>
              <w:autoSpaceDN/>
              <w:bidi w:val="0"/>
              <w:adjustRightInd w:val="0"/>
              <w:snapToGrid w:val="0"/>
              <w:spacing w:before="178" w:line="324" w:lineRule="exact"/>
              <w:ind w:left="19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610" w:type="dxa"/>
            <w:gridSpan w:val="2"/>
            <w:vAlign w:val="top"/>
          </w:tcPr>
          <w:p w14:paraId="212BE2B6">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21" w:type="dxa"/>
            <w:gridSpan w:val="2"/>
            <w:vAlign w:val="top"/>
          </w:tcPr>
          <w:p w14:paraId="61215AE8">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47" w:type="dxa"/>
            <w:vAlign w:val="top"/>
          </w:tcPr>
          <w:p w14:paraId="3B69C12D">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14:paraId="49E0F4C8">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86" w:type="dxa"/>
            <w:vAlign w:val="top"/>
          </w:tcPr>
          <w:p w14:paraId="17A3F6ED">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6BF8A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55CE127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610" w:type="dxa"/>
            <w:gridSpan w:val="2"/>
            <w:vAlign w:val="top"/>
          </w:tcPr>
          <w:p w14:paraId="085F1E73">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21" w:type="dxa"/>
            <w:gridSpan w:val="2"/>
            <w:vAlign w:val="top"/>
          </w:tcPr>
          <w:p w14:paraId="3AEB1562">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47" w:type="dxa"/>
            <w:vAlign w:val="top"/>
          </w:tcPr>
          <w:p w14:paraId="27D1DA08">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14:paraId="39E80E2E">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86" w:type="dxa"/>
            <w:vAlign w:val="top"/>
          </w:tcPr>
          <w:p w14:paraId="0F9A88FC">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5E797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jc w:val="center"/>
        </w:trPr>
        <w:tc>
          <w:tcPr>
            <w:tcW w:w="810" w:type="dxa"/>
            <w:vAlign w:val="top"/>
          </w:tcPr>
          <w:p w14:paraId="634C9D20">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610" w:type="dxa"/>
            <w:gridSpan w:val="2"/>
            <w:vAlign w:val="top"/>
          </w:tcPr>
          <w:p w14:paraId="073BFCE4">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21" w:type="dxa"/>
            <w:gridSpan w:val="2"/>
            <w:vAlign w:val="top"/>
          </w:tcPr>
          <w:p w14:paraId="3B849E1A">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47" w:type="dxa"/>
            <w:vAlign w:val="top"/>
          </w:tcPr>
          <w:p w14:paraId="1FF83F10">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14:paraId="2E5F50C4">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86" w:type="dxa"/>
            <w:vAlign w:val="top"/>
          </w:tcPr>
          <w:p w14:paraId="615BBE6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bl>
    <w:p w14:paraId="38FAB5AE">
      <w:pPr>
        <w:pStyle w:val="6"/>
        <w:keepNext w:val="0"/>
        <w:keepLines w:val="0"/>
        <w:pageBreakBefore w:val="0"/>
        <w:widowControl w:val="0"/>
        <w:kinsoku/>
        <w:wordWrap w:val="0"/>
        <w:overflowPunct/>
        <w:topLinePunct/>
        <w:autoSpaceDE/>
        <w:autoSpaceDN/>
        <w:bidi w:val="0"/>
        <w:adjustRightInd w:val="0"/>
        <w:snapToGrid w:val="0"/>
        <w:spacing w:line="314" w:lineRule="auto"/>
        <w:ind w:right="84" w:rightChars="40"/>
        <w:rPr>
          <w:rFonts w:hint="eastAsia" w:ascii="宋体" w:hAnsi="宋体" w:eastAsia="宋体" w:cs="宋体"/>
          <w:color w:val="auto"/>
          <w:sz w:val="24"/>
          <w:szCs w:val="24"/>
          <w:highlight w:val="none"/>
        </w:rPr>
      </w:pPr>
    </w:p>
    <w:p w14:paraId="0BB7B595">
      <w:pPr>
        <w:pStyle w:val="6"/>
        <w:keepNext w:val="0"/>
        <w:keepLines w:val="0"/>
        <w:pageBreakBefore w:val="0"/>
        <w:widowControl w:val="0"/>
        <w:kinsoku/>
        <w:wordWrap w:val="0"/>
        <w:overflowPunct/>
        <w:topLinePunct/>
        <w:autoSpaceDE/>
        <w:autoSpaceDN/>
        <w:bidi w:val="0"/>
        <w:adjustRightInd w:val="0"/>
        <w:snapToGrid w:val="0"/>
        <w:spacing w:line="315" w:lineRule="auto"/>
        <w:ind w:right="84" w:rightChars="40"/>
        <w:rPr>
          <w:rFonts w:hint="eastAsia" w:ascii="宋体" w:hAnsi="宋体" w:eastAsia="宋体" w:cs="宋体"/>
          <w:color w:val="auto"/>
          <w:sz w:val="24"/>
          <w:szCs w:val="24"/>
          <w:highlight w:val="none"/>
        </w:rPr>
      </w:pPr>
    </w:p>
    <w:p w14:paraId="44D1345E">
      <w:pPr>
        <w:pStyle w:val="6"/>
        <w:keepNext w:val="0"/>
        <w:keepLines w:val="0"/>
        <w:pageBreakBefore w:val="0"/>
        <w:widowControl w:val="0"/>
        <w:kinsoku/>
        <w:wordWrap w:val="0"/>
        <w:overflowPunct/>
        <w:topLinePunct/>
        <w:autoSpaceDE/>
        <w:autoSpaceDN/>
        <w:bidi w:val="0"/>
        <w:adjustRightInd w:val="0"/>
        <w:snapToGrid w:val="0"/>
        <w:spacing w:line="315" w:lineRule="auto"/>
        <w:ind w:right="84" w:rightChars="40"/>
        <w:rPr>
          <w:rFonts w:hint="eastAsia" w:ascii="宋体" w:hAnsi="宋体" w:eastAsia="宋体" w:cs="宋体"/>
          <w:color w:val="auto"/>
          <w:sz w:val="24"/>
          <w:szCs w:val="24"/>
          <w:highlight w:val="none"/>
        </w:rPr>
      </w:pPr>
    </w:p>
    <w:p w14:paraId="34D6CDCA">
      <w:pPr>
        <w:keepNext w:val="0"/>
        <w:keepLines w:val="0"/>
        <w:pageBreakBefore w:val="0"/>
        <w:widowControl w:val="0"/>
        <w:kinsoku/>
        <w:wordWrap w:val="0"/>
        <w:overflowPunct/>
        <w:topLinePunct/>
        <w:autoSpaceDE/>
        <w:autoSpaceDN/>
        <w:bidi w:val="0"/>
        <w:adjustRightInd w:val="0"/>
        <w:snapToGrid w:val="0"/>
        <w:spacing w:before="78" w:line="220" w:lineRule="auto"/>
        <w:ind w:left="5165"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项目技术负责人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2"/>
          <w:sz w:val="24"/>
          <w:szCs w:val="24"/>
          <w:highlight w:val="none"/>
        </w:rPr>
        <w:t>签字）</w:t>
      </w:r>
    </w:p>
    <w:p w14:paraId="5F4790F2">
      <w:pPr>
        <w:pStyle w:val="6"/>
        <w:keepNext w:val="0"/>
        <w:keepLines w:val="0"/>
        <w:pageBreakBefore w:val="0"/>
        <w:widowControl w:val="0"/>
        <w:kinsoku/>
        <w:wordWrap w:val="0"/>
        <w:overflowPunct/>
        <w:topLinePunct/>
        <w:autoSpaceDE/>
        <w:autoSpaceDN/>
        <w:bidi w:val="0"/>
        <w:adjustRightInd w:val="0"/>
        <w:snapToGrid w:val="0"/>
        <w:spacing w:line="256" w:lineRule="auto"/>
        <w:ind w:right="84" w:rightChars="40"/>
        <w:jc w:val="right"/>
        <w:rPr>
          <w:rFonts w:hint="eastAsia" w:ascii="宋体" w:hAnsi="宋体" w:eastAsia="宋体" w:cs="宋体"/>
          <w:color w:val="auto"/>
          <w:sz w:val="24"/>
          <w:szCs w:val="24"/>
          <w:highlight w:val="none"/>
        </w:rPr>
      </w:pPr>
    </w:p>
    <w:p w14:paraId="491767E3">
      <w:pPr>
        <w:pStyle w:val="6"/>
        <w:keepNext w:val="0"/>
        <w:keepLines w:val="0"/>
        <w:pageBreakBefore w:val="0"/>
        <w:widowControl w:val="0"/>
        <w:kinsoku/>
        <w:wordWrap w:val="0"/>
        <w:overflowPunct/>
        <w:topLinePunct/>
        <w:autoSpaceDE/>
        <w:autoSpaceDN/>
        <w:bidi w:val="0"/>
        <w:adjustRightInd w:val="0"/>
        <w:snapToGrid w:val="0"/>
        <w:spacing w:line="257" w:lineRule="auto"/>
        <w:ind w:right="84" w:rightChars="40"/>
        <w:jc w:val="right"/>
        <w:rPr>
          <w:rFonts w:hint="eastAsia" w:ascii="宋体" w:hAnsi="宋体" w:eastAsia="宋体" w:cs="宋体"/>
          <w:color w:val="auto"/>
          <w:sz w:val="24"/>
          <w:szCs w:val="24"/>
          <w:highlight w:val="none"/>
        </w:rPr>
      </w:pPr>
    </w:p>
    <w:p w14:paraId="4DE7514B">
      <w:pPr>
        <w:pStyle w:val="6"/>
        <w:keepNext w:val="0"/>
        <w:keepLines w:val="0"/>
        <w:pageBreakBefore w:val="0"/>
        <w:widowControl w:val="0"/>
        <w:kinsoku/>
        <w:wordWrap w:val="0"/>
        <w:overflowPunct/>
        <w:topLinePunct/>
        <w:autoSpaceDE/>
        <w:autoSpaceDN/>
        <w:bidi w:val="0"/>
        <w:adjustRightInd w:val="0"/>
        <w:snapToGrid w:val="0"/>
        <w:spacing w:line="254" w:lineRule="auto"/>
        <w:ind w:right="84" w:rightChars="40"/>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402A79A9">
      <w:pPr>
        <w:keepNext w:val="0"/>
        <w:keepLines w:val="0"/>
        <w:pageBreakBefore w:val="0"/>
        <w:widowControl w:val="0"/>
        <w:kinsoku/>
        <w:wordWrap w:val="0"/>
        <w:overflowPunct/>
        <w:topLinePunct/>
        <w:autoSpaceDE/>
        <w:autoSpaceDN/>
        <w:bidi w:val="0"/>
        <w:adjustRightInd w:val="0"/>
        <w:snapToGrid w:val="0"/>
        <w:spacing w:before="65" w:line="228" w:lineRule="auto"/>
        <w:ind w:left="47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说明：《项目技术负责人简历表》后应附拟派项目技术负责人以下资料：</w:t>
      </w:r>
    </w:p>
    <w:p w14:paraId="47652825">
      <w:pPr>
        <w:keepNext w:val="0"/>
        <w:keepLines w:val="0"/>
        <w:pageBreakBefore w:val="0"/>
        <w:widowControl w:val="0"/>
        <w:kinsoku/>
        <w:wordWrap w:val="0"/>
        <w:overflowPunct/>
        <w:topLinePunct/>
        <w:autoSpaceDE/>
        <w:autoSpaceDN/>
        <w:bidi w:val="0"/>
        <w:adjustRightInd w:val="0"/>
        <w:snapToGrid w:val="0"/>
        <w:spacing w:before="155" w:line="228" w:lineRule="auto"/>
        <w:ind w:left="48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3"/>
          <w:sz w:val="24"/>
          <w:szCs w:val="24"/>
          <w:highlight w:val="none"/>
        </w:rPr>
        <w:t>．身份证彩色扫描件；</w:t>
      </w:r>
    </w:p>
    <w:p w14:paraId="0C84D24A">
      <w:pPr>
        <w:keepNext w:val="0"/>
        <w:keepLines w:val="0"/>
        <w:pageBreakBefore w:val="0"/>
        <w:widowControl w:val="0"/>
        <w:kinsoku/>
        <w:wordWrap w:val="0"/>
        <w:overflowPunct/>
        <w:topLinePunct/>
        <w:autoSpaceDE/>
        <w:autoSpaceDN/>
        <w:bidi w:val="0"/>
        <w:adjustRightInd w:val="0"/>
        <w:snapToGrid w:val="0"/>
        <w:spacing w:before="151" w:line="228" w:lineRule="auto"/>
        <w:ind w:left="46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2</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5"/>
          <w:sz w:val="24"/>
          <w:szCs w:val="24"/>
          <w:highlight w:val="none"/>
        </w:rPr>
        <w:t>．职称证彩色扫描件；</w:t>
      </w:r>
    </w:p>
    <w:p w14:paraId="2F2BCEC4">
      <w:pPr>
        <w:keepNext w:val="0"/>
        <w:keepLines w:val="0"/>
        <w:pageBreakBefore w:val="0"/>
        <w:widowControl w:val="0"/>
        <w:kinsoku/>
        <w:wordWrap w:val="0"/>
        <w:overflowPunct/>
        <w:topLinePunct/>
        <w:autoSpaceDE/>
        <w:autoSpaceDN/>
        <w:bidi w:val="0"/>
        <w:adjustRightInd w:val="0"/>
        <w:snapToGrid w:val="0"/>
        <w:spacing w:before="153" w:line="299" w:lineRule="auto"/>
        <w:ind w:left="47" w:right="84" w:rightChars="40" w:firstLine="42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3</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8"/>
          <w:sz w:val="24"/>
          <w:szCs w:val="24"/>
          <w:highlight w:val="none"/>
        </w:rPr>
        <w:t>．在本单位缴纳社保的证明（</w:t>
      </w:r>
      <w:r>
        <w:rPr>
          <w:rFonts w:hint="eastAsia" w:ascii="宋体" w:hAnsi="宋体" w:eastAsia="宋体" w:cs="宋体"/>
          <w:color w:val="auto"/>
          <w:sz w:val="24"/>
          <w:szCs w:val="24"/>
          <w:highlight w:val="none"/>
          <w:lang w:eastAsia="zh-CN"/>
        </w:rPr>
        <w:t>至少连续三个月，其中必须有2025年10月</w:t>
      </w:r>
      <w:r>
        <w:rPr>
          <w:rFonts w:hint="eastAsia" w:ascii="宋体" w:hAnsi="宋体" w:eastAsia="宋体" w:cs="宋体"/>
          <w:color w:val="auto"/>
          <w:spacing w:val="8"/>
          <w:sz w:val="24"/>
          <w:szCs w:val="24"/>
          <w:highlight w:val="none"/>
        </w:rPr>
        <w:t>）彩色扫描件</w:t>
      </w:r>
      <w:r>
        <w:rPr>
          <w:rFonts w:hint="eastAsia" w:ascii="宋体" w:hAnsi="宋体" w:eastAsia="宋体" w:cs="宋体"/>
          <w:color w:val="auto"/>
          <w:spacing w:val="8"/>
          <w:sz w:val="24"/>
          <w:szCs w:val="24"/>
          <w:highlight w:val="none"/>
          <w:lang w:val="en-US" w:eastAsia="zh-CN"/>
        </w:rPr>
        <w:t>或打印件</w:t>
      </w:r>
      <w:r>
        <w:rPr>
          <w:rFonts w:hint="eastAsia" w:ascii="宋体" w:hAnsi="宋体" w:eastAsia="宋体" w:cs="宋体"/>
          <w:color w:val="auto"/>
          <w:spacing w:val="8"/>
          <w:sz w:val="24"/>
          <w:szCs w:val="24"/>
          <w:highlight w:val="none"/>
        </w:rPr>
        <w:t>。</w:t>
      </w:r>
      <w:r>
        <w:rPr>
          <w:rFonts w:hint="eastAsia" w:ascii="宋体" w:hAnsi="宋体" w:eastAsia="宋体" w:cs="宋体"/>
          <w:color w:val="auto"/>
          <w:spacing w:val="10"/>
          <w:sz w:val="24"/>
          <w:szCs w:val="24"/>
          <w:highlight w:val="none"/>
        </w:rPr>
        <w:t>拟派项目技术负责人为退休返聘人员无法提供社</w:t>
      </w:r>
      <w:r>
        <w:rPr>
          <w:rFonts w:hint="eastAsia" w:ascii="宋体" w:hAnsi="宋体" w:eastAsia="宋体" w:cs="宋体"/>
          <w:color w:val="auto"/>
          <w:spacing w:val="9"/>
          <w:sz w:val="24"/>
          <w:szCs w:val="24"/>
          <w:highlight w:val="none"/>
        </w:rPr>
        <w:t>保证明的，提供退休证和劳动合同彩色扫描件。</w:t>
      </w:r>
    </w:p>
    <w:p w14:paraId="2F5EE6D7">
      <w:pPr>
        <w:keepNext w:val="0"/>
        <w:keepLines w:val="0"/>
        <w:pageBreakBefore w:val="0"/>
        <w:widowControl w:val="0"/>
        <w:kinsoku/>
        <w:wordWrap w:val="0"/>
        <w:overflowPunct/>
        <w:topLinePunct/>
        <w:autoSpaceDE/>
        <w:autoSpaceDN/>
        <w:bidi w:val="0"/>
        <w:adjustRightInd w:val="0"/>
        <w:snapToGrid w:val="0"/>
        <w:spacing w:before="153" w:line="228" w:lineRule="auto"/>
        <w:ind w:left="463"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22"/>
          <w:sz w:val="24"/>
          <w:szCs w:val="24"/>
          <w:highlight w:val="none"/>
        </w:rPr>
        <w:t xml:space="preserve"> </w:t>
      </w:r>
      <w:r>
        <w:rPr>
          <w:rFonts w:hint="eastAsia" w:ascii="宋体" w:hAnsi="宋体" w:eastAsia="宋体" w:cs="宋体"/>
          <w:color w:val="auto"/>
          <w:spacing w:val="8"/>
          <w:sz w:val="24"/>
          <w:szCs w:val="24"/>
          <w:highlight w:val="none"/>
        </w:rPr>
        <w:t>．“进粤企业和人员诚信信息登记平台</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pacing w:val="8"/>
          <w:sz w:val="24"/>
          <w:szCs w:val="24"/>
          <w:highlight w:val="none"/>
        </w:rPr>
        <w:t>”个人信息情况截图。（适用于省外建筑企业）</w:t>
      </w:r>
    </w:p>
    <w:p w14:paraId="44E3F349">
      <w:pPr>
        <w:keepNext w:val="0"/>
        <w:keepLines w:val="0"/>
        <w:pageBreakBefore w:val="0"/>
        <w:widowControl w:val="0"/>
        <w:kinsoku/>
        <w:wordWrap w:val="0"/>
        <w:overflowPunct/>
        <w:topLinePunct/>
        <w:autoSpaceDE/>
        <w:autoSpaceDN/>
        <w:bidi w:val="0"/>
        <w:adjustRightInd w:val="0"/>
        <w:snapToGrid w:val="0"/>
        <w:spacing w:line="228" w:lineRule="auto"/>
        <w:ind w:right="84" w:rightChars="40"/>
        <w:rPr>
          <w:rFonts w:hint="eastAsia" w:ascii="宋体" w:hAnsi="宋体" w:eastAsia="宋体" w:cs="宋体"/>
          <w:color w:val="auto"/>
          <w:sz w:val="20"/>
          <w:szCs w:val="20"/>
          <w:highlight w:val="none"/>
        </w:rPr>
        <w:sectPr>
          <w:footerReference r:id="rId21"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4EC2D5E">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30" w:name="_Toc25360"/>
      <w:r>
        <w:rPr>
          <w:rFonts w:hint="eastAsia" w:ascii="宋体" w:hAnsi="宋体" w:eastAsia="宋体" w:cs="宋体"/>
          <w:b/>
          <w:bCs/>
          <w:color w:val="auto"/>
          <w:spacing w:val="-4"/>
          <w:sz w:val="24"/>
          <w:szCs w:val="24"/>
          <w:highlight w:val="none"/>
        </w:rPr>
        <w:t>格式十一 项目管理机构组成表</w:t>
      </w:r>
      <w:bookmarkEnd w:id="230"/>
    </w:p>
    <w:p w14:paraId="30A04B4A">
      <w:pPr>
        <w:pStyle w:val="6"/>
        <w:keepNext w:val="0"/>
        <w:keepLines w:val="0"/>
        <w:pageBreakBefore w:val="0"/>
        <w:widowControl w:val="0"/>
        <w:kinsoku/>
        <w:wordWrap w:val="0"/>
        <w:overflowPunct/>
        <w:topLinePunct/>
        <w:autoSpaceDE/>
        <w:autoSpaceDN/>
        <w:bidi w:val="0"/>
        <w:adjustRightInd w:val="0"/>
        <w:snapToGrid w:val="0"/>
        <w:spacing w:line="351" w:lineRule="auto"/>
        <w:ind w:right="84" w:rightChars="40"/>
        <w:rPr>
          <w:rFonts w:hint="eastAsia" w:ascii="宋体" w:hAnsi="宋体" w:eastAsia="宋体" w:cs="宋体"/>
          <w:color w:val="auto"/>
          <w:highlight w:val="none"/>
        </w:rPr>
      </w:pPr>
    </w:p>
    <w:p w14:paraId="6A33FD6A">
      <w:pPr>
        <w:pStyle w:val="6"/>
        <w:keepNext w:val="0"/>
        <w:keepLines w:val="0"/>
        <w:pageBreakBefore w:val="0"/>
        <w:widowControl w:val="0"/>
        <w:kinsoku/>
        <w:wordWrap w:val="0"/>
        <w:overflowPunct/>
        <w:topLinePunct/>
        <w:autoSpaceDE/>
        <w:autoSpaceDN/>
        <w:bidi w:val="0"/>
        <w:adjustRightInd w:val="0"/>
        <w:snapToGrid w:val="0"/>
        <w:spacing w:line="351" w:lineRule="auto"/>
        <w:ind w:right="84" w:rightChars="40"/>
        <w:rPr>
          <w:rFonts w:hint="eastAsia" w:ascii="宋体" w:hAnsi="宋体" w:eastAsia="宋体" w:cs="宋体"/>
          <w:color w:val="auto"/>
          <w:highlight w:val="none"/>
        </w:rPr>
      </w:pPr>
    </w:p>
    <w:p w14:paraId="117DAD29">
      <w:pPr>
        <w:keepNext w:val="0"/>
        <w:keepLines w:val="0"/>
        <w:pageBreakBefore w:val="0"/>
        <w:widowControl w:val="0"/>
        <w:kinsoku/>
        <w:wordWrap w:val="0"/>
        <w:overflowPunct/>
        <w:topLinePunct/>
        <w:autoSpaceDE/>
        <w:autoSpaceDN/>
        <w:bidi w:val="0"/>
        <w:adjustRightInd w:val="0"/>
        <w:snapToGrid w:val="0"/>
        <w:spacing w:before="97" w:line="219" w:lineRule="auto"/>
        <w:ind w:left="3200" w:right="84" w:rightChars="40"/>
        <w:outlineLvl w:val="9"/>
        <w:rPr>
          <w:rFonts w:hint="eastAsia" w:ascii="宋体" w:hAnsi="宋体" w:eastAsia="宋体" w:cs="宋体"/>
          <w:color w:val="auto"/>
          <w:sz w:val="30"/>
          <w:szCs w:val="30"/>
          <w:highlight w:val="none"/>
        </w:rPr>
      </w:pPr>
      <w:bookmarkStart w:id="231" w:name="bookmark158"/>
      <w:bookmarkEnd w:id="231"/>
      <w:bookmarkStart w:id="232" w:name="_Toc19973"/>
      <w:bookmarkStart w:id="233" w:name="_Toc28765"/>
      <w:r>
        <w:rPr>
          <w:rFonts w:hint="eastAsia" w:ascii="宋体" w:hAnsi="宋体" w:eastAsia="宋体" w:cs="宋体"/>
          <w:b/>
          <w:bCs/>
          <w:color w:val="auto"/>
          <w:spacing w:val="-4"/>
          <w:sz w:val="30"/>
          <w:szCs w:val="30"/>
          <w:highlight w:val="none"/>
        </w:rPr>
        <w:t>项目管理机构组成表</w:t>
      </w:r>
      <w:bookmarkEnd w:id="232"/>
      <w:bookmarkEnd w:id="233"/>
    </w:p>
    <w:p w14:paraId="056AF42E">
      <w:pPr>
        <w:keepNext w:val="0"/>
        <w:keepLines w:val="0"/>
        <w:pageBreakBefore w:val="0"/>
        <w:widowControl w:val="0"/>
        <w:kinsoku/>
        <w:wordWrap w:val="0"/>
        <w:overflowPunct/>
        <w:topLinePunct/>
        <w:autoSpaceDE/>
        <w:autoSpaceDN/>
        <w:bidi w:val="0"/>
        <w:adjustRightInd w:val="0"/>
        <w:snapToGrid w:val="0"/>
        <w:spacing w:before="7"/>
        <w:ind w:right="84" w:rightChars="40"/>
        <w:rPr>
          <w:rFonts w:hint="eastAsia" w:ascii="宋体" w:hAnsi="宋体" w:eastAsia="宋体" w:cs="宋体"/>
          <w:color w:val="auto"/>
          <w:highlight w:val="none"/>
        </w:rPr>
      </w:pPr>
    </w:p>
    <w:tbl>
      <w:tblPr>
        <w:tblStyle w:val="15"/>
        <w:tblW w:w="963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1939"/>
        <w:gridCol w:w="1567"/>
        <w:gridCol w:w="1017"/>
        <w:gridCol w:w="1002"/>
        <w:gridCol w:w="1551"/>
        <w:gridCol w:w="1926"/>
      </w:tblGrid>
      <w:tr w14:paraId="4FFDF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jc w:val="center"/>
        </w:trPr>
        <w:tc>
          <w:tcPr>
            <w:tcW w:w="634" w:type="dxa"/>
            <w:vAlign w:val="top"/>
          </w:tcPr>
          <w:p w14:paraId="315B69C9">
            <w:pPr>
              <w:keepNext w:val="0"/>
              <w:keepLines w:val="0"/>
              <w:pageBreakBefore w:val="0"/>
              <w:widowControl w:val="0"/>
              <w:kinsoku/>
              <w:wordWrap w:val="0"/>
              <w:overflowPunct/>
              <w:topLinePunct/>
              <w:autoSpaceDE/>
              <w:autoSpaceDN/>
              <w:bidi w:val="0"/>
              <w:adjustRightInd w:val="0"/>
              <w:snapToGrid w:val="0"/>
              <w:spacing w:before="229" w:line="231" w:lineRule="auto"/>
              <w:ind w:left="9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序号</w:t>
            </w:r>
          </w:p>
        </w:tc>
        <w:tc>
          <w:tcPr>
            <w:tcW w:w="1939" w:type="dxa"/>
            <w:vAlign w:val="top"/>
          </w:tcPr>
          <w:p w14:paraId="49571C71">
            <w:pPr>
              <w:keepNext w:val="0"/>
              <w:keepLines w:val="0"/>
              <w:pageBreakBefore w:val="0"/>
              <w:widowControl w:val="0"/>
              <w:kinsoku/>
              <w:wordWrap w:val="0"/>
              <w:overflowPunct/>
              <w:topLinePunct/>
              <w:autoSpaceDE/>
              <w:autoSpaceDN/>
              <w:bidi w:val="0"/>
              <w:adjustRightInd w:val="0"/>
              <w:snapToGrid w:val="0"/>
              <w:spacing w:before="228" w:line="231" w:lineRule="auto"/>
              <w:ind w:left="70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岗位</w:t>
            </w:r>
          </w:p>
        </w:tc>
        <w:tc>
          <w:tcPr>
            <w:tcW w:w="1567" w:type="dxa"/>
            <w:vAlign w:val="top"/>
          </w:tcPr>
          <w:p w14:paraId="186FF45E">
            <w:pPr>
              <w:keepNext w:val="0"/>
              <w:keepLines w:val="0"/>
              <w:pageBreakBefore w:val="0"/>
              <w:widowControl w:val="0"/>
              <w:kinsoku/>
              <w:wordWrap w:val="0"/>
              <w:overflowPunct/>
              <w:topLinePunct/>
              <w:autoSpaceDE/>
              <w:autoSpaceDN/>
              <w:bidi w:val="0"/>
              <w:adjustRightInd w:val="0"/>
              <w:snapToGrid w:val="0"/>
              <w:spacing w:before="228" w:line="231" w:lineRule="auto"/>
              <w:ind w:left="522"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姓名</w:t>
            </w:r>
          </w:p>
        </w:tc>
        <w:tc>
          <w:tcPr>
            <w:tcW w:w="1017" w:type="dxa"/>
            <w:vAlign w:val="top"/>
          </w:tcPr>
          <w:p w14:paraId="0A9524E2">
            <w:pPr>
              <w:keepNext w:val="0"/>
              <w:keepLines w:val="0"/>
              <w:pageBreakBefore w:val="0"/>
              <w:widowControl w:val="0"/>
              <w:kinsoku/>
              <w:wordWrap w:val="0"/>
              <w:overflowPunct/>
              <w:topLinePunct/>
              <w:autoSpaceDE/>
              <w:autoSpaceDN/>
              <w:bidi w:val="0"/>
              <w:adjustRightInd w:val="0"/>
              <w:snapToGrid w:val="0"/>
              <w:spacing w:before="228" w:line="230" w:lineRule="auto"/>
              <w:ind w:left="26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性别</w:t>
            </w:r>
          </w:p>
        </w:tc>
        <w:tc>
          <w:tcPr>
            <w:tcW w:w="1002" w:type="dxa"/>
            <w:vAlign w:val="top"/>
          </w:tcPr>
          <w:p w14:paraId="459A9DF0">
            <w:pPr>
              <w:keepNext w:val="0"/>
              <w:keepLines w:val="0"/>
              <w:pageBreakBefore w:val="0"/>
              <w:widowControl w:val="0"/>
              <w:kinsoku/>
              <w:wordWrap w:val="0"/>
              <w:overflowPunct/>
              <w:topLinePunct/>
              <w:autoSpaceDE/>
              <w:autoSpaceDN/>
              <w:bidi w:val="0"/>
              <w:adjustRightInd w:val="0"/>
              <w:snapToGrid w:val="0"/>
              <w:spacing w:before="229" w:line="231" w:lineRule="auto"/>
              <w:ind w:left="26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年龄</w:t>
            </w:r>
          </w:p>
        </w:tc>
        <w:tc>
          <w:tcPr>
            <w:tcW w:w="1551" w:type="dxa"/>
            <w:vAlign w:val="top"/>
          </w:tcPr>
          <w:p w14:paraId="23D5A9A5">
            <w:pPr>
              <w:keepNext w:val="0"/>
              <w:keepLines w:val="0"/>
              <w:pageBreakBefore w:val="0"/>
              <w:widowControl w:val="0"/>
              <w:kinsoku/>
              <w:wordWrap w:val="0"/>
              <w:overflowPunct/>
              <w:topLinePunct/>
              <w:autoSpaceDE/>
              <w:autoSpaceDN/>
              <w:bidi w:val="0"/>
              <w:adjustRightInd w:val="0"/>
              <w:snapToGrid w:val="0"/>
              <w:spacing w:before="228" w:line="230" w:lineRule="auto"/>
              <w:ind w:left="516"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职称</w:t>
            </w:r>
          </w:p>
        </w:tc>
        <w:tc>
          <w:tcPr>
            <w:tcW w:w="1926" w:type="dxa"/>
            <w:vAlign w:val="top"/>
          </w:tcPr>
          <w:p w14:paraId="7CE790AD">
            <w:pPr>
              <w:keepNext w:val="0"/>
              <w:keepLines w:val="0"/>
              <w:pageBreakBefore w:val="0"/>
              <w:widowControl w:val="0"/>
              <w:kinsoku/>
              <w:wordWrap w:val="0"/>
              <w:overflowPunct/>
              <w:topLinePunct/>
              <w:autoSpaceDE/>
              <w:autoSpaceDN/>
              <w:bidi w:val="0"/>
              <w:adjustRightInd w:val="0"/>
              <w:snapToGrid w:val="0"/>
              <w:spacing w:before="228" w:line="230" w:lineRule="auto"/>
              <w:ind w:left="68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备注</w:t>
            </w:r>
          </w:p>
        </w:tc>
      </w:tr>
      <w:tr w14:paraId="3B897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01F8E5E0">
            <w:pPr>
              <w:keepNext w:val="0"/>
              <w:keepLines w:val="0"/>
              <w:pageBreakBefore w:val="0"/>
              <w:widowControl w:val="0"/>
              <w:kinsoku/>
              <w:wordWrap w:val="0"/>
              <w:overflowPunct/>
              <w:topLinePunct/>
              <w:autoSpaceDE/>
              <w:autoSpaceDN/>
              <w:bidi w:val="0"/>
              <w:adjustRightInd w:val="0"/>
              <w:snapToGrid w:val="0"/>
              <w:spacing w:before="185" w:line="195" w:lineRule="auto"/>
              <w:ind w:left="263"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939" w:type="dxa"/>
            <w:vAlign w:val="top"/>
          </w:tcPr>
          <w:p w14:paraId="65B26142">
            <w:pPr>
              <w:keepNext w:val="0"/>
              <w:keepLines w:val="0"/>
              <w:pageBreakBefore w:val="0"/>
              <w:widowControl w:val="0"/>
              <w:kinsoku/>
              <w:wordWrap w:val="0"/>
              <w:overflowPunct/>
              <w:topLinePunct/>
              <w:autoSpaceDE/>
              <w:autoSpaceDN/>
              <w:bidi w:val="0"/>
              <w:adjustRightInd w:val="0"/>
              <w:snapToGrid w:val="0"/>
              <w:spacing w:before="150" w:line="229" w:lineRule="auto"/>
              <w:ind w:left="486"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1567" w:type="dxa"/>
            <w:vAlign w:val="top"/>
          </w:tcPr>
          <w:p w14:paraId="25ACA30A">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227B28FF">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5C3DF3E9">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1D56B6F3">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3B19BE4E">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450D4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jc w:val="center"/>
        </w:trPr>
        <w:tc>
          <w:tcPr>
            <w:tcW w:w="634" w:type="dxa"/>
            <w:vAlign w:val="top"/>
          </w:tcPr>
          <w:p w14:paraId="74957FB0">
            <w:pPr>
              <w:keepNext w:val="0"/>
              <w:keepLines w:val="0"/>
              <w:pageBreakBefore w:val="0"/>
              <w:widowControl w:val="0"/>
              <w:kinsoku/>
              <w:wordWrap w:val="0"/>
              <w:overflowPunct/>
              <w:topLinePunct/>
              <w:autoSpaceDE/>
              <w:autoSpaceDN/>
              <w:bidi w:val="0"/>
              <w:adjustRightInd w:val="0"/>
              <w:snapToGrid w:val="0"/>
              <w:spacing w:before="187" w:line="195" w:lineRule="auto"/>
              <w:ind w:left="243"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939" w:type="dxa"/>
            <w:vAlign w:val="top"/>
          </w:tcPr>
          <w:p w14:paraId="4786988E">
            <w:pPr>
              <w:keepNext w:val="0"/>
              <w:keepLines w:val="0"/>
              <w:pageBreakBefore w:val="0"/>
              <w:widowControl w:val="0"/>
              <w:kinsoku/>
              <w:wordWrap w:val="0"/>
              <w:overflowPunct/>
              <w:topLinePunct/>
              <w:autoSpaceDE/>
              <w:autoSpaceDN/>
              <w:bidi w:val="0"/>
              <w:adjustRightInd w:val="0"/>
              <w:snapToGrid w:val="0"/>
              <w:spacing w:before="152" w:line="228" w:lineRule="auto"/>
              <w:ind w:right="84" w:rightChars="40"/>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项目技术负责人</w:t>
            </w:r>
          </w:p>
        </w:tc>
        <w:tc>
          <w:tcPr>
            <w:tcW w:w="1567" w:type="dxa"/>
            <w:vAlign w:val="top"/>
          </w:tcPr>
          <w:p w14:paraId="31CE09B6">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654144AD">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63C3F9D0">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2430A330">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19014467">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33957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23B75A9D">
            <w:pPr>
              <w:keepNext w:val="0"/>
              <w:keepLines w:val="0"/>
              <w:pageBreakBefore w:val="0"/>
              <w:widowControl w:val="0"/>
              <w:kinsoku/>
              <w:wordWrap w:val="0"/>
              <w:overflowPunct/>
              <w:topLinePunct/>
              <w:autoSpaceDE/>
              <w:autoSpaceDN/>
              <w:bidi w:val="0"/>
              <w:adjustRightInd w:val="0"/>
              <w:snapToGrid w:val="0"/>
              <w:spacing w:before="189" w:line="195" w:lineRule="auto"/>
              <w:ind w:left="247" w:right="84" w:rightChars="4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939" w:type="dxa"/>
            <w:vAlign w:val="center"/>
          </w:tcPr>
          <w:p w14:paraId="436D13AB">
            <w:pPr>
              <w:keepNext w:val="0"/>
              <w:keepLines w:val="0"/>
              <w:pageBreakBefore w:val="0"/>
              <w:widowControl w:val="0"/>
              <w:kinsoku/>
              <w:wordWrap w:val="0"/>
              <w:overflowPunct/>
              <w:topLinePunct/>
              <w:autoSpaceDE/>
              <w:autoSpaceDN/>
              <w:bidi w:val="0"/>
              <w:adjustRightInd w:val="0"/>
              <w:snapToGrid w:val="0"/>
              <w:spacing w:before="153" w:line="229" w:lineRule="auto"/>
              <w:ind w:left="378" w:right="84" w:rightChars="4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7"/>
                <w:sz w:val="24"/>
                <w:szCs w:val="24"/>
                <w:highlight w:val="none"/>
              </w:rPr>
              <w:t>专职安全员</w:t>
            </w:r>
          </w:p>
        </w:tc>
        <w:tc>
          <w:tcPr>
            <w:tcW w:w="1567" w:type="dxa"/>
            <w:vAlign w:val="top"/>
          </w:tcPr>
          <w:p w14:paraId="690524B0">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70F4A9B1">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64894EAD">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0C993F2D">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41735C03">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6F25E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6F9AF3CC">
            <w:pPr>
              <w:keepNext w:val="0"/>
              <w:keepLines w:val="0"/>
              <w:pageBreakBefore w:val="0"/>
              <w:widowControl w:val="0"/>
              <w:kinsoku/>
              <w:wordWrap w:val="0"/>
              <w:overflowPunct/>
              <w:topLinePunct/>
              <w:autoSpaceDE/>
              <w:autoSpaceDN/>
              <w:bidi w:val="0"/>
              <w:adjustRightInd w:val="0"/>
              <w:snapToGrid w:val="0"/>
              <w:spacing w:before="189" w:line="195" w:lineRule="auto"/>
              <w:ind w:left="247" w:right="84" w:rightChars="4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939" w:type="dxa"/>
            <w:shd w:val="clear" w:color="auto" w:fill="auto"/>
            <w:vAlign w:val="top"/>
          </w:tcPr>
          <w:p w14:paraId="0C7A93F1">
            <w:pPr>
              <w:keepNext w:val="0"/>
              <w:keepLines w:val="0"/>
              <w:pageBreakBefore w:val="0"/>
              <w:widowControl w:val="0"/>
              <w:kinsoku/>
              <w:wordWrap w:val="0"/>
              <w:overflowPunct/>
              <w:topLinePunct/>
              <w:autoSpaceDE/>
              <w:autoSpaceDN/>
              <w:bidi w:val="0"/>
              <w:adjustRightInd w:val="0"/>
              <w:snapToGrid w:val="0"/>
              <w:spacing w:before="152" w:line="230" w:lineRule="auto"/>
              <w:ind w:left="588" w:leftChars="0" w:right="84" w:rightChars="40"/>
              <w:rPr>
                <w:rFonts w:hint="eastAsia" w:ascii="宋体" w:hAnsi="宋体" w:eastAsia="宋体" w:cs="宋体"/>
                <w:snapToGrid w:val="0"/>
                <w:color w:val="auto"/>
                <w:sz w:val="24"/>
                <w:szCs w:val="24"/>
                <w:highlight w:val="none"/>
                <w:lang w:val="en-US" w:eastAsia="zh-CN" w:bidi="ar-SA"/>
              </w:rPr>
            </w:pPr>
            <w:r>
              <w:rPr>
                <w:rFonts w:hint="eastAsia" w:ascii="宋体" w:hAnsi="宋体" w:eastAsia="宋体" w:cs="宋体"/>
                <w:color w:val="auto"/>
                <w:spacing w:val="7"/>
                <w:sz w:val="24"/>
                <w:szCs w:val="24"/>
                <w:highlight w:val="none"/>
              </w:rPr>
              <w:t>施工员</w:t>
            </w:r>
          </w:p>
        </w:tc>
        <w:tc>
          <w:tcPr>
            <w:tcW w:w="1567" w:type="dxa"/>
            <w:vAlign w:val="top"/>
          </w:tcPr>
          <w:p w14:paraId="6C5FF39C">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20CD8613">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2AE2A0C6">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4BD404CE">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27D9F8E6">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73377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3C6237A8">
            <w:pPr>
              <w:keepNext w:val="0"/>
              <w:keepLines w:val="0"/>
              <w:pageBreakBefore w:val="0"/>
              <w:widowControl w:val="0"/>
              <w:kinsoku/>
              <w:wordWrap w:val="0"/>
              <w:overflowPunct/>
              <w:topLinePunct/>
              <w:autoSpaceDE/>
              <w:autoSpaceDN/>
              <w:bidi w:val="0"/>
              <w:adjustRightInd w:val="0"/>
              <w:snapToGrid w:val="0"/>
              <w:spacing w:before="188" w:line="195" w:lineRule="auto"/>
              <w:ind w:left="242" w:right="84" w:rightChars="40"/>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1"/>
                <w:sz w:val="24"/>
                <w:szCs w:val="24"/>
                <w:highlight w:val="none"/>
                <w:lang w:val="en-US" w:eastAsia="zh-CN"/>
              </w:rPr>
              <w:t>5</w:t>
            </w:r>
          </w:p>
        </w:tc>
        <w:tc>
          <w:tcPr>
            <w:tcW w:w="1939" w:type="dxa"/>
            <w:shd w:val="clear" w:color="auto" w:fill="auto"/>
            <w:vAlign w:val="top"/>
          </w:tcPr>
          <w:p w14:paraId="086F8800">
            <w:pPr>
              <w:keepNext w:val="0"/>
              <w:keepLines w:val="0"/>
              <w:pageBreakBefore w:val="0"/>
              <w:widowControl w:val="0"/>
              <w:kinsoku/>
              <w:wordWrap w:val="0"/>
              <w:overflowPunct/>
              <w:topLinePunct/>
              <w:autoSpaceDE/>
              <w:autoSpaceDN/>
              <w:bidi w:val="0"/>
              <w:adjustRightInd w:val="0"/>
              <w:snapToGrid w:val="0"/>
              <w:spacing w:before="154" w:line="229" w:lineRule="auto"/>
              <w:ind w:left="589" w:leftChars="0" w:right="84" w:rightChars="40"/>
              <w:rPr>
                <w:rFonts w:hint="eastAsia" w:ascii="宋体" w:hAnsi="宋体" w:eastAsia="宋体" w:cs="宋体"/>
                <w:snapToGrid w:val="0"/>
                <w:color w:val="auto"/>
                <w:sz w:val="24"/>
                <w:szCs w:val="24"/>
                <w:highlight w:val="none"/>
                <w:lang w:val="en-US" w:eastAsia="en-US" w:bidi="ar-SA"/>
              </w:rPr>
            </w:pPr>
            <w:r>
              <w:rPr>
                <w:rFonts w:hint="eastAsia" w:ascii="宋体" w:hAnsi="宋体" w:eastAsia="宋体" w:cs="宋体"/>
                <w:color w:val="auto"/>
                <w:spacing w:val="6"/>
                <w:sz w:val="24"/>
                <w:szCs w:val="24"/>
                <w:highlight w:val="none"/>
              </w:rPr>
              <w:t>质量员</w:t>
            </w:r>
          </w:p>
        </w:tc>
        <w:tc>
          <w:tcPr>
            <w:tcW w:w="1567" w:type="dxa"/>
            <w:vAlign w:val="top"/>
          </w:tcPr>
          <w:p w14:paraId="5EB34A89">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385C5C20">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2083ED7A">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3A58FD48">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02DF8C99">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53935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0561AC66">
            <w:pPr>
              <w:keepNext w:val="0"/>
              <w:keepLines w:val="0"/>
              <w:pageBreakBefore w:val="0"/>
              <w:widowControl w:val="0"/>
              <w:kinsoku/>
              <w:wordWrap w:val="0"/>
              <w:overflowPunct/>
              <w:topLinePunct/>
              <w:autoSpaceDE/>
              <w:autoSpaceDN/>
              <w:bidi w:val="0"/>
              <w:adjustRightInd w:val="0"/>
              <w:snapToGrid w:val="0"/>
              <w:spacing w:before="193" w:line="192" w:lineRule="auto"/>
              <w:ind w:left="248" w:right="84" w:rightChars="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p>
        </w:tc>
        <w:tc>
          <w:tcPr>
            <w:tcW w:w="1939" w:type="dxa"/>
            <w:shd w:val="clear" w:color="auto" w:fill="auto"/>
            <w:vAlign w:val="top"/>
          </w:tcPr>
          <w:p w14:paraId="292B2036">
            <w:pPr>
              <w:keepNext w:val="0"/>
              <w:keepLines w:val="0"/>
              <w:pageBreakBefore w:val="0"/>
              <w:widowControl w:val="0"/>
              <w:kinsoku/>
              <w:wordWrap w:val="0"/>
              <w:overflowPunct/>
              <w:topLinePunct/>
              <w:autoSpaceDE/>
              <w:autoSpaceDN/>
              <w:bidi w:val="0"/>
              <w:adjustRightInd w:val="0"/>
              <w:snapToGrid w:val="0"/>
              <w:spacing w:before="155" w:line="228" w:lineRule="auto"/>
              <w:ind w:left="589" w:leftChars="0" w:right="84" w:rightChars="40"/>
              <w:rPr>
                <w:rFonts w:hint="eastAsia" w:ascii="宋体" w:hAnsi="宋体" w:eastAsia="宋体" w:cs="宋体"/>
                <w:snapToGrid w:val="0"/>
                <w:color w:val="auto"/>
                <w:sz w:val="24"/>
                <w:szCs w:val="24"/>
                <w:highlight w:val="none"/>
                <w:lang w:val="en-US" w:eastAsia="en-US" w:bidi="ar-SA"/>
              </w:rPr>
            </w:pPr>
            <w:r>
              <w:rPr>
                <w:rFonts w:hint="eastAsia" w:ascii="宋体" w:hAnsi="宋体" w:eastAsia="宋体" w:cs="宋体"/>
                <w:color w:val="auto"/>
                <w:spacing w:val="6"/>
                <w:sz w:val="24"/>
                <w:szCs w:val="24"/>
                <w:highlight w:val="none"/>
              </w:rPr>
              <w:t>材料员</w:t>
            </w:r>
          </w:p>
        </w:tc>
        <w:tc>
          <w:tcPr>
            <w:tcW w:w="1567" w:type="dxa"/>
            <w:vAlign w:val="top"/>
          </w:tcPr>
          <w:p w14:paraId="589BD235">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26264632">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3AD0DF80">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141CC9F6">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13877C92">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229F6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45F20BC2">
            <w:pPr>
              <w:keepNext w:val="0"/>
              <w:keepLines w:val="0"/>
              <w:pageBreakBefore w:val="0"/>
              <w:widowControl w:val="0"/>
              <w:kinsoku/>
              <w:wordWrap w:val="0"/>
              <w:overflowPunct/>
              <w:topLinePunct/>
              <w:autoSpaceDE/>
              <w:autoSpaceDN/>
              <w:bidi w:val="0"/>
              <w:adjustRightInd w:val="0"/>
              <w:snapToGrid w:val="0"/>
              <w:spacing w:before="191" w:line="195" w:lineRule="auto"/>
              <w:ind w:left="247" w:right="84" w:rightChars="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7</w:t>
            </w:r>
          </w:p>
        </w:tc>
        <w:tc>
          <w:tcPr>
            <w:tcW w:w="1939" w:type="dxa"/>
            <w:shd w:val="clear" w:color="auto" w:fill="auto"/>
            <w:vAlign w:val="top"/>
          </w:tcPr>
          <w:p w14:paraId="4099C32E">
            <w:pPr>
              <w:keepNext w:val="0"/>
              <w:keepLines w:val="0"/>
              <w:pageBreakBefore w:val="0"/>
              <w:widowControl w:val="0"/>
              <w:kinsoku/>
              <w:wordWrap w:val="0"/>
              <w:overflowPunct/>
              <w:topLinePunct/>
              <w:autoSpaceDE/>
              <w:autoSpaceDN/>
              <w:bidi w:val="0"/>
              <w:adjustRightInd w:val="0"/>
              <w:snapToGrid w:val="0"/>
              <w:spacing w:before="154" w:line="229" w:lineRule="auto"/>
              <w:ind w:left="598" w:leftChars="0" w:right="84" w:rightChars="40"/>
              <w:rPr>
                <w:rFonts w:hint="eastAsia" w:ascii="宋体" w:hAnsi="宋体" w:eastAsia="宋体" w:cs="宋体"/>
                <w:snapToGrid w:val="0"/>
                <w:color w:val="auto"/>
                <w:sz w:val="24"/>
                <w:szCs w:val="24"/>
                <w:highlight w:val="none"/>
                <w:lang w:val="en-US" w:eastAsia="en-US" w:bidi="ar-SA"/>
              </w:rPr>
            </w:pPr>
            <w:r>
              <w:rPr>
                <w:rFonts w:hint="eastAsia" w:ascii="宋体" w:hAnsi="宋体" w:eastAsia="宋体" w:cs="宋体"/>
                <w:color w:val="auto"/>
                <w:spacing w:val="3"/>
                <w:sz w:val="24"/>
                <w:szCs w:val="24"/>
                <w:highlight w:val="none"/>
              </w:rPr>
              <w:t>资料员</w:t>
            </w:r>
          </w:p>
        </w:tc>
        <w:tc>
          <w:tcPr>
            <w:tcW w:w="1567" w:type="dxa"/>
            <w:vAlign w:val="top"/>
          </w:tcPr>
          <w:p w14:paraId="0ED99DF5">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0EF9E4AE">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12159C18">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7B7FF6B1">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5192C314">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1584F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2E51CAA3">
            <w:pPr>
              <w:keepNext w:val="0"/>
              <w:keepLines w:val="0"/>
              <w:pageBreakBefore w:val="0"/>
              <w:widowControl w:val="0"/>
              <w:kinsoku/>
              <w:wordWrap w:val="0"/>
              <w:overflowPunct/>
              <w:topLinePunct/>
              <w:autoSpaceDE/>
              <w:autoSpaceDN/>
              <w:bidi w:val="0"/>
              <w:adjustRightInd w:val="0"/>
              <w:snapToGrid w:val="0"/>
              <w:spacing w:before="192" w:line="192" w:lineRule="auto"/>
              <w:ind w:left="246" w:right="84" w:rightChars="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8</w:t>
            </w:r>
          </w:p>
        </w:tc>
        <w:tc>
          <w:tcPr>
            <w:tcW w:w="1939" w:type="dxa"/>
            <w:vAlign w:val="top"/>
          </w:tcPr>
          <w:p w14:paraId="3B29A5F2">
            <w:pPr>
              <w:keepNext w:val="0"/>
              <w:keepLines w:val="0"/>
              <w:pageBreakBefore w:val="0"/>
              <w:widowControl w:val="0"/>
              <w:kinsoku/>
              <w:wordWrap w:val="0"/>
              <w:overflowPunct/>
              <w:topLinePunct/>
              <w:autoSpaceDE/>
              <w:autoSpaceDN/>
              <w:bidi w:val="0"/>
              <w:adjustRightInd w:val="0"/>
              <w:snapToGrid w:val="0"/>
              <w:spacing w:before="154" w:line="229" w:lineRule="auto"/>
              <w:ind w:left="598" w:right="84" w:rightChars="40"/>
              <w:rPr>
                <w:rFonts w:hint="eastAsia" w:ascii="宋体" w:hAnsi="宋体" w:eastAsia="宋体" w:cs="宋体"/>
                <w:color w:val="auto"/>
                <w:sz w:val="24"/>
                <w:szCs w:val="24"/>
                <w:highlight w:val="none"/>
              </w:rPr>
            </w:pPr>
          </w:p>
        </w:tc>
        <w:tc>
          <w:tcPr>
            <w:tcW w:w="1567" w:type="dxa"/>
            <w:vAlign w:val="top"/>
          </w:tcPr>
          <w:p w14:paraId="52D716F0">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438E35B7">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2C8B91B0">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67E5FDDF">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19C693A5">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61B32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634" w:type="dxa"/>
            <w:vAlign w:val="top"/>
          </w:tcPr>
          <w:p w14:paraId="24BBF230">
            <w:pPr>
              <w:keepNext w:val="0"/>
              <w:keepLines w:val="0"/>
              <w:pageBreakBefore w:val="0"/>
              <w:widowControl w:val="0"/>
              <w:kinsoku/>
              <w:wordWrap w:val="0"/>
              <w:overflowPunct/>
              <w:topLinePunct/>
              <w:autoSpaceDE/>
              <w:autoSpaceDN/>
              <w:bidi w:val="0"/>
              <w:adjustRightInd w:val="0"/>
              <w:snapToGrid w:val="0"/>
              <w:spacing w:before="154" w:line="325" w:lineRule="exact"/>
              <w:ind w:left="10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939" w:type="dxa"/>
            <w:vAlign w:val="top"/>
          </w:tcPr>
          <w:p w14:paraId="0E4E94EA">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67" w:type="dxa"/>
            <w:vAlign w:val="top"/>
          </w:tcPr>
          <w:p w14:paraId="4EE8E258">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5AFE6722">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28E220C9">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492255C0">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2021F3EF">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bl>
    <w:p w14:paraId="2D0FF884">
      <w:pPr>
        <w:keepNext w:val="0"/>
        <w:keepLines w:val="0"/>
        <w:pageBreakBefore w:val="0"/>
        <w:widowControl w:val="0"/>
        <w:kinsoku/>
        <w:wordWrap w:val="0"/>
        <w:overflowPunct/>
        <w:topLinePunct/>
        <w:autoSpaceDE/>
        <w:autoSpaceDN/>
        <w:bidi w:val="0"/>
        <w:adjustRightInd w:val="0"/>
        <w:snapToGrid w:val="0"/>
        <w:spacing w:before="65" w:line="228" w:lineRule="auto"/>
        <w:ind w:left="43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说明：</w:t>
      </w:r>
    </w:p>
    <w:p w14:paraId="01D2CD46">
      <w:pPr>
        <w:keepNext w:val="0"/>
        <w:keepLines w:val="0"/>
        <w:pageBreakBefore w:val="0"/>
        <w:widowControl w:val="0"/>
        <w:kinsoku/>
        <w:wordWrap w:val="0"/>
        <w:overflowPunct/>
        <w:topLinePunct/>
        <w:autoSpaceDE/>
        <w:autoSpaceDN/>
        <w:bidi w:val="0"/>
        <w:adjustRightInd w:val="0"/>
        <w:snapToGrid w:val="0"/>
        <w:spacing w:before="153" w:line="228" w:lineRule="auto"/>
        <w:ind w:right="84" w:rightChars="40" w:firstLine="49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4"/>
          <w:sz w:val="24"/>
          <w:szCs w:val="24"/>
          <w:highlight w:val="none"/>
        </w:rPr>
        <w:t>．《项目管理机构组成表》后应附表中拟派人</w:t>
      </w:r>
      <w:r>
        <w:rPr>
          <w:rFonts w:hint="eastAsia" w:ascii="宋体" w:hAnsi="宋体" w:eastAsia="宋体" w:cs="宋体"/>
          <w:color w:val="auto"/>
          <w:spacing w:val="3"/>
          <w:sz w:val="24"/>
          <w:szCs w:val="24"/>
          <w:highlight w:val="none"/>
        </w:rPr>
        <w:t>员（项目经理、项目技术负责人除外）以下资料：</w:t>
      </w:r>
    </w:p>
    <w:p w14:paraId="25C4336A">
      <w:pPr>
        <w:keepNext w:val="0"/>
        <w:keepLines w:val="0"/>
        <w:pageBreakBefore w:val="0"/>
        <w:widowControl w:val="0"/>
        <w:kinsoku/>
        <w:wordWrap w:val="0"/>
        <w:overflowPunct/>
        <w:topLinePunct/>
        <w:autoSpaceDE/>
        <w:autoSpaceDN/>
        <w:bidi w:val="0"/>
        <w:adjustRightInd w:val="0"/>
        <w:snapToGrid w:val="0"/>
        <w:spacing w:before="154" w:line="228" w:lineRule="auto"/>
        <w:ind w:left="448" w:right="84" w:rightChars="40"/>
        <w:jc w:val="left"/>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lang w:val="en-US" w:eastAsia="zh-CN"/>
        </w:rPr>
        <w:t>1</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身份证彩色扫描件；</w:t>
      </w:r>
    </w:p>
    <w:p w14:paraId="2FE37AA9">
      <w:pPr>
        <w:keepNext w:val="0"/>
        <w:keepLines w:val="0"/>
        <w:pageBreakBefore w:val="0"/>
        <w:widowControl w:val="0"/>
        <w:kinsoku/>
        <w:wordWrap w:val="0"/>
        <w:overflowPunct/>
        <w:topLinePunct/>
        <w:autoSpaceDE/>
        <w:autoSpaceDN/>
        <w:bidi w:val="0"/>
        <w:adjustRightInd w:val="0"/>
        <w:snapToGrid w:val="0"/>
        <w:spacing w:before="152" w:line="228" w:lineRule="auto"/>
        <w:ind w:left="42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2</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9"/>
          <w:sz w:val="24"/>
          <w:szCs w:val="24"/>
          <w:highlight w:val="none"/>
        </w:rPr>
        <w:t>专职安全员须提供C类安全生产考核合格证书扫描件或“建筑施工企业管理人员安全生产考核信息系统”考核合格信息扫描件；施工员、质量员、材料员、资料员附岗位证书或培训证书彩色扫描件或打印件；</w:t>
      </w:r>
    </w:p>
    <w:p w14:paraId="4E3BEF55">
      <w:pPr>
        <w:keepNext w:val="0"/>
        <w:keepLines w:val="0"/>
        <w:pageBreakBefore w:val="0"/>
        <w:widowControl w:val="0"/>
        <w:kinsoku/>
        <w:wordWrap w:val="0"/>
        <w:overflowPunct/>
        <w:topLinePunct/>
        <w:autoSpaceDE/>
        <w:autoSpaceDN/>
        <w:bidi w:val="0"/>
        <w:adjustRightInd w:val="0"/>
        <w:snapToGrid w:val="0"/>
        <w:spacing w:before="153" w:line="299" w:lineRule="auto"/>
        <w:ind w:left="11" w:right="84" w:rightChars="40" w:firstLine="42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lang w:val="en-US" w:eastAsia="zh-CN"/>
        </w:rPr>
        <w:t>3</w:t>
      </w: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rPr>
        <w:t>在本单位缴纳社保的证明（</w:t>
      </w:r>
      <w:r>
        <w:rPr>
          <w:rFonts w:hint="eastAsia" w:ascii="宋体" w:hAnsi="宋体" w:eastAsia="宋体" w:cs="宋体"/>
          <w:color w:val="auto"/>
          <w:sz w:val="24"/>
          <w:szCs w:val="24"/>
          <w:highlight w:val="none"/>
          <w:lang w:eastAsia="zh-CN"/>
        </w:rPr>
        <w:t>至少连续三个月，其中必须有2025年10月</w:t>
      </w:r>
      <w:r>
        <w:rPr>
          <w:rFonts w:hint="eastAsia" w:ascii="宋体" w:hAnsi="宋体" w:eastAsia="宋体" w:cs="宋体"/>
          <w:color w:val="auto"/>
          <w:spacing w:val="8"/>
          <w:sz w:val="24"/>
          <w:szCs w:val="24"/>
          <w:highlight w:val="none"/>
        </w:rPr>
        <w:t>）彩色扫描件</w:t>
      </w:r>
      <w:r>
        <w:rPr>
          <w:rFonts w:hint="eastAsia" w:ascii="宋体" w:hAnsi="宋体" w:eastAsia="宋体" w:cs="宋体"/>
          <w:color w:val="auto"/>
          <w:spacing w:val="8"/>
          <w:sz w:val="24"/>
          <w:szCs w:val="24"/>
          <w:highlight w:val="none"/>
          <w:lang w:val="en-US" w:eastAsia="zh-CN"/>
        </w:rPr>
        <w:t>或打印件</w:t>
      </w:r>
      <w:r>
        <w:rPr>
          <w:rFonts w:hint="eastAsia" w:ascii="宋体" w:hAnsi="宋体" w:eastAsia="宋体" w:cs="宋体"/>
          <w:color w:val="auto"/>
          <w:spacing w:val="8"/>
          <w:sz w:val="24"/>
          <w:szCs w:val="24"/>
          <w:highlight w:val="none"/>
        </w:rPr>
        <w:t>。</w:t>
      </w:r>
      <w:r>
        <w:rPr>
          <w:rFonts w:hint="eastAsia" w:ascii="宋体" w:hAnsi="宋体" w:eastAsia="宋体" w:cs="宋体"/>
          <w:color w:val="auto"/>
          <w:spacing w:val="10"/>
          <w:sz w:val="24"/>
          <w:szCs w:val="24"/>
          <w:highlight w:val="none"/>
        </w:rPr>
        <w:t>拟派</w:t>
      </w:r>
      <w:r>
        <w:rPr>
          <w:rFonts w:hint="eastAsia" w:ascii="宋体" w:hAnsi="宋体" w:eastAsia="宋体" w:cs="宋体"/>
          <w:color w:val="auto"/>
          <w:spacing w:val="10"/>
          <w:sz w:val="24"/>
          <w:szCs w:val="24"/>
          <w:highlight w:val="none"/>
          <w:lang w:val="en-US" w:eastAsia="zh-CN"/>
        </w:rPr>
        <w:t>人员</w:t>
      </w:r>
      <w:r>
        <w:rPr>
          <w:rFonts w:hint="eastAsia" w:ascii="宋体" w:hAnsi="宋体" w:eastAsia="宋体" w:cs="宋体"/>
          <w:color w:val="auto"/>
          <w:spacing w:val="10"/>
          <w:sz w:val="24"/>
          <w:szCs w:val="24"/>
          <w:highlight w:val="none"/>
        </w:rPr>
        <w:t>为退休返聘人员无法提供社</w:t>
      </w:r>
      <w:r>
        <w:rPr>
          <w:rFonts w:hint="eastAsia" w:ascii="宋体" w:hAnsi="宋体" w:eastAsia="宋体" w:cs="宋体"/>
          <w:color w:val="auto"/>
          <w:spacing w:val="9"/>
          <w:sz w:val="24"/>
          <w:szCs w:val="24"/>
          <w:highlight w:val="none"/>
        </w:rPr>
        <w:t>保证明的，提供退休证和劳动合同彩色扫描件。</w:t>
      </w:r>
    </w:p>
    <w:p w14:paraId="68BBA7AC">
      <w:pPr>
        <w:keepNext w:val="0"/>
        <w:keepLines w:val="0"/>
        <w:pageBreakBefore w:val="0"/>
        <w:widowControl w:val="0"/>
        <w:kinsoku/>
        <w:wordWrap w:val="0"/>
        <w:overflowPunct/>
        <w:topLinePunct/>
        <w:autoSpaceDE/>
        <w:autoSpaceDN/>
        <w:bidi w:val="0"/>
        <w:adjustRightInd w:val="0"/>
        <w:snapToGrid w:val="0"/>
        <w:spacing w:before="152" w:line="228" w:lineRule="auto"/>
        <w:ind w:left="0" w:leftChars="0" w:right="84" w:rightChars="40" w:firstLine="419" w:firstLineChars="164"/>
        <w:rPr>
          <w:rFonts w:hint="eastAsia" w:ascii="宋体" w:hAnsi="宋体" w:eastAsia="宋体" w:cs="宋体"/>
          <w:color w:val="auto"/>
          <w:spacing w:val="9"/>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9"/>
          <w:sz w:val="24"/>
          <w:szCs w:val="24"/>
          <w:highlight w:val="none"/>
        </w:rPr>
        <w:t>“进粤企业和人员诚信信息登记平台”个人信息情况截图。（适用于省外建筑企业）</w:t>
      </w:r>
    </w:p>
    <w:p w14:paraId="65871334">
      <w:pPr>
        <w:keepNext w:val="0"/>
        <w:keepLines w:val="0"/>
        <w:pageBreakBefore w:val="0"/>
        <w:widowControl w:val="0"/>
        <w:kinsoku/>
        <w:wordWrap w:val="0"/>
        <w:overflowPunct/>
        <w:topLinePunct/>
        <w:autoSpaceDE/>
        <w:autoSpaceDN/>
        <w:bidi w:val="0"/>
        <w:adjustRightInd w:val="0"/>
        <w:snapToGrid w:val="0"/>
        <w:spacing w:before="153" w:line="299" w:lineRule="auto"/>
        <w:ind w:left="16" w:right="84" w:rightChars="40" w:firstLine="41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lang w:val="en-US" w:eastAsia="zh-CN"/>
        </w:rPr>
        <w:t>2.</w:t>
      </w:r>
      <w:r>
        <w:rPr>
          <w:rFonts w:hint="eastAsia" w:ascii="宋体" w:hAnsi="宋体" w:eastAsia="宋体" w:cs="宋体"/>
          <w:color w:val="auto"/>
          <w:spacing w:val="8"/>
          <w:sz w:val="24"/>
          <w:szCs w:val="24"/>
          <w:highlight w:val="none"/>
        </w:rPr>
        <w:t>联合体投标的，《项目管理机构组成表》应包括联合体成员单位参与项目管理</w:t>
      </w:r>
      <w:r>
        <w:rPr>
          <w:rFonts w:hint="eastAsia" w:ascii="宋体" w:hAnsi="宋体" w:eastAsia="宋体" w:cs="宋体"/>
          <w:color w:val="auto"/>
          <w:spacing w:val="7"/>
          <w:sz w:val="24"/>
          <w:szCs w:val="24"/>
          <w:highlight w:val="none"/>
        </w:rPr>
        <w:t>机构的人员，并提供以上所需资料。</w:t>
      </w:r>
    </w:p>
    <w:p w14:paraId="5EFA4D90">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34" w:name="_Toc31152"/>
      <w:r>
        <w:rPr>
          <w:rFonts w:hint="eastAsia" w:ascii="宋体" w:hAnsi="宋体" w:eastAsia="宋体" w:cs="宋体"/>
          <w:b/>
          <w:bCs/>
          <w:color w:val="auto"/>
          <w:spacing w:val="-4"/>
          <w:sz w:val="24"/>
          <w:szCs w:val="24"/>
          <w:highlight w:val="none"/>
        </w:rPr>
        <w:t>格式十二 建造师查询页（有效期+建造师签字）</w:t>
      </w:r>
      <w:bookmarkEnd w:id="234"/>
    </w:p>
    <w:p w14:paraId="36AA6A5C">
      <w:pPr>
        <w:rPr>
          <w:rFonts w:hint="eastAsia" w:ascii="宋体" w:hAnsi="宋体" w:eastAsia="宋体" w:cs="宋体"/>
          <w:b/>
          <w:bCs/>
          <w:color w:val="auto"/>
          <w:spacing w:val="-4"/>
          <w:sz w:val="24"/>
          <w:szCs w:val="24"/>
          <w:highlight w:val="none"/>
        </w:rPr>
      </w:pPr>
      <w:r>
        <w:rPr>
          <w:rFonts w:ascii="Times New Roman"/>
          <w:strike/>
          <w:snapToGrid w:val="0"/>
          <w:color w:val="auto"/>
          <w:sz w:val="21"/>
          <w:highlight w:val="none"/>
        </w:rPr>
        <w:drawing>
          <wp:inline distT="0" distB="0" distL="114300" distR="114300">
            <wp:extent cx="5343525" cy="7470775"/>
            <wp:effectExtent l="0" t="0" r="9525" b="1587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52"/>
                    <a:stretch>
                      <a:fillRect/>
                    </a:stretch>
                  </pic:blipFill>
                  <pic:spPr>
                    <a:xfrm>
                      <a:off x="0" y="0"/>
                      <a:ext cx="5343525" cy="7470775"/>
                    </a:xfrm>
                    <a:prstGeom prst="rect">
                      <a:avLst/>
                    </a:prstGeom>
                    <a:noFill/>
                    <a:ln>
                      <a:noFill/>
                    </a:ln>
                  </pic:spPr>
                </pic:pic>
              </a:graphicData>
            </a:graphic>
          </wp:inline>
        </w:drawing>
      </w:r>
      <w:r>
        <w:rPr>
          <w:rFonts w:hint="eastAsia" w:ascii="宋体" w:hAnsi="宋体" w:eastAsia="宋体" w:cs="宋体"/>
          <w:b/>
          <w:bCs/>
          <w:color w:val="auto"/>
          <w:spacing w:val="-4"/>
          <w:sz w:val="24"/>
          <w:szCs w:val="24"/>
          <w:highlight w:val="none"/>
        </w:rPr>
        <w:br w:type="page"/>
      </w:r>
    </w:p>
    <w:p w14:paraId="2DA5FE91">
      <w:pPr>
        <w:keepNext w:val="0"/>
        <w:keepLines w:val="0"/>
        <w:pageBreakBefore w:val="0"/>
        <w:widowControl w:val="0"/>
        <w:kinsoku/>
        <w:wordWrap w:val="0"/>
        <w:overflowPunct/>
        <w:topLinePunct/>
        <w:autoSpaceDE/>
        <w:autoSpaceDN/>
        <w:bidi w:val="0"/>
        <w:adjustRightInd w:val="0"/>
        <w:snapToGrid w:val="0"/>
        <w:spacing w:line="10744" w:lineRule="exact"/>
        <w:ind w:right="84" w:rightChars="40"/>
        <w:rPr>
          <w:rFonts w:hint="eastAsia" w:ascii="宋体" w:hAnsi="宋体" w:eastAsia="宋体" w:cs="宋体"/>
          <w:color w:val="auto"/>
          <w:highlight w:val="none"/>
        </w:rPr>
      </w:pPr>
      <w:r>
        <w:rPr>
          <w:rFonts w:hint="eastAsia" w:ascii="宋体" w:hAnsi="宋体" w:eastAsia="宋体" w:cs="宋体"/>
          <w:color w:val="auto"/>
          <w:position w:val="-214"/>
          <w:highlight w:val="none"/>
        </w:rPr>
        <w:drawing>
          <wp:inline distT="0" distB="0" distL="114300" distR="114300">
            <wp:extent cx="6285865" cy="6925310"/>
            <wp:effectExtent l="0" t="0" r="635" b="8890"/>
            <wp:docPr id="4" name="图片 9"/>
            <wp:cNvGraphicFramePr/>
            <a:graphic xmlns:a="http://schemas.openxmlformats.org/drawingml/2006/main">
              <a:graphicData uri="http://schemas.openxmlformats.org/drawingml/2006/picture">
                <pic:pic xmlns:pic="http://schemas.openxmlformats.org/drawingml/2006/picture">
                  <pic:nvPicPr>
                    <pic:cNvPr id="4" name="图片 9"/>
                    <pic:cNvPicPr/>
                  </pic:nvPicPr>
                  <pic:blipFill>
                    <a:blip r:embed="rId53"/>
                    <a:stretch>
                      <a:fillRect/>
                    </a:stretch>
                  </pic:blipFill>
                  <pic:spPr>
                    <a:xfrm>
                      <a:off x="0" y="0"/>
                      <a:ext cx="6285865" cy="6925310"/>
                    </a:xfrm>
                    <a:prstGeom prst="rect">
                      <a:avLst/>
                    </a:prstGeom>
                    <a:noFill/>
                    <a:ln>
                      <a:noFill/>
                    </a:ln>
                  </pic:spPr>
                </pic:pic>
              </a:graphicData>
            </a:graphic>
          </wp:inline>
        </w:drawing>
      </w:r>
    </w:p>
    <w:p w14:paraId="3FF2DB38">
      <w:pPr>
        <w:keepNext w:val="0"/>
        <w:keepLines w:val="0"/>
        <w:pageBreakBefore w:val="0"/>
        <w:widowControl w:val="0"/>
        <w:kinsoku/>
        <w:wordWrap w:val="0"/>
        <w:overflowPunct/>
        <w:topLinePunct/>
        <w:autoSpaceDE/>
        <w:autoSpaceDN/>
        <w:bidi w:val="0"/>
        <w:adjustRightInd w:val="0"/>
        <w:snapToGrid w:val="0"/>
        <w:spacing w:line="10744" w:lineRule="exact"/>
        <w:ind w:right="84" w:rightChars="40"/>
        <w:rPr>
          <w:rFonts w:hint="eastAsia" w:ascii="宋体" w:hAnsi="宋体" w:eastAsia="宋体" w:cs="宋体"/>
          <w:color w:val="auto"/>
          <w:highlight w:val="none"/>
        </w:rPr>
        <w:sectPr>
          <w:footerReference r:id="rId22"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0592D277">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35" w:name="_Toc19364"/>
      <w:r>
        <w:rPr>
          <w:rFonts w:hint="eastAsia" w:ascii="宋体" w:hAnsi="宋体" w:eastAsia="宋体" w:cs="宋体"/>
          <w:b/>
          <w:bCs/>
          <w:color w:val="auto"/>
          <w:spacing w:val="-4"/>
          <w:sz w:val="24"/>
          <w:szCs w:val="24"/>
          <w:highlight w:val="none"/>
        </w:rPr>
        <w:t>格式十三：</w:t>
      </w:r>
      <w:r>
        <w:rPr>
          <w:rFonts w:hint="eastAsia" w:ascii="宋体" w:hAnsi="宋体" w:eastAsia="宋体" w:cs="宋体"/>
          <w:b/>
          <w:bCs/>
          <w:color w:val="auto"/>
          <w:spacing w:val="7"/>
          <w:sz w:val="22"/>
          <w:szCs w:val="22"/>
          <w:highlight w:val="none"/>
        </w:rPr>
        <w:t>危险性较大的分部分项工程清单及超过一定规模的危险性较大的</w:t>
      </w:r>
      <w:r>
        <w:rPr>
          <w:rFonts w:hint="eastAsia" w:ascii="宋体" w:hAnsi="宋体" w:eastAsia="宋体" w:cs="宋体"/>
          <w:b/>
          <w:bCs/>
          <w:color w:val="auto"/>
          <w:spacing w:val="5"/>
          <w:sz w:val="22"/>
          <w:szCs w:val="22"/>
          <w:highlight w:val="none"/>
        </w:rPr>
        <w:t>分部分项工程清单</w:t>
      </w:r>
      <w:bookmarkEnd w:id="235"/>
    </w:p>
    <w:p w14:paraId="76F220B4">
      <w:pPr>
        <w:pStyle w:val="6"/>
        <w:keepNext w:val="0"/>
        <w:keepLines w:val="0"/>
        <w:pageBreakBefore w:val="0"/>
        <w:widowControl w:val="0"/>
        <w:kinsoku/>
        <w:wordWrap w:val="0"/>
        <w:overflowPunct/>
        <w:topLinePunct/>
        <w:autoSpaceDE/>
        <w:autoSpaceDN/>
        <w:bidi w:val="0"/>
        <w:adjustRightInd w:val="0"/>
        <w:snapToGrid w:val="0"/>
        <w:spacing w:line="269" w:lineRule="auto"/>
        <w:ind w:right="84" w:rightChars="40"/>
        <w:rPr>
          <w:rFonts w:hint="eastAsia" w:ascii="宋体" w:hAnsi="宋体" w:eastAsia="宋体" w:cs="宋体"/>
          <w:color w:val="auto"/>
          <w:highlight w:val="none"/>
        </w:rPr>
      </w:pPr>
    </w:p>
    <w:p w14:paraId="5D9532B4">
      <w:pPr>
        <w:keepNext w:val="0"/>
        <w:keepLines w:val="0"/>
        <w:pageBreakBefore w:val="0"/>
        <w:widowControl w:val="0"/>
        <w:tabs>
          <w:tab w:val="left" w:pos="2940"/>
        </w:tabs>
        <w:kinsoku/>
        <w:wordWrap w:val="0"/>
        <w:overflowPunct/>
        <w:topLinePunct/>
        <w:autoSpaceDE/>
        <w:autoSpaceDN/>
        <w:bidi w:val="0"/>
        <w:adjustRightInd w:val="0"/>
        <w:snapToGrid w:val="0"/>
        <w:spacing w:before="101" w:line="377" w:lineRule="auto"/>
        <w:ind w:left="3179" w:leftChars="0" w:right="84" w:rightChars="40" w:hanging="3133" w:firstLineChars="0"/>
        <w:rPr>
          <w:rFonts w:hint="eastAsia" w:ascii="宋体" w:hAnsi="宋体" w:eastAsia="宋体" w:cs="宋体"/>
          <w:color w:val="auto"/>
          <w:sz w:val="31"/>
          <w:szCs w:val="31"/>
          <w:highlight w:val="none"/>
        </w:rPr>
      </w:pPr>
      <w:bookmarkStart w:id="236" w:name="bookmark160"/>
      <w:bookmarkEnd w:id="236"/>
      <w:bookmarkStart w:id="237" w:name="OLE_LINK41"/>
      <w:r>
        <w:rPr>
          <w:rFonts w:hint="eastAsia" w:ascii="宋体" w:hAnsi="宋体" w:eastAsia="宋体" w:cs="宋体"/>
          <w:b/>
          <w:bCs/>
          <w:color w:val="auto"/>
          <w:spacing w:val="7"/>
          <w:sz w:val="31"/>
          <w:szCs w:val="31"/>
          <w:highlight w:val="none"/>
        </w:rPr>
        <w:t>危险性较大的分部分项工程清单及超过一定规模的危险性较大的</w:t>
      </w:r>
      <w:r>
        <w:rPr>
          <w:rFonts w:hint="eastAsia" w:ascii="宋体" w:hAnsi="宋体" w:eastAsia="宋体" w:cs="宋体"/>
          <w:b/>
          <w:bCs/>
          <w:color w:val="auto"/>
          <w:spacing w:val="5"/>
          <w:sz w:val="31"/>
          <w:szCs w:val="31"/>
          <w:highlight w:val="none"/>
        </w:rPr>
        <w:t>分部分项工程清单</w:t>
      </w:r>
    </w:p>
    <w:bookmarkEnd w:id="237"/>
    <w:p w14:paraId="57A192D8">
      <w:pPr>
        <w:keepNext w:val="0"/>
        <w:keepLines w:val="0"/>
        <w:pageBreakBefore w:val="0"/>
        <w:widowControl w:val="0"/>
        <w:kinsoku/>
        <w:wordWrap w:val="0"/>
        <w:overflowPunct/>
        <w:topLinePunct/>
        <w:autoSpaceDE/>
        <w:autoSpaceDN/>
        <w:bidi w:val="0"/>
        <w:adjustRightInd w:val="0"/>
        <w:snapToGrid w:val="0"/>
        <w:spacing w:before="6" w:line="326" w:lineRule="auto"/>
        <w:ind w:left="5" w:right="84" w:rightChars="40" w:firstLine="49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1.</w:t>
      </w:r>
      <w:r>
        <w:rPr>
          <w:rFonts w:hint="eastAsia" w:ascii="宋体" w:hAnsi="宋体" w:eastAsia="宋体" w:cs="宋体"/>
          <w:color w:val="auto"/>
          <w:spacing w:val="-1"/>
          <w:sz w:val="24"/>
          <w:szCs w:val="24"/>
          <w:highlight w:val="none"/>
        </w:rPr>
        <w:t>根据中华人民共和国住房和城乡建设部令第37号《危险性较大的分部分项工程</w:t>
      </w:r>
      <w:r>
        <w:rPr>
          <w:rFonts w:hint="eastAsia" w:ascii="宋体" w:hAnsi="宋体" w:eastAsia="宋体" w:cs="宋体"/>
          <w:color w:val="auto"/>
          <w:spacing w:val="-2"/>
          <w:sz w:val="24"/>
          <w:szCs w:val="24"/>
          <w:highlight w:val="none"/>
        </w:rPr>
        <w:t>安全管理规定》（以下简称“37号文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投标人在投标时须补充完善危大工程清单并明确相应的安全管理措施。</w:t>
      </w:r>
    </w:p>
    <w:p w14:paraId="436D12E7">
      <w:pPr>
        <w:keepNext w:val="0"/>
        <w:keepLines w:val="0"/>
        <w:pageBreakBefore w:val="0"/>
        <w:widowControl w:val="0"/>
        <w:kinsoku/>
        <w:wordWrap w:val="0"/>
        <w:overflowPunct/>
        <w:topLinePunct/>
        <w:autoSpaceDE/>
        <w:autoSpaceDN/>
        <w:bidi w:val="0"/>
        <w:adjustRightInd w:val="0"/>
        <w:snapToGrid w:val="0"/>
        <w:spacing w:before="208" w:line="326" w:lineRule="auto"/>
        <w:ind w:left="1" w:right="84" w:rightChars="40"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2.</w:t>
      </w:r>
      <w:r>
        <w:rPr>
          <w:rFonts w:hint="eastAsia" w:ascii="宋体" w:hAnsi="宋体" w:eastAsia="宋体" w:cs="宋体"/>
          <w:color w:val="auto"/>
          <w:spacing w:val="-2"/>
          <w:sz w:val="24"/>
          <w:szCs w:val="24"/>
          <w:highlight w:val="none"/>
        </w:rPr>
        <w:t>招标人根据设计文件的要求及37号文、粤建规范〔2019〕2号文的规定列出“危险性较大的分部分项工程清单及超过一定规模的危</w:t>
      </w:r>
      <w:r>
        <w:rPr>
          <w:rFonts w:hint="eastAsia" w:ascii="宋体" w:hAnsi="宋体" w:eastAsia="宋体" w:cs="宋体"/>
          <w:color w:val="auto"/>
          <w:spacing w:val="-3"/>
          <w:sz w:val="24"/>
          <w:szCs w:val="24"/>
          <w:highlight w:val="none"/>
        </w:rPr>
        <w:t>险性较大的分部分项工程清单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”中与</w:t>
      </w:r>
      <w:r>
        <w:rPr>
          <w:rFonts w:hint="eastAsia" w:ascii="宋体" w:hAnsi="宋体" w:eastAsia="宋体" w:cs="宋体"/>
          <w:color w:val="auto"/>
          <w:spacing w:val="-5"/>
          <w:sz w:val="24"/>
          <w:szCs w:val="24"/>
          <w:highlight w:val="none"/>
        </w:rPr>
        <w:t>本招标项目相关的清单项，具体详见第5点“打√</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”标识。</w:t>
      </w:r>
    </w:p>
    <w:p w14:paraId="5A385005">
      <w:pPr>
        <w:keepNext w:val="0"/>
        <w:keepLines w:val="0"/>
        <w:pageBreakBefore w:val="0"/>
        <w:widowControl w:val="0"/>
        <w:kinsoku/>
        <w:wordWrap w:val="0"/>
        <w:overflowPunct/>
        <w:topLinePunct/>
        <w:autoSpaceDE/>
        <w:autoSpaceDN/>
        <w:bidi w:val="0"/>
        <w:adjustRightInd w:val="0"/>
        <w:snapToGrid w:val="0"/>
        <w:spacing w:before="209" w:line="299" w:lineRule="auto"/>
        <w:ind w:left="3" w:right="84" w:rightChars="40" w:firstLine="48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（1）投标单位同意建设单位在清单中标识的该</w:t>
      </w:r>
      <w:r>
        <w:rPr>
          <w:rFonts w:hint="eastAsia" w:ascii="宋体" w:hAnsi="宋体" w:eastAsia="宋体" w:cs="宋体"/>
          <w:color w:val="auto"/>
          <w:spacing w:val="-4"/>
          <w:sz w:val="24"/>
          <w:szCs w:val="24"/>
          <w:highlight w:val="none"/>
        </w:rPr>
        <w:t>项请在对应项打“</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”标识，</w:t>
      </w:r>
      <w:r>
        <w:rPr>
          <w:rFonts w:hint="eastAsia" w:ascii="宋体" w:hAnsi="宋体" w:eastAsia="宋体" w:cs="宋体"/>
          <w:color w:val="auto"/>
          <w:spacing w:val="-4"/>
          <w:sz w:val="24"/>
          <w:szCs w:val="24"/>
          <w:highlight w:val="none"/>
          <w:lang w:eastAsia="zh-CN"/>
        </w:rPr>
        <w:t>并于</w:t>
      </w:r>
      <w:r>
        <w:rPr>
          <w:rFonts w:hint="eastAsia" w:ascii="宋体" w:hAnsi="宋体" w:eastAsia="宋体" w:cs="宋体"/>
          <w:color w:val="auto"/>
          <w:spacing w:val="-1"/>
          <w:sz w:val="24"/>
          <w:szCs w:val="24"/>
          <w:highlight w:val="none"/>
        </w:rPr>
        <w:t>投标文件中提供相应的安全管理措施。</w:t>
      </w:r>
    </w:p>
    <w:p w14:paraId="601B3659">
      <w:pPr>
        <w:keepNext w:val="0"/>
        <w:keepLines w:val="0"/>
        <w:pageBreakBefore w:val="0"/>
        <w:widowControl w:val="0"/>
        <w:kinsoku/>
        <w:wordWrap w:val="0"/>
        <w:overflowPunct/>
        <w:topLinePunct/>
        <w:autoSpaceDE/>
        <w:autoSpaceDN/>
        <w:bidi w:val="0"/>
        <w:adjustRightInd w:val="0"/>
        <w:snapToGrid w:val="0"/>
        <w:spacing w:before="208" w:line="299" w:lineRule="auto"/>
        <w:ind w:left="2"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（2）投标单位对清单中认为需要补充的该项请</w:t>
      </w:r>
      <w:r>
        <w:rPr>
          <w:rFonts w:hint="eastAsia" w:ascii="宋体" w:hAnsi="宋体" w:eastAsia="宋体" w:cs="宋体"/>
          <w:color w:val="auto"/>
          <w:spacing w:val="-4"/>
          <w:sz w:val="24"/>
          <w:szCs w:val="24"/>
          <w:highlight w:val="none"/>
        </w:rPr>
        <w:t>在对应项打“</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”标识，</w:t>
      </w:r>
      <w:r>
        <w:rPr>
          <w:rFonts w:hint="eastAsia" w:ascii="宋体" w:hAnsi="宋体" w:eastAsia="宋体" w:cs="宋体"/>
          <w:color w:val="auto"/>
          <w:spacing w:val="-4"/>
          <w:sz w:val="24"/>
          <w:szCs w:val="24"/>
          <w:highlight w:val="none"/>
          <w:lang w:eastAsia="zh-CN"/>
        </w:rPr>
        <w:t>并于</w:t>
      </w:r>
      <w:r>
        <w:rPr>
          <w:rFonts w:hint="eastAsia" w:ascii="宋体" w:hAnsi="宋体" w:eastAsia="宋体" w:cs="宋体"/>
          <w:color w:val="auto"/>
          <w:spacing w:val="-4"/>
          <w:sz w:val="24"/>
          <w:szCs w:val="24"/>
          <w:highlight w:val="none"/>
        </w:rPr>
        <w:t>投标</w:t>
      </w:r>
      <w:r>
        <w:rPr>
          <w:rFonts w:hint="eastAsia" w:ascii="宋体" w:hAnsi="宋体" w:eastAsia="宋体" w:cs="宋体"/>
          <w:color w:val="auto"/>
          <w:spacing w:val="-1"/>
          <w:sz w:val="24"/>
          <w:szCs w:val="24"/>
          <w:highlight w:val="none"/>
        </w:rPr>
        <w:t>文件中提供相应的安全管理措施。</w:t>
      </w:r>
    </w:p>
    <w:p w14:paraId="3DAF49EE">
      <w:pPr>
        <w:keepNext w:val="0"/>
        <w:keepLines w:val="0"/>
        <w:pageBreakBefore w:val="0"/>
        <w:widowControl w:val="0"/>
        <w:kinsoku/>
        <w:wordWrap w:val="0"/>
        <w:overflowPunct/>
        <w:topLinePunct/>
        <w:autoSpaceDE/>
        <w:autoSpaceDN/>
        <w:bidi w:val="0"/>
        <w:adjustRightInd w:val="0"/>
        <w:snapToGrid w:val="0"/>
        <w:spacing w:before="210" w:line="300" w:lineRule="auto"/>
        <w:ind w:right="84" w:rightChars="40" w:firstLine="49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（3）投标单位不同意建设单位在清单中标识的该项请在对应项打“</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”标识，并</w:t>
      </w:r>
      <w:r>
        <w:rPr>
          <w:rFonts w:hint="eastAsia" w:ascii="宋体" w:hAnsi="宋体" w:eastAsia="宋体" w:cs="宋体"/>
          <w:color w:val="auto"/>
          <w:spacing w:val="-1"/>
          <w:sz w:val="24"/>
          <w:szCs w:val="24"/>
          <w:highlight w:val="none"/>
        </w:rPr>
        <w:t>在备注栏填上相关说明。</w:t>
      </w:r>
    </w:p>
    <w:p w14:paraId="593E6DAB">
      <w:pPr>
        <w:keepNext w:val="0"/>
        <w:keepLines w:val="0"/>
        <w:pageBreakBefore w:val="0"/>
        <w:widowControl w:val="0"/>
        <w:kinsoku/>
        <w:wordWrap w:val="0"/>
        <w:overflowPunct/>
        <w:topLinePunct/>
        <w:autoSpaceDE/>
        <w:autoSpaceDN/>
        <w:bidi w:val="0"/>
        <w:adjustRightInd w:val="0"/>
        <w:snapToGrid w:val="0"/>
        <w:spacing w:before="207" w:line="371" w:lineRule="auto"/>
        <w:ind w:right="84" w:rightChars="40" w:firstLine="484"/>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u w:val="single"/>
          <w:lang w:eastAsia="zh-CN"/>
        </w:rPr>
        <w:t>3.</w:t>
      </w:r>
      <w:r>
        <w:rPr>
          <w:rFonts w:hint="eastAsia" w:ascii="宋体" w:hAnsi="宋体" w:eastAsia="宋体" w:cs="宋体"/>
          <w:b/>
          <w:bCs/>
          <w:color w:val="auto"/>
          <w:spacing w:val="-4"/>
          <w:sz w:val="24"/>
          <w:szCs w:val="24"/>
          <w:highlight w:val="none"/>
          <w:u w:val="single"/>
        </w:rPr>
        <w:t>投标单位应当在投标时根据招标人提供的下述第5点清单，</w:t>
      </w:r>
      <w:r>
        <w:rPr>
          <w:rFonts w:hint="eastAsia" w:ascii="宋体" w:hAnsi="宋体" w:eastAsia="宋体" w:cs="宋体"/>
          <w:b/>
          <w:bCs/>
          <w:color w:val="auto"/>
          <w:spacing w:val="-5"/>
          <w:sz w:val="24"/>
          <w:szCs w:val="24"/>
          <w:highlight w:val="none"/>
          <w:u w:val="single"/>
        </w:rPr>
        <w:t>在投标施工组织中回</w:t>
      </w:r>
      <w:r>
        <w:rPr>
          <w:rFonts w:hint="eastAsia" w:ascii="宋体" w:hAnsi="宋体" w:eastAsia="宋体" w:cs="宋体"/>
          <w:b/>
          <w:bCs/>
          <w:color w:val="auto"/>
          <w:spacing w:val="-4"/>
          <w:sz w:val="24"/>
          <w:szCs w:val="24"/>
          <w:highlight w:val="none"/>
          <w:u w:val="single"/>
        </w:rPr>
        <w:t>应建设单位提供的危大工程清单，补充相应的安全管理措施。（为减轻标书编制</w:t>
      </w:r>
      <w:r>
        <w:rPr>
          <w:rFonts w:hint="eastAsia" w:ascii="宋体" w:hAnsi="宋体" w:eastAsia="宋体" w:cs="宋体"/>
          <w:b/>
          <w:bCs/>
          <w:color w:val="auto"/>
          <w:spacing w:val="-5"/>
          <w:sz w:val="24"/>
          <w:szCs w:val="24"/>
          <w:highlight w:val="none"/>
          <w:u w:val="single"/>
        </w:rPr>
        <w:t>的工作</w:t>
      </w:r>
      <w:r>
        <w:rPr>
          <w:rFonts w:hint="eastAsia" w:ascii="宋体" w:hAnsi="宋体" w:eastAsia="宋体" w:cs="宋体"/>
          <w:b/>
          <w:bCs/>
          <w:color w:val="auto"/>
          <w:spacing w:val="-2"/>
          <w:sz w:val="24"/>
          <w:szCs w:val="24"/>
          <w:highlight w:val="none"/>
          <w:u w:val="single"/>
        </w:rPr>
        <w:t>量，投标单位回应的危大工程清单该部分的页数应控制在3页内）</w:t>
      </w:r>
    </w:p>
    <w:p w14:paraId="4EBCEFAB">
      <w:pPr>
        <w:keepNext w:val="0"/>
        <w:keepLines w:val="0"/>
        <w:pageBreakBefore w:val="0"/>
        <w:widowControl w:val="0"/>
        <w:kinsoku/>
        <w:wordWrap w:val="0"/>
        <w:overflowPunct/>
        <w:topLinePunct/>
        <w:autoSpaceDE/>
        <w:autoSpaceDN/>
        <w:bidi w:val="0"/>
        <w:adjustRightInd w:val="0"/>
        <w:snapToGrid w:val="0"/>
        <w:spacing w:before="33" w:line="326" w:lineRule="auto"/>
        <w:ind w:left="1" w:right="84" w:rightChars="40" w:firstLine="47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对于超过一定规模的危大工程，中标单位应当组织召开</w:t>
      </w:r>
      <w:r>
        <w:rPr>
          <w:rFonts w:hint="eastAsia" w:ascii="宋体" w:hAnsi="宋体" w:eastAsia="宋体" w:cs="宋体"/>
          <w:color w:val="auto"/>
          <w:spacing w:val="-1"/>
          <w:sz w:val="24"/>
          <w:szCs w:val="24"/>
          <w:highlight w:val="none"/>
        </w:rPr>
        <w:t>专家论证会对专项施工</w:t>
      </w:r>
      <w:r>
        <w:rPr>
          <w:rFonts w:hint="eastAsia" w:ascii="宋体" w:hAnsi="宋体" w:eastAsia="宋体" w:cs="宋体"/>
          <w:color w:val="auto"/>
          <w:spacing w:val="-2"/>
          <w:sz w:val="24"/>
          <w:szCs w:val="24"/>
          <w:highlight w:val="none"/>
        </w:rPr>
        <w:t>方案进行论证。实行施工总承包的，由施工总承包单位组织召开专家论证会。专家论证</w:t>
      </w:r>
      <w:r>
        <w:rPr>
          <w:rFonts w:hint="eastAsia" w:ascii="宋体" w:hAnsi="宋体" w:eastAsia="宋体" w:cs="宋体"/>
          <w:color w:val="auto"/>
          <w:spacing w:val="-1"/>
          <w:sz w:val="24"/>
          <w:szCs w:val="24"/>
          <w:highlight w:val="none"/>
        </w:rPr>
        <w:t>前专项施工方案应当通过施工总承包单位审核和总监理工程师审查。</w:t>
      </w:r>
    </w:p>
    <w:p w14:paraId="5C7384E7">
      <w:pPr>
        <w:keepNext w:val="0"/>
        <w:keepLines w:val="0"/>
        <w:pageBreakBefore w:val="0"/>
        <w:widowControl w:val="0"/>
        <w:kinsoku/>
        <w:wordWrap w:val="0"/>
        <w:overflowPunct/>
        <w:topLinePunct/>
        <w:autoSpaceDE/>
        <w:autoSpaceDN/>
        <w:bidi w:val="0"/>
        <w:adjustRightInd w:val="0"/>
        <w:snapToGrid w:val="0"/>
        <w:spacing w:before="208" w:line="301" w:lineRule="auto"/>
        <w:ind w:right="84" w:rightChars="40" w:firstLine="484"/>
        <w:rPr>
          <w:rFonts w:hint="eastAsia" w:ascii="宋体" w:hAnsi="宋体" w:eastAsia="宋体" w:cs="宋体"/>
          <w:color w:val="auto"/>
          <w:highlight w:val="none"/>
        </w:rPr>
      </w:pPr>
      <w:r>
        <w:rPr>
          <w:rFonts w:hint="eastAsia" w:ascii="宋体" w:hAnsi="宋体" w:eastAsia="宋体" w:cs="宋体"/>
          <w:color w:val="auto"/>
          <w:spacing w:val="2"/>
          <w:sz w:val="24"/>
          <w:szCs w:val="24"/>
          <w:highlight w:val="none"/>
          <w:lang w:eastAsia="zh-CN"/>
        </w:rPr>
        <w:t>5.</w:t>
      </w:r>
      <w:r>
        <w:rPr>
          <w:rFonts w:hint="eastAsia" w:ascii="宋体" w:hAnsi="宋体" w:eastAsia="宋体" w:cs="宋体"/>
          <w:color w:val="auto"/>
          <w:spacing w:val="2"/>
          <w:sz w:val="24"/>
          <w:szCs w:val="24"/>
          <w:highlight w:val="none"/>
        </w:rPr>
        <w:t>危险性较大的分部分项工程清单及超过一</w:t>
      </w:r>
      <w:r>
        <w:rPr>
          <w:rFonts w:hint="eastAsia" w:ascii="宋体" w:hAnsi="宋体" w:eastAsia="宋体" w:cs="宋体"/>
          <w:color w:val="auto"/>
          <w:spacing w:val="1"/>
          <w:sz w:val="24"/>
          <w:szCs w:val="24"/>
          <w:highlight w:val="none"/>
        </w:rPr>
        <w:t>定规模的危险性较大的分部分项工程</w:t>
      </w:r>
      <w:r>
        <w:rPr>
          <w:rFonts w:hint="eastAsia" w:ascii="宋体" w:hAnsi="宋体" w:eastAsia="宋体" w:cs="宋体"/>
          <w:color w:val="auto"/>
          <w:spacing w:val="-4"/>
          <w:sz w:val="24"/>
          <w:szCs w:val="24"/>
          <w:highlight w:val="none"/>
        </w:rPr>
        <w:t>清单</w:t>
      </w:r>
    </w:p>
    <w:tbl>
      <w:tblPr>
        <w:tblStyle w:val="15"/>
        <w:tblpPr w:leftFromText="180" w:rightFromText="180" w:vertAnchor="text" w:horzAnchor="page" w:tblpX="1331" w:tblpY="250"/>
        <w:tblOverlap w:val="never"/>
        <w:tblW w:w="944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4862"/>
        <w:gridCol w:w="1294"/>
        <w:gridCol w:w="1294"/>
        <w:gridCol w:w="1994"/>
      </w:tblGrid>
      <w:tr w14:paraId="309A9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0C70C3C">
            <w:pPr>
              <w:keepNext w:val="0"/>
              <w:keepLines w:val="0"/>
              <w:pageBreakBefore w:val="0"/>
              <w:widowControl w:val="0"/>
              <w:overflowPunct/>
              <w:bidi w:val="0"/>
              <w:adjustRightInd w:val="0"/>
              <w:snapToGrid w:val="0"/>
              <w:spacing w:before="133" w:line="220" w:lineRule="auto"/>
              <w:ind w:firstLine="235" w:firstLineChars="100"/>
              <w:jc w:val="left"/>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3"/>
                <w:sz w:val="24"/>
                <w:szCs w:val="24"/>
                <w:highlight w:val="none"/>
              </w:rPr>
              <w:t>一、危险性较大的分部分项工程清单</w:t>
            </w:r>
          </w:p>
        </w:tc>
        <w:tc>
          <w:tcPr>
            <w:tcW w:w="1294" w:type="dxa"/>
            <w:vAlign w:val="top"/>
          </w:tcPr>
          <w:p w14:paraId="1428304C">
            <w:pPr>
              <w:keepNext w:val="0"/>
              <w:keepLines w:val="0"/>
              <w:pageBreakBefore w:val="0"/>
              <w:widowControl w:val="0"/>
              <w:overflowPunct/>
              <w:bidi w:val="0"/>
              <w:adjustRightInd w:val="0"/>
              <w:snapToGrid w:val="0"/>
              <w:spacing w:before="133" w:line="221" w:lineRule="auto"/>
              <w:ind w:left="0" w:leftChars="0"/>
              <w:jc w:val="center"/>
              <w:rPr>
                <w:rFonts w:hint="eastAsia" w:ascii="宋体" w:hAnsi="宋体" w:eastAsia="宋体" w:cs="宋体"/>
                <w:b/>
                <w:bCs/>
                <w:color w:val="auto"/>
                <w:spacing w:val="-19"/>
                <w:w w:val="94"/>
                <w:sz w:val="24"/>
                <w:szCs w:val="24"/>
                <w:highlight w:val="none"/>
              </w:rPr>
            </w:pPr>
            <w:r>
              <w:rPr>
                <w:rFonts w:hint="eastAsia" w:ascii="宋体" w:hAnsi="宋体" w:eastAsia="宋体" w:cs="宋体"/>
                <w:b/>
                <w:bCs/>
                <w:color w:val="auto"/>
                <w:spacing w:val="-4"/>
                <w:sz w:val="24"/>
                <w:szCs w:val="24"/>
                <w:highlight w:val="none"/>
              </w:rPr>
              <w:t>建设单位</w:t>
            </w:r>
          </w:p>
        </w:tc>
        <w:tc>
          <w:tcPr>
            <w:tcW w:w="1294" w:type="dxa"/>
            <w:vAlign w:val="top"/>
          </w:tcPr>
          <w:p w14:paraId="16CEBC28">
            <w:pPr>
              <w:keepNext w:val="0"/>
              <w:keepLines w:val="0"/>
              <w:pageBreakBefore w:val="0"/>
              <w:widowControl w:val="0"/>
              <w:overflowPunct/>
              <w:bidi w:val="0"/>
              <w:adjustRightInd w:val="0"/>
              <w:snapToGrid w:val="0"/>
              <w:spacing w:before="133" w:line="221" w:lineRule="auto"/>
              <w:ind w:left="0" w:leftChars="0"/>
              <w:jc w:val="center"/>
              <w:rPr>
                <w:rFonts w:hint="eastAsia" w:ascii="宋体" w:hAnsi="宋体" w:eastAsia="宋体" w:cs="宋体"/>
                <w:b/>
                <w:bCs/>
                <w:color w:val="auto"/>
                <w:spacing w:val="-19"/>
                <w:w w:val="94"/>
                <w:sz w:val="24"/>
                <w:szCs w:val="24"/>
                <w:highlight w:val="none"/>
              </w:rPr>
            </w:pPr>
            <w:r>
              <w:rPr>
                <w:rFonts w:hint="eastAsia" w:ascii="宋体" w:hAnsi="宋体" w:eastAsia="宋体" w:cs="宋体"/>
                <w:b/>
                <w:bCs/>
                <w:color w:val="auto"/>
                <w:spacing w:val="-5"/>
                <w:sz w:val="24"/>
                <w:szCs w:val="24"/>
                <w:highlight w:val="none"/>
              </w:rPr>
              <w:t>投标单位</w:t>
            </w:r>
          </w:p>
        </w:tc>
        <w:tc>
          <w:tcPr>
            <w:tcW w:w="1994" w:type="dxa"/>
            <w:vAlign w:val="top"/>
          </w:tcPr>
          <w:p w14:paraId="460ED720">
            <w:pPr>
              <w:keepNext w:val="0"/>
              <w:keepLines w:val="0"/>
              <w:pageBreakBefore w:val="0"/>
              <w:widowControl w:val="0"/>
              <w:overflowPunct/>
              <w:bidi w:val="0"/>
              <w:adjustRightInd w:val="0"/>
              <w:snapToGrid w:val="0"/>
              <w:spacing w:before="133" w:line="222" w:lineRule="auto"/>
              <w:ind w:left="0" w:leftChars="0"/>
              <w:jc w:val="center"/>
              <w:rPr>
                <w:rFonts w:hint="eastAsia" w:ascii="宋体" w:hAnsi="宋体" w:eastAsia="宋体" w:cs="宋体"/>
                <w:b/>
                <w:bCs/>
                <w:color w:val="auto"/>
                <w:highlight w:val="none"/>
              </w:rPr>
            </w:pPr>
            <w:r>
              <w:rPr>
                <w:rFonts w:hint="eastAsia" w:ascii="宋体" w:hAnsi="宋体" w:eastAsia="宋体" w:cs="宋体"/>
                <w:b/>
                <w:bCs/>
                <w:color w:val="auto"/>
                <w:spacing w:val="-7"/>
                <w:sz w:val="24"/>
                <w:szCs w:val="24"/>
                <w:highlight w:val="none"/>
              </w:rPr>
              <w:t>备注</w:t>
            </w:r>
          </w:p>
        </w:tc>
      </w:tr>
      <w:tr w14:paraId="6599F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24B09A9E">
            <w:pPr>
              <w:keepNext w:val="0"/>
              <w:keepLines w:val="0"/>
              <w:pageBreakBefore w:val="0"/>
              <w:widowControl w:val="0"/>
              <w:overflowPunct/>
              <w:bidi w:val="0"/>
              <w:adjustRightInd w:val="0"/>
              <w:snapToGrid w:val="0"/>
              <w:spacing w:before="128" w:line="221" w:lineRule="auto"/>
              <w:ind w:left="120" w:leftChars="0"/>
              <w:rPr>
                <w:rFonts w:hint="eastAsia" w:ascii="宋体" w:hAnsi="宋体" w:eastAsia="宋体" w:cs="宋体"/>
                <w:color w:val="auto"/>
                <w:spacing w:val="-2"/>
                <w:sz w:val="24"/>
                <w:szCs w:val="24"/>
                <w:highlight w:val="none"/>
              </w:rPr>
            </w:pPr>
            <w:r>
              <w:rPr>
                <w:rFonts w:hint="eastAsia" w:ascii="宋体" w:hAnsi="宋体" w:eastAsia="宋体" w:cs="宋体"/>
                <w:color w:val="auto"/>
                <w:spacing w:val="-3"/>
                <w:sz w:val="24"/>
                <w:szCs w:val="24"/>
                <w:highlight w:val="none"/>
              </w:rPr>
              <w:t>一、基坑支护</w:t>
            </w:r>
          </w:p>
        </w:tc>
        <w:tc>
          <w:tcPr>
            <w:tcW w:w="1294" w:type="dxa"/>
            <w:vAlign w:val="top"/>
          </w:tcPr>
          <w:p w14:paraId="00FE45B1">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bookmarkStart w:id="238" w:name="OLE_LINK39"/>
            <w:r>
              <w:rPr>
                <w:rFonts w:hint="eastAsia" w:ascii="宋体" w:hAnsi="宋体" w:eastAsia="宋体" w:cs="宋体"/>
                <w:color w:val="auto"/>
                <w:spacing w:val="5"/>
                <w:sz w:val="24"/>
                <w:szCs w:val="24"/>
                <w:highlight w:val="none"/>
              </w:rPr>
              <w:t xml:space="preserve">  </w:t>
            </w:r>
            <w:bookmarkEnd w:id="238"/>
            <w:r>
              <w:rPr>
                <w:rFonts w:hint="eastAsia" w:ascii="宋体" w:hAnsi="宋体" w:eastAsia="宋体" w:cs="宋体"/>
                <w:color w:val="auto"/>
                <w:spacing w:val="-19"/>
                <w:w w:val="94"/>
                <w:sz w:val="24"/>
                <w:szCs w:val="24"/>
                <w:highlight w:val="none"/>
              </w:rPr>
              <w:t>)</w:t>
            </w:r>
          </w:p>
        </w:tc>
        <w:tc>
          <w:tcPr>
            <w:tcW w:w="1294" w:type="dxa"/>
            <w:vAlign w:val="top"/>
          </w:tcPr>
          <w:p w14:paraId="6A483A7F">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6764980B">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830A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C621B7D">
            <w:pPr>
              <w:keepNext w:val="0"/>
              <w:keepLines w:val="0"/>
              <w:pageBreakBefore w:val="0"/>
              <w:widowControl w:val="0"/>
              <w:overflowPunct/>
              <w:bidi w:val="0"/>
              <w:adjustRightInd w:val="0"/>
              <w:snapToGrid w:val="0"/>
              <w:spacing w:before="129" w:line="328" w:lineRule="auto"/>
              <w:ind w:left="135" w:leftChars="0" w:right="68" w:rightChars="0" w:hanging="8" w:firstLineChars="0"/>
              <w:rPr>
                <w:rFonts w:hint="eastAsia" w:ascii="宋体" w:hAnsi="宋体" w:eastAsia="宋体" w:cs="宋体"/>
                <w:color w:val="auto"/>
                <w:spacing w:val="-2"/>
                <w:sz w:val="24"/>
                <w:szCs w:val="24"/>
                <w:highlight w:val="none"/>
              </w:rPr>
            </w:pPr>
            <w:r>
              <w:rPr>
                <w:rFonts w:hint="eastAsia" w:ascii="宋体" w:hAnsi="宋体" w:eastAsia="宋体" w:cs="宋体"/>
                <w:color w:val="auto"/>
                <w:spacing w:val="-4"/>
                <w:sz w:val="24"/>
                <w:szCs w:val="24"/>
                <w:highlight w:val="none"/>
              </w:rPr>
              <w:t>（一）开挖深度超过</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3m（含</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4"/>
                <w:sz w:val="24"/>
                <w:szCs w:val="24"/>
                <w:highlight w:val="none"/>
              </w:rPr>
              <w:t>3m）的基坑（槽）</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的土方开挖、支护、降水工程。</w:t>
            </w:r>
          </w:p>
        </w:tc>
        <w:tc>
          <w:tcPr>
            <w:tcW w:w="1294" w:type="dxa"/>
            <w:vAlign w:val="top"/>
          </w:tcPr>
          <w:p w14:paraId="27DE03FD">
            <w:pPr>
              <w:pStyle w:val="21"/>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16CF8182">
            <w:pPr>
              <w:keepNext w:val="0"/>
              <w:keepLines w:val="0"/>
              <w:pageBreakBefore w:val="0"/>
              <w:widowControl w:val="0"/>
              <w:overflowPunct/>
              <w:bidi w:val="0"/>
              <w:adjustRightInd w:val="0"/>
              <w:snapToGrid w:val="0"/>
              <w:spacing w:before="78" w:line="223" w:lineRule="auto"/>
              <w:ind w:left="175" w:leftChars="0" w:hanging="175" w:hangingChars="94"/>
              <w:jc w:val="center"/>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1C29EBB">
            <w:pPr>
              <w:pStyle w:val="21"/>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4E11CB3D">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1FE0687">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5FFCA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5334645">
            <w:pPr>
              <w:keepNext w:val="0"/>
              <w:keepLines w:val="0"/>
              <w:pageBreakBefore w:val="0"/>
              <w:widowControl w:val="0"/>
              <w:overflowPunct/>
              <w:bidi w:val="0"/>
              <w:adjustRightInd w:val="0"/>
              <w:snapToGrid w:val="0"/>
              <w:spacing w:before="132" w:line="354" w:lineRule="auto"/>
              <w:ind w:left="116" w:right="108" w:firstLine="11"/>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（二）开挖深度虽未超过</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3m，但地质条件、周</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围环境和地下管线复杂，或影响毗邻建、构筑</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
                <w:sz w:val="24"/>
                <w:szCs w:val="24"/>
                <w:highlight w:val="none"/>
              </w:rPr>
              <w:t>物安全的基坑（槽）的土方开挖、支护、降水</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4"/>
                <w:sz w:val="24"/>
                <w:szCs w:val="24"/>
                <w:highlight w:val="none"/>
              </w:rPr>
              <w:t>工程。</w:t>
            </w:r>
          </w:p>
        </w:tc>
        <w:tc>
          <w:tcPr>
            <w:tcW w:w="1294" w:type="dxa"/>
            <w:vAlign w:val="top"/>
          </w:tcPr>
          <w:p w14:paraId="63630F62">
            <w:pPr>
              <w:pStyle w:val="21"/>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14:paraId="7D984DAC">
            <w:pPr>
              <w:pStyle w:val="21"/>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14:paraId="5F25258B">
            <w:pPr>
              <w:pStyle w:val="21"/>
              <w:keepNext w:val="0"/>
              <w:keepLines w:val="0"/>
              <w:pageBreakBefore w:val="0"/>
              <w:widowControl w:val="0"/>
              <w:overflowPunct/>
              <w:bidi w:val="0"/>
              <w:adjustRightInd w:val="0"/>
              <w:snapToGrid w:val="0"/>
              <w:spacing w:line="264" w:lineRule="auto"/>
              <w:jc w:val="center"/>
              <w:rPr>
                <w:rFonts w:hint="eastAsia" w:ascii="宋体" w:hAnsi="宋体" w:eastAsia="宋体" w:cs="宋体"/>
                <w:color w:val="auto"/>
                <w:highlight w:val="none"/>
              </w:rPr>
            </w:pPr>
          </w:p>
          <w:p w14:paraId="3708F0EE">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bookmarkStart w:id="239" w:name="OLE_LINK40"/>
            <w:r>
              <w:rPr>
                <w:rFonts w:hint="eastAsia" w:ascii="宋体" w:hAnsi="宋体" w:eastAsia="宋体" w:cs="宋体"/>
                <w:color w:val="auto"/>
                <w:spacing w:val="2"/>
                <w:sz w:val="24"/>
                <w:szCs w:val="24"/>
                <w:highlight w:val="none"/>
              </w:rPr>
              <w:t xml:space="preserve"> </w:t>
            </w:r>
            <w:bookmarkEnd w:id="239"/>
            <w:r>
              <w:rPr>
                <w:rFonts w:hint="eastAsia" w:ascii="宋体" w:hAnsi="宋体" w:eastAsia="宋体" w:cs="宋体"/>
                <w:color w:val="auto"/>
                <w:spacing w:val="2"/>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35228A8">
            <w:pPr>
              <w:pStyle w:val="21"/>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14:paraId="14BBEB11">
            <w:pPr>
              <w:pStyle w:val="21"/>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14:paraId="55E79769">
            <w:pPr>
              <w:pStyle w:val="21"/>
              <w:keepNext w:val="0"/>
              <w:keepLines w:val="0"/>
              <w:pageBreakBefore w:val="0"/>
              <w:widowControl w:val="0"/>
              <w:overflowPunct/>
              <w:bidi w:val="0"/>
              <w:adjustRightInd w:val="0"/>
              <w:snapToGrid w:val="0"/>
              <w:spacing w:line="264" w:lineRule="auto"/>
              <w:jc w:val="center"/>
              <w:rPr>
                <w:rFonts w:hint="eastAsia" w:ascii="宋体" w:hAnsi="宋体" w:eastAsia="宋体" w:cs="宋体"/>
                <w:color w:val="auto"/>
                <w:highlight w:val="none"/>
              </w:rPr>
            </w:pPr>
          </w:p>
          <w:p w14:paraId="151D8B23">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CD7DA3F">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C675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3B1BDB4">
            <w:pPr>
              <w:keepNext w:val="0"/>
              <w:keepLines w:val="0"/>
              <w:pageBreakBefore w:val="0"/>
              <w:widowControl w:val="0"/>
              <w:overflowPunct/>
              <w:bidi w:val="0"/>
              <w:adjustRightInd w:val="0"/>
              <w:snapToGrid w:val="0"/>
              <w:spacing w:before="128"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294" w:type="dxa"/>
            <w:vAlign w:val="top"/>
          </w:tcPr>
          <w:p w14:paraId="1BFF443E">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5FAE715">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C82CA8A">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3BAB7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7A3C3AB">
            <w:pPr>
              <w:keepNext w:val="0"/>
              <w:keepLines w:val="0"/>
              <w:pageBreakBefore w:val="0"/>
              <w:widowControl w:val="0"/>
              <w:overflowPunct/>
              <w:bidi w:val="0"/>
              <w:adjustRightInd w:val="0"/>
              <w:snapToGrid w:val="0"/>
              <w:spacing w:before="128" w:line="328"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飞模、隧道模等工程。</w:t>
            </w:r>
          </w:p>
        </w:tc>
        <w:tc>
          <w:tcPr>
            <w:tcW w:w="1294" w:type="dxa"/>
            <w:vAlign w:val="top"/>
          </w:tcPr>
          <w:p w14:paraId="7A9CE50D">
            <w:pPr>
              <w:pStyle w:val="21"/>
              <w:keepNext w:val="0"/>
              <w:keepLines w:val="0"/>
              <w:pageBreakBefore w:val="0"/>
              <w:widowControl w:val="0"/>
              <w:overflowPunct/>
              <w:bidi w:val="0"/>
              <w:adjustRightInd w:val="0"/>
              <w:snapToGrid w:val="0"/>
              <w:spacing w:line="293" w:lineRule="auto"/>
              <w:jc w:val="center"/>
              <w:rPr>
                <w:rFonts w:hint="eastAsia" w:ascii="宋体" w:hAnsi="宋体" w:eastAsia="宋体" w:cs="宋体"/>
                <w:color w:val="auto"/>
                <w:highlight w:val="none"/>
              </w:rPr>
            </w:pPr>
          </w:p>
          <w:p w14:paraId="57ED2204">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2"/>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57391F4">
            <w:pPr>
              <w:pStyle w:val="21"/>
              <w:keepNext w:val="0"/>
              <w:keepLines w:val="0"/>
              <w:pageBreakBefore w:val="0"/>
              <w:widowControl w:val="0"/>
              <w:overflowPunct/>
              <w:bidi w:val="0"/>
              <w:adjustRightInd w:val="0"/>
              <w:snapToGrid w:val="0"/>
              <w:spacing w:line="293" w:lineRule="auto"/>
              <w:jc w:val="center"/>
              <w:rPr>
                <w:rFonts w:hint="eastAsia" w:ascii="宋体" w:hAnsi="宋体" w:eastAsia="宋体" w:cs="宋体"/>
                <w:color w:val="auto"/>
                <w:highlight w:val="none"/>
              </w:rPr>
            </w:pPr>
          </w:p>
          <w:p w14:paraId="1BF00054">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266047B0">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0207B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1F58A8C5">
            <w:pPr>
              <w:keepNext w:val="0"/>
              <w:keepLines w:val="0"/>
              <w:pageBreakBefore w:val="0"/>
              <w:widowControl w:val="0"/>
              <w:overflowPunct/>
              <w:bidi w:val="0"/>
              <w:adjustRightInd w:val="0"/>
              <w:snapToGrid w:val="0"/>
              <w:spacing w:before="131" w:line="362" w:lineRule="auto"/>
              <w:ind w:left="115" w:right="105" w:firstLine="12"/>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（二）混凝土模板支撑工程：搭设高度</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5"/>
                <w:sz w:val="24"/>
                <w:szCs w:val="24"/>
                <w:highlight w:val="none"/>
              </w:rPr>
              <w:t>5m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5"/>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上，或搭设跨度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0"/>
                <w:sz w:val="24"/>
                <w:szCs w:val="24"/>
                <w:highlight w:val="none"/>
              </w:rPr>
              <w:t>及以上，或施工总荷</w:t>
            </w:r>
            <w:r>
              <w:rPr>
                <w:rFonts w:hint="eastAsia" w:ascii="宋体" w:hAnsi="宋体" w:eastAsia="宋体" w:cs="宋体"/>
                <w:color w:val="auto"/>
                <w:spacing w:val="-11"/>
                <w:sz w:val="24"/>
                <w:szCs w:val="24"/>
                <w:highlight w:val="none"/>
              </w:rPr>
              <w:t>载（荷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载效应基本组合的设计值，以下简称设计值）</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14"/>
                <w:sz w:val="24"/>
                <w:szCs w:val="24"/>
                <w:highlight w:val="none"/>
              </w:rPr>
              <w:t>10kN/m2</w:t>
            </w:r>
            <w:r>
              <w:rPr>
                <w:rFonts w:hint="eastAsia" w:ascii="宋体" w:hAnsi="宋体" w:eastAsia="宋体" w:cs="宋体"/>
                <w:color w:val="auto"/>
                <w:spacing w:val="-35"/>
                <w:sz w:val="24"/>
                <w:szCs w:val="24"/>
                <w:highlight w:val="none"/>
              </w:rPr>
              <w:t xml:space="preserve"> </w:t>
            </w:r>
            <w:r>
              <w:rPr>
                <w:rFonts w:hint="eastAsia" w:ascii="宋体" w:hAnsi="宋体" w:eastAsia="宋体" w:cs="宋体"/>
                <w:color w:val="auto"/>
                <w:spacing w:val="-14"/>
                <w:sz w:val="24"/>
                <w:szCs w:val="24"/>
                <w:highlight w:val="none"/>
              </w:rPr>
              <w:t>及以上，或集中线荷载（设计值）15kN/m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及以上，或高度大于支撑水平投影宽度且相对</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独立无</w:t>
            </w:r>
            <w:r>
              <w:rPr>
                <w:rFonts w:hint="eastAsia" w:ascii="宋体" w:hAnsi="宋体" w:eastAsia="宋体" w:cs="宋体"/>
                <w:color w:val="auto"/>
                <w:spacing w:val="-1"/>
                <w:sz w:val="24"/>
                <w:szCs w:val="24"/>
                <w:highlight w:val="none"/>
                <w:lang w:eastAsia="zh-CN"/>
              </w:rPr>
              <w:t>连系</w:t>
            </w:r>
            <w:r>
              <w:rPr>
                <w:rFonts w:hint="eastAsia" w:ascii="宋体" w:hAnsi="宋体" w:eastAsia="宋体" w:cs="宋体"/>
                <w:color w:val="auto"/>
                <w:spacing w:val="-1"/>
                <w:sz w:val="24"/>
                <w:szCs w:val="24"/>
                <w:highlight w:val="none"/>
              </w:rPr>
              <w:t>构件的混凝土模板支撑工程。</w:t>
            </w:r>
          </w:p>
        </w:tc>
        <w:tc>
          <w:tcPr>
            <w:tcW w:w="1294" w:type="dxa"/>
            <w:vAlign w:val="top"/>
          </w:tcPr>
          <w:p w14:paraId="63863D38">
            <w:pPr>
              <w:pStyle w:val="21"/>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14:paraId="1FF96D7D">
            <w:pPr>
              <w:pStyle w:val="21"/>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14:paraId="23ACA02B">
            <w:pPr>
              <w:pStyle w:val="21"/>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14:paraId="5AAB0073">
            <w:pPr>
              <w:pStyle w:val="21"/>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14:paraId="42BF2C32">
            <w:pPr>
              <w:pStyle w:val="21"/>
              <w:keepNext w:val="0"/>
              <w:keepLines w:val="0"/>
              <w:pageBreakBefore w:val="0"/>
              <w:widowControl w:val="0"/>
              <w:overflowPunct/>
              <w:bidi w:val="0"/>
              <w:adjustRightInd w:val="0"/>
              <w:snapToGrid w:val="0"/>
              <w:spacing w:line="256" w:lineRule="auto"/>
              <w:jc w:val="center"/>
              <w:rPr>
                <w:rFonts w:hint="eastAsia" w:ascii="宋体" w:hAnsi="宋体" w:eastAsia="宋体" w:cs="宋体"/>
                <w:color w:val="auto"/>
                <w:highlight w:val="none"/>
              </w:rPr>
            </w:pPr>
          </w:p>
          <w:p w14:paraId="0194721E">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EF05443">
            <w:pPr>
              <w:pStyle w:val="21"/>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14:paraId="5C4DB4D7">
            <w:pPr>
              <w:pStyle w:val="21"/>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14:paraId="563F9297">
            <w:pPr>
              <w:pStyle w:val="21"/>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14:paraId="740684D3">
            <w:pPr>
              <w:pStyle w:val="21"/>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14:paraId="6F6A9EDE">
            <w:pPr>
              <w:pStyle w:val="21"/>
              <w:keepNext w:val="0"/>
              <w:keepLines w:val="0"/>
              <w:pageBreakBefore w:val="0"/>
              <w:widowControl w:val="0"/>
              <w:overflowPunct/>
              <w:bidi w:val="0"/>
              <w:adjustRightInd w:val="0"/>
              <w:snapToGrid w:val="0"/>
              <w:spacing w:line="256" w:lineRule="auto"/>
              <w:jc w:val="center"/>
              <w:rPr>
                <w:rFonts w:hint="eastAsia" w:ascii="宋体" w:hAnsi="宋体" w:eastAsia="宋体" w:cs="宋体"/>
                <w:color w:val="auto"/>
                <w:highlight w:val="none"/>
              </w:rPr>
            </w:pPr>
          </w:p>
          <w:p w14:paraId="7F3E3DE5">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686679BA">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52CB8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704CF9C">
            <w:pPr>
              <w:keepNext w:val="0"/>
              <w:keepLines w:val="0"/>
              <w:pageBreakBefore w:val="0"/>
              <w:widowControl w:val="0"/>
              <w:overflowPunct/>
              <w:bidi w:val="0"/>
              <w:adjustRightInd w:val="0"/>
              <w:snapToGrid w:val="0"/>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3"/>
                <w:sz w:val="24"/>
                <w:szCs w:val="24"/>
                <w:highlight w:val="none"/>
              </w:rPr>
              <w:t>支撑体系。</w:t>
            </w:r>
          </w:p>
        </w:tc>
        <w:tc>
          <w:tcPr>
            <w:tcW w:w="1294" w:type="dxa"/>
            <w:vAlign w:val="top"/>
          </w:tcPr>
          <w:p w14:paraId="0A224D0F">
            <w:pPr>
              <w:pStyle w:val="21"/>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14:paraId="2B5267ED">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26F647F">
            <w:pPr>
              <w:pStyle w:val="21"/>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14:paraId="65491536">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8A95A9B">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0D38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8B3332A">
            <w:pPr>
              <w:keepNext w:val="0"/>
              <w:keepLines w:val="0"/>
              <w:pageBreakBefore w:val="0"/>
              <w:widowControl w:val="0"/>
              <w:overflowPunct/>
              <w:bidi w:val="0"/>
              <w:adjustRightInd w:val="0"/>
              <w:snapToGrid w:val="0"/>
              <w:spacing w:before="130"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294" w:type="dxa"/>
            <w:vAlign w:val="top"/>
          </w:tcPr>
          <w:p w14:paraId="3481268F">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F58BAA4">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81800A1">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1973D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1F4F1CD3">
            <w:pPr>
              <w:keepNext w:val="0"/>
              <w:keepLines w:val="0"/>
              <w:pageBreakBefore w:val="0"/>
              <w:widowControl w:val="0"/>
              <w:overflowPunct/>
              <w:bidi w:val="0"/>
              <w:adjustRightInd w:val="0"/>
              <w:snapToGrid w:val="0"/>
              <w:spacing w:before="131" w:line="327"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294" w:type="dxa"/>
            <w:vAlign w:val="top"/>
          </w:tcPr>
          <w:p w14:paraId="0BE9E1EB">
            <w:pPr>
              <w:pStyle w:val="21"/>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66BB9632">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C212367">
            <w:pPr>
              <w:pStyle w:val="21"/>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788288B7">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281C0E30">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1324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764FD7F4">
            <w:pPr>
              <w:keepNext w:val="0"/>
              <w:keepLines w:val="0"/>
              <w:pageBreakBefore w:val="0"/>
              <w:widowControl w:val="0"/>
              <w:overflowPunct/>
              <w:bidi w:val="0"/>
              <w:adjustRightInd w:val="0"/>
              <w:snapToGrid w:val="0"/>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（二）采用起重机械进行安装的工程。</w:t>
            </w:r>
          </w:p>
        </w:tc>
        <w:tc>
          <w:tcPr>
            <w:tcW w:w="1294" w:type="dxa"/>
            <w:vAlign w:val="top"/>
          </w:tcPr>
          <w:p w14:paraId="672AC0E3">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5A03746">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8EF2552">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07D56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2E4CF21">
            <w:pPr>
              <w:keepNext w:val="0"/>
              <w:keepLines w:val="0"/>
              <w:pageBreakBefore w:val="0"/>
              <w:widowControl w:val="0"/>
              <w:overflowPunct/>
              <w:bidi w:val="0"/>
              <w:adjustRightInd w:val="0"/>
              <w:snapToGrid w:val="0"/>
              <w:spacing w:before="130"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（三）起重机械安装和拆卸工程。</w:t>
            </w:r>
          </w:p>
        </w:tc>
        <w:tc>
          <w:tcPr>
            <w:tcW w:w="1294" w:type="dxa"/>
            <w:vAlign w:val="top"/>
          </w:tcPr>
          <w:p w14:paraId="38F8385F">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2AB6164">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654598C">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C060F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25645759">
            <w:pPr>
              <w:keepNext w:val="0"/>
              <w:keepLines w:val="0"/>
              <w:pageBreakBefore w:val="0"/>
              <w:widowControl w:val="0"/>
              <w:overflowPunct/>
              <w:bidi w:val="0"/>
              <w:adjustRightInd w:val="0"/>
              <w:snapToGrid w:val="0"/>
              <w:spacing w:before="131"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294" w:type="dxa"/>
            <w:vAlign w:val="top"/>
          </w:tcPr>
          <w:p w14:paraId="3DF84CA6">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5"/>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5E01037">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F8B4DDE">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84A0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C283E57">
            <w:pPr>
              <w:keepNext w:val="0"/>
              <w:keepLines w:val="0"/>
              <w:pageBreakBefore w:val="0"/>
              <w:widowControl w:val="0"/>
              <w:overflowPunct/>
              <w:bidi w:val="0"/>
              <w:adjustRightInd w:val="0"/>
              <w:snapToGrid w:val="0"/>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24m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及以上的落地式钢管脚手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架工程（包括采光井、电梯井脚手架）。</w:t>
            </w:r>
          </w:p>
        </w:tc>
        <w:tc>
          <w:tcPr>
            <w:tcW w:w="1294" w:type="dxa"/>
            <w:vAlign w:val="top"/>
          </w:tcPr>
          <w:p w14:paraId="0522476C">
            <w:pPr>
              <w:pStyle w:val="21"/>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7737CF79">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D856EBB">
            <w:pPr>
              <w:pStyle w:val="21"/>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72F9DF08">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8CA6908">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352CE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8AA0856">
            <w:pPr>
              <w:keepNext w:val="0"/>
              <w:keepLines w:val="0"/>
              <w:pageBreakBefore w:val="0"/>
              <w:widowControl w:val="0"/>
              <w:overflowPunct/>
              <w:bidi w:val="0"/>
              <w:adjustRightInd w:val="0"/>
              <w:snapToGrid w:val="0"/>
              <w:spacing w:before="131"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（二）附着式升降脚手架工程。</w:t>
            </w:r>
          </w:p>
        </w:tc>
        <w:tc>
          <w:tcPr>
            <w:tcW w:w="1294" w:type="dxa"/>
            <w:vAlign w:val="top"/>
          </w:tcPr>
          <w:p w14:paraId="2F761E05">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43225D8">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356D893">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2D47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0D577B8">
            <w:pPr>
              <w:keepNext w:val="0"/>
              <w:keepLines w:val="0"/>
              <w:pageBreakBefore w:val="0"/>
              <w:widowControl w:val="0"/>
              <w:overflowPunct/>
              <w:bidi w:val="0"/>
              <w:adjustRightInd w:val="0"/>
              <w:snapToGrid w:val="0"/>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（三）悬挑式脚手架工程。</w:t>
            </w:r>
          </w:p>
        </w:tc>
        <w:tc>
          <w:tcPr>
            <w:tcW w:w="1294" w:type="dxa"/>
            <w:vAlign w:val="top"/>
          </w:tcPr>
          <w:p w14:paraId="4386CE70">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14C27AB">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0BF15408">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5B613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0DED53E">
            <w:pPr>
              <w:keepNext w:val="0"/>
              <w:keepLines w:val="0"/>
              <w:pageBreakBefore w:val="0"/>
              <w:widowControl w:val="0"/>
              <w:overflowPunct/>
              <w:bidi w:val="0"/>
              <w:adjustRightInd w:val="0"/>
              <w:snapToGrid w:val="0"/>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（四）高处作业吊篮。</w:t>
            </w:r>
          </w:p>
        </w:tc>
        <w:tc>
          <w:tcPr>
            <w:tcW w:w="1294" w:type="dxa"/>
            <w:vAlign w:val="top"/>
          </w:tcPr>
          <w:p w14:paraId="1F474B68">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783FC10">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69049AEB">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018B9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3382B69">
            <w:pPr>
              <w:keepNext w:val="0"/>
              <w:keepLines w:val="0"/>
              <w:pageBreakBefore w:val="0"/>
              <w:widowControl w:val="0"/>
              <w:overflowPunct/>
              <w:bidi w:val="0"/>
              <w:adjustRightInd w:val="0"/>
              <w:snapToGrid w:val="0"/>
              <w:spacing w:before="132"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（五）卸料平台、操作平台工程。</w:t>
            </w:r>
          </w:p>
        </w:tc>
        <w:tc>
          <w:tcPr>
            <w:tcW w:w="1294" w:type="dxa"/>
            <w:vAlign w:val="top"/>
          </w:tcPr>
          <w:p w14:paraId="3FB3605C">
            <w:pPr>
              <w:keepNext w:val="0"/>
              <w:keepLines w:val="0"/>
              <w:pageBreakBefore w:val="0"/>
              <w:widowControl w:val="0"/>
              <w:overflowPunct/>
              <w:bidi w:val="0"/>
              <w:adjustRightInd w:val="0"/>
              <w:snapToGrid w:val="0"/>
              <w:spacing w:before="132"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38837EC">
            <w:pPr>
              <w:keepNext w:val="0"/>
              <w:keepLines w:val="0"/>
              <w:pageBreakBefore w:val="0"/>
              <w:widowControl w:val="0"/>
              <w:overflowPunct/>
              <w:bidi w:val="0"/>
              <w:adjustRightInd w:val="0"/>
              <w:snapToGrid w:val="0"/>
              <w:spacing w:before="132"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38A05580">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683C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3C4AAE9">
            <w:pPr>
              <w:keepNext w:val="0"/>
              <w:keepLines w:val="0"/>
              <w:pageBreakBefore w:val="0"/>
              <w:widowControl w:val="0"/>
              <w:overflowPunct/>
              <w:bidi w:val="0"/>
              <w:adjustRightInd w:val="0"/>
              <w:snapToGrid w:val="0"/>
              <w:spacing w:before="133"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（六）异型脚手架工程。</w:t>
            </w:r>
          </w:p>
        </w:tc>
        <w:tc>
          <w:tcPr>
            <w:tcW w:w="1294" w:type="dxa"/>
            <w:vAlign w:val="top"/>
          </w:tcPr>
          <w:p w14:paraId="22D43AAF">
            <w:pPr>
              <w:keepNext w:val="0"/>
              <w:keepLines w:val="0"/>
              <w:pageBreakBefore w:val="0"/>
              <w:widowControl w:val="0"/>
              <w:overflowPunct/>
              <w:bidi w:val="0"/>
              <w:adjustRightInd w:val="0"/>
              <w:snapToGrid w:val="0"/>
              <w:spacing w:before="132"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2"/>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AC4A189">
            <w:pPr>
              <w:keepNext w:val="0"/>
              <w:keepLines w:val="0"/>
              <w:pageBreakBefore w:val="0"/>
              <w:widowControl w:val="0"/>
              <w:overflowPunct/>
              <w:bidi w:val="0"/>
              <w:adjustRightInd w:val="0"/>
              <w:snapToGrid w:val="0"/>
              <w:spacing w:before="132"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1ACDC7D">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302F8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333BE504">
            <w:pPr>
              <w:keepNext w:val="0"/>
              <w:keepLines w:val="0"/>
              <w:pageBreakBefore w:val="0"/>
              <w:widowControl w:val="0"/>
              <w:overflowPunct/>
              <w:bidi w:val="0"/>
              <w:adjustRightInd w:val="0"/>
              <w:snapToGrid w:val="0"/>
              <w:spacing w:before="131"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五、拆除工程</w:t>
            </w:r>
          </w:p>
        </w:tc>
        <w:tc>
          <w:tcPr>
            <w:tcW w:w="1294" w:type="dxa"/>
            <w:vAlign w:val="top"/>
          </w:tcPr>
          <w:p w14:paraId="56AC4704">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5"/>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F66706E">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793C197">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4431F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683F48ED">
            <w:pPr>
              <w:keepNext w:val="0"/>
              <w:keepLines w:val="0"/>
              <w:pageBreakBefore w:val="0"/>
              <w:widowControl w:val="0"/>
              <w:overflowPunct/>
              <w:bidi w:val="0"/>
              <w:adjustRightInd w:val="0"/>
              <w:snapToGrid w:val="0"/>
              <w:spacing w:before="126" w:line="329" w:lineRule="auto"/>
              <w:ind w:left="117" w:right="1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可能影响行人、交通、电力设施、通讯设施或</w:t>
            </w:r>
            <w:r>
              <w:rPr>
                <w:rFonts w:hint="eastAsia" w:ascii="宋体" w:hAnsi="宋体" w:eastAsia="宋体" w:cs="宋体"/>
                <w:color w:val="auto"/>
                <w:spacing w:val="7"/>
                <w:sz w:val="24"/>
                <w:szCs w:val="24"/>
                <w:highlight w:val="none"/>
              </w:rPr>
              <w:t xml:space="preserve"> </w:t>
            </w:r>
            <w:r>
              <w:rPr>
                <w:rFonts w:hint="eastAsia" w:ascii="宋体" w:hAnsi="宋体" w:eastAsia="宋体" w:cs="宋体"/>
                <w:color w:val="auto"/>
                <w:spacing w:val="7"/>
                <w:sz w:val="24"/>
                <w:szCs w:val="24"/>
                <w:highlight w:val="none"/>
                <w:lang w:eastAsia="zh-CN"/>
              </w:rPr>
              <w:t>其他</w:t>
            </w:r>
            <w:r>
              <w:rPr>
                <w:rFonts w:hint="eastAsia" w:ascii="宋体" w:hAnsi="宋体" w:eastAsia="宋体" w:cs="宋体"/>
                <w:color w:val="auto"/>
                <w:spacing w:val="-1"/>
                <w:sz w:val="24"/>
                <w:szCs w:val="24"/>
                <w:highlight w:val="none"/>
              </w:rPr>
              <w:t>建、构筑物安全的拆除工程。</w:t>
            </w:r>
          </w:p>
        </w:tc>
        <w:tc>
          <w:tcPr>
            <w:tcW w:w="1294" w:type="dxa"/>
            <w:vAlign w:val="top"/>
          </w:tcPr>
          <w:p w14:paraId="208E6542">
            <w:pPr>
              <w:pStyle w:val="21"/>
              <w:keepNext w:val="0"/>
              <w:keepLines w:val="0"/>
              <w:pageBreakBefore w:val="0"/>
              <w:widowControl w:val="0"/>
              <w:overflowPunct/>
              <w:bidi w:val="0"/>
              <w:adjustRightInd w:val="0"/>
              <w:snapToGrid w:val="0"/>
              <w:spacing w:line="294" w:lineRule="auto"/>
              <w:jc w:val="center"/>
              <w:rPr>
                <w:rFonts w:hint="eastAsia" w:ascii="宋体" w:hAnsi="宋体" w:eastAsia="宋体" w:cs="宋体"/>
                <w:color w:val="auto"/>
                <w:highlight w:val="none"/>
              </w:rPr>
            </w:pPr>
          </w:p>
          <w:p w14:paraId="59498D1E">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4DC49D2">
            <w:pPr>
              <w:pStyle w:val="21"/>
              <w:keepNext w:val="0"/>
              <w:keepLines w:val="0"/>
              <w:pageBreakBefore w:val="0"/>
              <w:widowControl w:val="0"/>
              <w:overflowPunct/>
              <w:bidi w:val="0"/>
              <w:adjustRightInd w:val="0"/>
              <w:snapToGrid w:val="0"/>
              <w:spacing w:line="294" w:lineRule="auto"/>
              <w:jc w:val="center"/>
              <w:rPr>
                <w:rFonts w:hint="eastAsia" w:ascii="宋体" w:hAnsi="宋体" w:eastAsia="宋体" w:cs="宋体"/>
                <w:color w:val="auto"/>
                <w:highlight w:val="none"/>
              </w:rPr>
            </w:pPr>
          </w:p>
          <w:p w14:paraId="5523284B">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DAE5955">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4EC75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590BEA1F">
            <w:pPr>
              <w:keepNext w:val="0"/>
              <w:keepLines w:val="0"/>
              <w:pageBreakBefore w:val="0"/>
              <w:widowControl w:val="0"/>
              <w:overflowPunct/>
              <w:bidi w:val="0"/>
              <w:adjustRightInd w:val="0"/>
              <w:snapToGrid w:val="0"/>
              <w:spacing w:before="126" w:line="221" w:lineRule="auto"/>
              <w:ind w:left="35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294" w:type="dxa"/>
            <w:vAlign w:val="top"/>
          </w:tcPr>
          <w:p w14:paraId="0E18E93E">
            <w:pPr>
              <w:keepNext w:val="0"/>
              <w:keepLines w:val="0"/>
              <w:pageBreakBefore w:val="0"/>
              <w:widowControl w:val="0"/>
              <w:overflowPunct/>
              <w:bidi w:val="0"/>
              <w:adjustRightInd w:val="0"/>
              <w:snapToGrid w:val="0"/>
              <w:spacing w:before="126"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4484036">
            <w:pPr>
              <w:keepNext w:val="0"/>
              <w:keepLines w:val="0"/>
              <w:pageBreakBefore w:val="0"/>
              <w:widowControl w:val="0"/>
              <w:overflowPunct/>
              <w:bidi w:val="0"/>
              <w:adjustRightInd w:val="0"/>
              <w:snapToGrid w:val="0"/>
              <w:spacing w:before="126"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08D4A6F7">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5B103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9F53F04">
            <w:pPr>
              <w:keepNext w:val="0"/>
              <w:keepLines w:val="0"/>
              <w:pageBreakBefore w:val="0"/>
              <w:widowControl w:val="0"/>
              <w:overflowPunct/>
              <w:bidi w:val="0"/>
              <w:adjustRightInd w:val="0"/>
              <w:snapToGrid w:val="0"/>
              <w:spacing w:before="128" w:line="328"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294" w:type="dxa"/>
            <w:vAlign w:val="top"/>
          </w:tcPr>
          <w:p w14:paraId="44C1714A">
            <w:pPr>
              <w:pStyle w:val="21"/>
              <w:keepNext w:val="0"/>
              <w:keepLines w:val="0"/>
              <w:pageBreakBefore w:val="0"/>
              <w:widowControl w:val="0"/>
              <w:overflowPunct/>
              <w:bidi w:val="0"/>
              <w:adjustRightInd w:val="0"/>
              <w:snapToGrid w:val="0"/>
              <w:spacing w:line="294" w:lineRule="auto"/>
              <w:jc w:val="center"/>
              <w:rPr>
                <w:rFonts w:hint="eastAsia" w:ascii="宋体" w:hAnsi="宋体" w:eastAsia="宋体" w:cs="宋体"/>
                <w:color w:val="auto"/>
                <w:highlight w:val="none"/>
              </w:rPr>
            </w:pPr>
          </w:p>
          <w:p w14:paraId="25B0D62F">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1F0D5C7">
            <w:pPr>
              <w:pStyle w:val="21"/>
              <w:keepNext w:val="0"/>
              <w:keepLines w:val="0"/>
              <w:pageBreakBefore w:val="0"/>
              <w:widowControl w:val="0"/>
              <w:overflowPunct/>
              <w:bidi w:val="0"/>
              <w:adjustRightInd w:val="0"/>
              <w:snapToGrid w:val="0"/>
              <w:spacing w:line="294" w:lineRule="auto"/>
              <w:jc w:val="center"/>
              <w:rPr>
                <w:rFonts w:hint="eastAsia" w:ascii="宋体" w:hAnsi="宋体" w:eastAsia="宋体" w:cs="宋体"/>
                <w:color w:val="auto"/>
                <w:highlight w:val="none"/>
              </w:rPr>
            </w:pPr>
          </w:p>
          <w:p w14:paraId="6D3D27E3">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6AF86AB3">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AAD4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12FACCAA">
            <w:pPr>
              <w:keepNext w:val="0"/>
              <w:keepLines w:val="0"/>
              <w:pageBreakBefore w:val="0"/>
              <w:widowControl w:val="0"/>
              <w:overflowPunct/>
              <w:bidi w:val="0"/>
              <w:adjustRightInd w:val="0"/>
              <w:snapToGrid w:val="0"/>
              <w:spacing w:before="129"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w:t>
            </w:r>
            <w:r>
              <w:rPr>
                <w:rFonts w:hint="eastAsia" w:ascii="宋体" w:hAnsi="宋体" w:eastAsia="宋体" w:cs="宋体"/>
                <w:color w:val="auto"/>
                <w:spacing w:val="-3"/>
                <w:sz w:val="24"/>
                <w:szCs w:val="24"/>
                <w:highlight w:val="none"/>
                <w:lang w:eastAsia="zh-CN"/>
              </w:rPr>
              <w:t>其他</w:t>
            </w:r>
          </w:p>
        </w:tc>
        <w:tc>
          <w:tcPr>
            <w:tcW w:w="1294" w:type="dxa"/>
            <w:vAlign w:val="top"/>
          </w:tcPr>
          <w:p w14:paraId="2271E856">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E2431C4">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C19E512">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EBEC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26D5A5C0">
            <w:pPr>
              <w:keepNext w:val="0"/>
              <w:keepLines w:val="0"/>
              <w:pageBreakBefore w:val="0"/>
              <w:widowControl w:val="0"/>
              <w:overflowPunct/>
              <w:bidi w:val="0"/>
              <w:adjustRightInd w:val="0"/>
              <w:snapToGrid w:val="0"/>
              <w:spacing w:before="128"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（一）建筑幕墙安装工程。</w:t>
            </w:r>
          </w:p>
        </w:tc>
        <w:tc>
          <w:tcPr>
            <w:tcW w:w="1294" w:type="dxa"/>
            <w:vAlign w:val="top"/>
          </w:tcPr>
          <w:p w14:paraId="7C0AA9DB">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868336B">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D1DEA84">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B0F5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0BB802AA">
            <w:pPr>
              <w:keepNext w:val="0"/>
              <w:keepLines w:val="0"/>
              <w:pageBreakBefore w:val="0"/>
              <w:widowControl w:val="0"/>
              <w:overflowPunct/>
              <w:bidi w:val="0"/>
              <w:adjustRightInd w:val="0"/>
              <w:snapToGrid w:val="0"/>
              <w:spacing w:before="128"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（二）钢结构、网架和索膜结构安装工程。</w:t>
            </w:r>
          </w:p>
        </w:tc>
        <w:tc>
          <w:tcPr>
            <w:tcW w:w="1294" w:type="dxa"/>
            <w:vAlign w:val="top"/>
          </w:tcPr>
          <w:p w14:paraId="4389997F">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eastAsia="宋体" w:cs="Arial"/>
                <w:color w:val="auto"/>
                <w:spacing w:val="2"/>
                <w:sz w:val="24"/>
                <w:szCs w:val="24"/>
                <w:highlight w:val="none"/>
                <w:lang w:val="en-US" w:eastAsia="zh-CN"/>
              </w:rPr>
              <w:t xml:space="preserve"> </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B8C316F">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33362C8">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0CFF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168F78D8">
            <w:pPr>
              <w:keepNext w:val="0"/>
              <w:keepLines w:val="0"/>
              <w:pageBreakBefore w:val="0"/>
              <w:widowControl w:val="0"/>
              <w:overflowPunct/>
              <w:bidi w:val="0"/>
              <w:adjustRightInd w:val="0"/>
              <w:snapToGrid w:val="0"/>
              <w:spacing w:before="128"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（三）人工挖孔桩工程。</w:t>
            </w:r>
          </w:p>
        </w:tc>
        <w:tc>
          <w:tcPr>
            <w:tcW w:w="1294" w:type="dxa"/>
            <w:vAlign w:val="top"/>
          </w:tcPr>
          <w:p w14:paraId="1E4485D0">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C9DC418">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38E901A2">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8BDF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3F059E4D">
            <w:pPr>
              <w:keepNext w:val="0"/>
              <w:keepLines w:val="0"/>
              <w:pageBreakBefore w:val="0"/>
              <w:widowControl w:val="0"/>
              <w:overflowPunct/>
              <w:bidi w:val="0"/>
              <w:adjustRightInd w:val="0"/>
              <w:snapToGrid w:val="0"/>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294" w:type="dxa"/>
            <w:vAlign w:val="top"/>
          </w:tcPr>
          <w:p w14:paraId="63FC992D">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AF6B2DF">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3AE5382">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07863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1923E4A7">
            <w:pPr>
              <w:keepNext w:val="0"/>
              <w:keepLines w:val="0"/>
              <w:pageBreakBefore w:val="0"/>
              <w:widowControl w:val="0"/>
              <w:overflowPunct/>
              <w:bidi w:val="0"/>
              <w:adjustRightInd w:val="0"/>
              <w:snapToGrid w:val="0"/>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（五）装配式建筑混凝土预制构件安装工程。</w:t>
            </w:r>
          </w:p>
        </w:tc>
        <w:tc>
          <w:tcPr>
            <w:tcW w:w="1294" w:type="dxa"/>
            <w:vAlign w:val="top"/>
          </w:tcPr>
          <w:p w14:paraId="5A1DA7D1">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D9FD9B4">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237D13A8">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2D09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F4491E7">
            <w:pPr>
              <w:keepNext w:val="0"/>
              <w:keepLines w:val="0"/>
              <w:pageBreakBefore w:val="0"/>
              <w:widowControl w:val="0"/>
              <w:overflowPunct/>
              <w:bidi w:val="0"/>
              <w:adjustRightInd w:val="0"/>
              <w:snapToGrid w:val="0"/>
              <w:spacing w:before="129" w:line="345"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可能影响工程施工安全，尚无国家、行业及地</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方技术标准的分部分项工程。</w:t>
            </w:r>
          </w:p>
        </w:tc>
        <w:tc>
          <w:tcPr>
            <w:tcW w:w="1294" w:type="dxa"/>
            <w:vAlign w:val="top"/>
          </w:tcPr>
          <w:p w14:paraId="5629EE13">
            <w:pPr>
              <w:pStyle w:val="21"/>
              <w:keepNext w:val="0"/>
              <w:keepLines w:val="0"/>
              <w:pageBreakBefore w:val="0"/>
              <w:widowControl w:val="0"/>
              <w:overflowPunct/>
              <w:bidi w:val="0"/>
              <w:adjustRightInd w:val="0"/>
              <w:snapToGrid w:val="0"/>
              <w:spacing w:line="270" w:lineRule="auto"/>
              <w:jc w:val="center"/>
              <w:rPr>
                <w:rFonts w:hint="eastAsia" w:ascii="宋体" w:hAnsi="宋体" w:eastAsia="宋体" w:cs="宋体"/>
                <w:color w:val="auto"/>
                <w:highlight w:val="none"/>
              </w:rPr>
            </w:pPr>
          </w:p>
          <w:p w14:paraId="7AD74689">
            <w:pPr>
              <w:pStyle w:val="21"/>
              <w:keepNext w:val="0"/>
              <w:keepLines w:val="0"/>
              <w:pageBreakBefore w:val="0"/>
              <w:widowControl w:val="0"/>
              <w:overflowPunct/>
              <w:bidi w:val="0"/>
              <w:adjustRightInd w:val="0"/>
              <w:snapToGrid w:val="0"/>
              <w:spacing w:line="271" w:lineRule="auto"/>
              <w:jc w:val="center"/>
              <w:rPr>
                <w:rFonts w:hint="eastAsia" w:ascii="宋体" w:hAnsi="宋体" w:eastAsia="宋体" w:cs="宋体"/>
                <w:color w:val="auto"/>
                <w:highlight w:val="none"/>
              </w:rPr>
            </w:pPr>
          </w:p>
          <w:p w14:paraId="25F95A0D">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484BC22">
            <w:pPr>
              <w:pStyle w:val="21"/>
              <w:keepNext w:val="0"/>
              <w:keepLines w:val="0"/>
              <w:pageBreakBefore w:val="0"/>
              <w:widowControl w:val="0"/>
              <w:overflowPunct/>
              <w:bidi w:val="0"/>
              <w:adjustRightInd w:val="0"/>
              <w:snapToGrid w:val="0"/>
              <w:spacing w:line="270" w:lineRule="auto"/>
              <w:jc w:val="center"/>
              <w:rPr>
                <w:rFonts w:hint="eastAsia" w:ascii="宋体" w:hAnsi="宋体" w:eastAsia="宋体" w:cs="宋体"/>
                <w:color w:val="auto"/>
                <w:highlight w:val="none"/>
              </w:rPr>
            </w:pPr>
          </w:p>
          <w:p w14:paraId="2A929A1B">
            <w:pPr>
              <w:pStyle w:val="21"/>
              <w:keepNext w:val="0"/>
              <w:keepLines w:val="0"/>
              <w:pageBreakBefore w:val="0"/>
              <w:widowControl w:val="0"/>
              <w:overflowPunct/>
              <w:bidi w:val="0"/>
              <w:adjustRightInd w:val="0"/>
              <w:snapToGrid w:val="0"/>
              <w:spacing w:line="271" w:lineRule="auto"/>
              <w:jc w:val="center"/>
              <w:rPr>
                <w:rFonts w:hint="eastAsia" w:ascii="宋体" w:hAnsi="宋体" w:eastAsia="宋体" w:cs="宋体"/>
                <w:color w:val="auto"/>
                <w:highlight w:val="none"/>
              </w:rPr>
            </w:pPr>
          </w:p>
          <w:p w14:paraId="25C9C724">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36B345E2">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DD68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5FE3C2F">
            <w:pPr>
              <w:keepNext w:val="0"/>
              <w:keepLines w:val="0"/>
              <w:pageBreakBefore w:val="0"/>
              <w:widowControl w:val="0"/>
              <w:overflowPunct/>
              <w:bidi w:val="0"/>
              <w:adjustRightInd w:val="0"/>
              <w:snapToGrid w:val="0"/>
              <w:spacing w:before="129" w:line="328" w:lineRule="auto"/>
              <w:ind w:left="115" w:right="108" w:firstLine="4"/>
              <w:rPr>
                <w:rFonts w:hint="eastAsia" w:ascii="宋体" w:hAnsi="宋体" w:eastAsia="宋体" w:cs="宋体"/>
                <w:b/>
                <w:bCs/>
                <w:color w:val="auto"/>
                <w:sz w:val="24"/>
                <w:szCs w:val="24"/>
                <w:highlight w:val="none"/>
              </w:rPr>
            </w:pPr>
            <w:r>
              <w:rPr>
                <w:rFonts w:hint="eastAsia" w:ascii="宋体" w:hAnsi="宋体" w:eastAsia="宋体" w:cs="宋体"/>
                <w:b/>
                <w:bCs/>
                <w:color w:val="auto"/>
                <w:spacing w:val="-1"/>
                <w:sz w:val="24"/>
                <w:szCs w:val="24"/>
                <w:highlight w:val="none"/>
              </w:rPr>
              <w:t>二、超过一定规模的危险性较大的分部分项工</w:t>
            </w:r>
            <w:r>
              <w:rPr>
                <w:rFonts w:hint="eastAsia" w:ascii="宋体" w:hAnsi="宋体" w:eastAsia="宋体" w:cs="宋体"/>
                <w:b/>
                <w:bCs/>
                <w:color w:val="auto"/>
                <w:spacing w:val="-5"/>
                <w:sz w:val="24"/>
                <w:szCs w:val="24"/>
                <w:highlight w:val="none"/>
              </w:rPr>
              <w:t>程清单</w:t>
            </w:r>
          </w:p>
        </w:tc>
        <w:tc>
          <w:tcPr>
            <w:tcW w:w="1294" w:type="dxa"/>
            <w:vAlign w:val="top"/>
          </w:tcPr>
          <w:p w14:paraId="523748EE">
            <w:pPr>
              <w:pStyle w:val="21"/>
              <w:keepNext w:val="0"/>
              <w:keepLines w:val="0"/>
              <w:pageBreakBefore w:val="0"/>
              <w:widowControl w:val="0"/>
              <w:overflowPunct/>
              <w:bidi w:val="0"/>
              <w:adjustRightInd w:val="0"/>
              <w:snapToGrid w:val="0"/>
              <w:spacing w:line="295" w:lineRule="auto"/>
              <w:jc w:val="center"/>
              <w:rPr>
                <w:rFonts w:hint="eastAsia" w:ascii="宋体" w:hAnsi="宋体" w:eastAsia="宋体" w:cs="宋体"/>
                <w:b/>
                <w:bCs/>
                <w:color w:val="auto"/>
                <w:highlight w:val="none"/>
              </w:rPr>
            </w:pPr>
          </w:p>
          <w:p w14:paraId="0F6879EC">
            <w:pPr>
              <w:keepNext w:val="0"/>
              <w:keepLines w:val="0"/>
              <w:pageBreakBefore w:val="0"/>
              <w:widowControl w:val="0"/>
              <w:overflowPunct/>
              <w:bidi w:val="0"/>
              <w:adjustRightInd w:val="0"/>
              <w:snapToGrid w:val="0"/>
              <w:spacing w:before="78" w:line="221" w:lineRule="auto"/>
              <w:ind w:lef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pacing w:val="-4"/>
                <w:sz w:val="24"/>
                <w:szCs w:val="24"/>
                <w:highlight w:val="none"/>
              </w:rPr>
              <w:t>建设单位</w:t>
            </w:r>
          </w:p>
        </w:tc>
        <w:tc>
          <w:tcPr>
            <w:tcW w:w="1294" w:type="dxa"/>
            <w:vAlign w:val="top"/>
          </w:tcPr>
          <w:p w14:paraId="72ED9250">
            <w:pPr>
              <w:pStyle w:val="21"/>
              <w:keepNext w:val="0"/>
              <w:keepLines w:val="0"/>
              <w:pageBreakBefore w:val="0"/>
              <w:widowControl w:val="0"/>
              <w:overflowPunct/>
              <w:bidi w:val="0"/>
              <w:adjustRightInd w:val="0"/>
              <w:snapToGrid w:val="0"/>
              <w:spacing w:line="295" w:lineRule="auto"/>
              <w:jc w:val="center"/>
              <w:rPr>
                <w:rFonts w:hint="eastAsia" w:ascii="宋体" w:hAnsi="宋体" w:eastAsia="宋体" w:cs="宋体"/>
                <w:b/>
                <w:bCs/>
                <w:color w:val="auto"/>
                <w:highlight w:val="none"/>
              </w:rPr>
            </w:pPr>
          </w:p>
          <w:p w14:paraId="2FA268FE">
            <w:pPr>
              <w:keepNext w:val="0"/>
              <w:keepLines w:val="0"/>
              <w:pageBreakBefore w:val="0"/>
              <w:widowControl w:val="0"/>
              <w:overflowPunct/>
              <w:bidi w:val="0"/>
              <w:adjustRightInd w:val="0"/>
              <w:snapToGrid w:val="0"/>
              <w:spacing w:before="78" w:line="221" w:lineRule="auto"/>
              <w:ind w:lef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pacing w:val="-5"/>
                <w:sz w:val="24"/>
                <w:szCs w:val="24"/>
                <w:highlight w:val="none"/>
              </w:rPr>
              <w:t>投标单位</w:t>
            </w:r>
          </w:p>
        </w:tc>
        <w:tc>
          <w:tcPr>
            <w:tcW w:w="1994" w:type="dxa"/>
            <w:vAlign w:val="top"/>
          </w:tcPr>
          <w:p w14:paraId="02AB1445">
            <w:pPr>
              <w:pStyle w:val="21"/>
              <w:keepNext w:val="0"/>
              <w:keepLines w:val="0"/>
              <w:pageBreakBefore w:val="0"/>
              <w:widowControl w:val="0"/>
              <w:overflowPunct/>
              <w:bidi w:val="0"/>
              <w:adjustRightInd w:val="0"/>
              <w:snapToGrid w:val="0"/>
              <w:spacing w:line="295" w:lineRule="auto"/>
              <w:jc w:val="center"/>
              <w:rPr>
                <w:rFonts w:hint="eastAsia" w:ascii="宋体" w:hAnsi="宋体" w:eastAsia="宋体" w:cs="宋体"/>
                <w:b/>
                <w:bCs/>
                <w:color w:val="auto"/>
                <w:highlight w:val="none"/>
              </w:rPr>
            </w:pPr>
          </w:p>
          <w:p w14:paraId="33F3C537">
            <w:pPr>
              <w:keepNext w:val="0"/>
              <w:keepLines w:val="0"/>
              <w:pageBreakBefore w:val="0"/>
              <w:widowControl w:val="0"/>
              <w:overflowPunct/>
              <w:bidi w:val="0"/>
              <w:adjustRightInd w:val="0"/>
              <w:snapToGrid w:val="0"/>
              <w:spacing w:before="78" w:line="222" w:lineRule="auto"/>
              <w:ind w:lef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pacing w:val="-7"/>
                <w:sz w:val="24"/>
                <w:szCs w:val="24"/>
                <w:highlight w:val="none"/>
              </w:rPr>
              <w:t>备注</w:t>
            </w:r>
          </w:p>
        </w:tc>
      </w:tr>
      <w:tr w14:paraId="2F17D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0AF34081">
            <w:pPr>
              <w:keepNext w:val="0"/>
              <w:keepLines w:val="0"/>
              <w:pageBreakBefore w:val="0"/>
              <w:widowControl w:val="0"/>
              <w:overflowPunct/>
              <w:bidi w:val="0"/>
              <w:adjustRightInd w:val="0"/>
              <w:snapToGrid w:val="0"/>
              <w:spacing w:before="129" w:line="221"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一、深基坑工程</w:t>
            </w:r>
          </w:p>
        </w:tc>
        <w:tc>
          <w:tcPr>
            <w:tcW w:w="1294" w:type="dxa"/>
            <w:vAlign w:val="top"/>
          </w:tcPr>
          <w:p w14:paraId="44A2B91F">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6094BA4">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A0919CE">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02335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139ACD03">
            <w:pPr>
              <w:keepNext w:val="0"/>
              <w:keepLines w:val="0"/>
              <w:pageBreakBefore w:val="0"/>
              <w:widowControl w:val="0"/>
              <w:overflowPunct/>
              <w:bidi w:val="0"/>
              <w:adjustRightInd w:val="0"/>
              <w:snapToGrid w:val="0"/>
              <w:spacing w:before="131" w:line="327" w:lineRule="auto"/>
              <w:ind w:left="117" w:right="10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开挖深度超过</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5"/>
                <w:sz w:val="24"/>
                <w:szCs w:val="24"/>
                <w:highlight w:val="none"/>
              </w:rPr>
              <w:t>5m（含</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5m）的基坑（槽）的土方</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开挖、支护、降水工程。</w:t>
            </w:r>
          </w:p>
        </w:tc>
        <w:tc>
          <w:tcPr>
            <w:tcW w:w="1294" w:type="dxa"/>
            <w:vAlign w:val="top"/>
          </w:tcPr>
          <w:p w14:paraId="5CDAE145">
            <w:pPr>
              <w:pStyle w:val="21"/>
              <w:keepNext w:val="0"/>
              <w:keepLines w:val="0"/>
              <w:pageBreakBefore w:val="0"/>
              <w:widowControl w:val="0"/>
              <w:overflowPunct/>
              <w:bidi w:val="0"/>
              <w:adjustRightInd w:val="0"/>
              <w:snapToGrid w:val="0"/>
              <w:spacing w:line="295" w:lineRule="auto"/>
              <w:jc w:val="center"/>
              <w:rPr>
                <w:rFonts w:hint="eastAsia" w:ascii="宋体" w:hAnsi="宋体" w:eastAsia="宋体" w:cs="宋体"/>
                <w:color w:val="auto"/>
                <w:highlight w:val="none"/>
              </w:rPr>
            </w:pPr>
          </w:p>
          <w:p w14:paraId="60EB3C66">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911DCF0">
            <w:pPr>
              <w:pStyle w:val="21"/>
              <w:keepNext w:val="0"/>
              <w:keepLines w:val="0"/>
              <w:pageBreakBefore w:val="0"/>
              <w:widowControl w:val="0"/>
              <w:overflowPunct/>
              <w:bidi w:val="0"/>
              <w:adjustRightInd w:val="0"/>
              <w:snapToGrid w:val="0"/>
              <w:spacing w:line="295" w:lineRule="auto"/>
              <w:jc w:val="center"/>
              <w:rPr>
                <w:rFonts w:hint="eastAsia" w:ascii="宋体" w:hAnsi="宋体" w:eastAsia="宋体" w:cs="宋体"/>
                <w:color w:val="auto"/>
                <w:highlight w:val="none"/>
              </w:rPr>
            </w:pPr>
          </w:p>
          <w:p w14:paraId="18665097">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3D764CE5">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0A237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74BAC7E8">
            <w:pPr>
              <w:keepNext w:val="0"/>
              <w:keepLines w:val="0"/>
              <w:pageBreakBefore w:val="0"/>
              <w:widowControl w:val="0"/>
              <w:overflowPunct/>
              <w:bidi w:val="0"/>
              <w:adjustRightInd w:val="0"/>
              <w:snapToGrid w:val="0"/>
              <w:spacing w:before="130"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294" w:type="dxa"/>
            <w:vAlign w:val="top"/>
          </w:tcPr>
          <w:p w14:paraId="618F5C23">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default" w:ascii="宋体" w:hAnsi="宋体" w:eastAsia="宋体" w:cs="宋体"/>
                <w:color w:val="auto"/>
                <w:spacing w:val="2"/>
                <w:sz w:val="24"/>
                <w:szCs w:val="24"/>
                <w:highlight w:val="none"/>
                <w:lang w:val="en-US"/>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1A93279">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227C8BB4">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CEDB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6B568E04">
            <w:pPr>
              <w:keepNext w:val="0"/>
              <w:keepLines w:val="0"/>
              <w:pageBreakBefore w:val="0"/>
              <w:widowControl w:val="0"/>
              <w:overflowPunct/>
              <w:bidi w:val="0"/>
              <w:adjustRightInd w:val="0"/>
              <w:snapToGrid w:val="0"/>
              <w:spacing w:before="130" w:line="327"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飞模、隧道模等工程。</w:t>
            </w:r>
          </w:p>
        </w:tc>
        <w:tc>
          <w:tcPr>
            <w:tcW w:w="1294" w:type="dxa"/>
            <w:vAlign w:val="top"/>
          </w:tcPr>
          <w:p w14:paraId="199EA0B9">
            <w:pPr>
              <w:pStyle w:val="21"/>
              <w:keepNext w:val="0"/>
              <w:keepLines w:val="0"/>
              <w:pageBreakBefore w:val="0"/>
              <w:widowControl w:val="0"/>
              <w:overflowPunct/>
              <w:bidi w:val="0"/>
              <w:adjustRightInd w:val="0"/>
              <w:snapToGrid w:val="0"/>
              <w:spacing w:line="294" w:lineRule="auto"/>
              <w:jc w:val="center"/>
              <w:rPr>
                <w:rFonts w:hint="eastAsia" w:ascii="宋体" w:hAnsi="宋体" w:eastAsia="宋体" w:cs="宋体"/>
                <w:color w:val="auto"/>
                <w:highlight w:val="none"/>
              </w:rPr>
            </w:pPr>
          </w:p>
          <w:p w14:paraId="4958131F">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B507B5C">
            <w:pPr>
              <w:pStyle w:val="21"/>
              <w:keepNext w:val="0"/>
              <w:keepLines w:val="0"/>
              <w:pageBreakBefore w:val="0"/>
              <w:widowControl w:val="0"/>
              <w:overflowPunct/>
              <w:bidi w:val="0"/>
              <w:adjustRightInd w:val="0"/>
              <w:snapToGrid w:val="0"/>
              <w:spacing w:line="294" w:lineRule="auto"/>
              <w:jc w:val="center"/>
              <w:rPr>
                <w:rFonts w:hint="eastAsia" w:ascii="宋体" w:hAnsi="宋体" w:eastAsia="宋体" w:cs="宋体"/>
                <w:color w:val="auto"/>
                <w:highlight w:val="none"/>
              </w:rPr>
            </w:pPr>
          </w:p>
          <w:p w14:paraId="6093729D">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2135F2D9">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7710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1361CD35">
            <w:pPr>
              <w:keepNext w:val="0"/>
              <w:keepLines w:val="0"/>
              <w:pageBreakBefore w:val="0"/>
              <w:widowControl w:val="0"/>
              <w:overflowPunct/>
              <w:bidi w:val="0"/>
              <w:adjustRightInd w:val="0"/>
              <w:snapToGrid w:val="0"/>
              <w:spacing w:before="132" w:line="353" w:lineRule="auto"/>
              <w:ind w:left="116" w:right="6" w:firstLine="11"/>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（二）混凝土模板支撑工程：搭设高度8m</w:t>
            </w:r>
            <w:r>
              <w:rPr>
                <w:rFonts w:hint="eastAsia" w:ascii="宋体" w:hAnsi="宋体" w:eastAsia="宋体" w:cs="宋体"/>
                <w:color w:val="auto"/>
                <w:spacing w:val="-38"/>
                <w:sz w:val="24"/>
                <w:szCs w:val="24"/>
                <w:highlight w:val="none"/>
              </w:rPr>
              <w:t xml:space="preserve"> </w:t>
            </w:r>
            <w:r>
              <w:rPr>
                <w:rFonts w:hint="eastAsia" w:ascii="宋体" w:hAnsi="宋体" w:eastAsia="宋体" w:cs="宋体"/>
                <w:color w:val="auto"/>
                <w:spacing w:val="-2"/>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上，或搭设跨度</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11"/>
                <w:sz w:val="24"/>
                <w:szCs w:val="24"/>
                <w:highlight w:val="none"/>
              </w:rPr>
              <w:t>18m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及以上，或施工总荷载（设</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计值）15kN/m2</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及以上，或集中线荷载（设</w:t>
            </w:r>
            <w:r>
              <w:rPr>
                <w:rFonts w:hint="eastAsia" w:ascii="宋体" w:hAnsi="宋体" w:eastAsia="宋体" w:cs="宋体"/>
                <w:color w:val="auto"/>
                <w:spacing w:val="-12"/>
                <w:sz w:val="24"/>
                <w:szCs w:val="24"/>
                <w:highlight w:val="none"/>
              </w:rPr>
              <w:t>计值）</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20kN/m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294" w:type="dxa"/>
            <w:vAlign w:val="top"/>
          </w:tcPr>
          <w:p w14:paraId="3A96F76F">
            <w:pPr>
              <w:pStyle w:val="21"/>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14:paraId="770309C9">
            <w:pPr>
              <w:pStyle w:val="21"/>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14:paraId="25D353DF">
            <w:pPr>
              <w:pStyle w:val="21"/>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14:paraId="1D33833A">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8365FE5">
            <w:pPr>
              <w:pStyle w:val="21"/>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14:paraId="056445F6">
            <w:pPr>
              <w:pStyle w:val="21"/>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14:paraId="078C3EC1">
            <w:pPr>
              <w:pStyle w:val="21"/>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14:paraId="6C29DB33">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6F2ECEF">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E27B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209D8684">
            <w:pPr>
              <w:keepNext w:val="0"/>
              <w:keepLines w:val="0"/>
              <w:pageBreakBefore w:val="0"/>
              <w:widowControl w:val="0"/>
              <w:overflowPunct/>
              <w:bidi w:val="0"/>
              <w:adjustRightInd w:val="0"/>
              <w:snapToGrid w:val="0"/>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p>
        </w:tc>
        <w:tc>
          <w:tcPr>
            <w:tcW w:w="1294" w:type="dxa"/>
            <w:vAlign w:val="top"/>
          </w:tcPr>
          <w:p w14:paraId="4D1C8B35">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D5F17BB">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A145345">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65D7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0B0C173">
            <w:pPr>
              <w:keepNext w:val="0"/>
              <w:keepLines w:val="0"/>
              <w:pageBreakBefore w:val="0"/>
              <w:widowControl w:val="0"/>
              <w:overflowPunct/>
              <w:bidi w:val="0"/>
              <w:adjustRightInd w:val="0"/>
              <w:snapToGrid w:val="0"/>
              <w:spacing w:before="131" w:line="220" w:lineRule="auto"/>
              <w:ind w:left="1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支撑体系，承受单点集中荷载</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7kN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294" w:type="dxa"/>
            <w:vAlign w:val="top"/>
          </w:tcPr>
          <w:p w14:paraId="7371A3C8">
            <w:pPr>
              <w:pStyle w:val="21"/>
              <w:keepNext w:val="0"/>
              <w:keepLines w:val="0"/>
              <w:pageBreakBefore w:val="0"/>
              <w:widowControl w:val="0"/>
              <w:overflowPunct/>
              <w:bidi w:val="0"/>
              <w:adjustRightInd w:val="0"/>
              <w:snapToGrid w:val="0"/>
              <w:jc w:val="center"/>
              <w:rPr>
                <w:rFonts w:hint="eastAsia" w:ascii="宋体" w:hAnsi="宋体" w:eastAsia="宋体" w:cs="宋体"/>
                <w:color w:val="auto"/>
                <w:highlight w:val="none"/>
              </w:rPr>
            </w:pPr>
          </w:p>
        </w:tc>
        <w:tc>
          <w:tcPr>
            <w:tcW w:w="1294" w:type="dxa"/>
            <w:vAlign w:val="top"/>
          </w:tcPr>
          <w:p w14:paraId="538C79BC">
            <w:pPr>
              <w:pStyle w:val="21"/>
              <w:keepNext w:val="0"/>
              <w:keepLines w:val="0"/>
              <w:pageBreakBefore w:val="0"/>
              <w:widowControl w:val="0"/>
              <w:overflowPunct/>
              <w:bidi w:val="0"/>
              <w:adjustRightInd w:val="0"/>
              <w:snapToGrid w:val="0"/>
              <w:jc w:val="center"/>
              <w:rPr>
                <w:rFonts w:hint="eastAsia" w:ascii="宋体" w:hAnsi="宋体" w:eastAsia="宋体" w:cs="宋体"/>
                <w:color w:val="auto"/>
                <w:highlight w:val="none"/>
              </w:rPr>
            </w:pPr>
          </w:p>
        </w:tc>
        <w:tc>
          <w:tcPr>
            <w:tcW w:w="1994" w:type="dxa"/>
            <w:vAlign w:val="top"/>
          </w:tcPr>
          <w:p w14:paraId="24C874C3">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0ACA3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6A6D51A4">
            <w:pPr>
              <w:keepNext w:val="0"/>
              <w:keepLines w:val="0"/>
              <w:pageBreakBefore w:val="0"/>
              <w:widowControl w:val="0"/>
              <w:overflowPunct/>
              <w:bidi w:val="0"/>
              <w:adjustRightInd w:val="0"/>
              <w:snapToGrid w:val="0"/>
              <w:spacing w:before="128"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294" w:type="dxa"/>
            <w:vAlign w:val="top"/>
          </w:tcPr>
          <w:p w14:paraId="2BBF5440">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4E8B875">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D613CCB">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177C3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65D3BC81">
            <w:pPr>
              <w:keepNext w:val="0"/>
              <w:keepLines w:val="0"/>
              <w:pageBreakBefore w:val="0"/>
              <w:widowControl w:val="0"/>
              <w:overflowPunct/>
              <w:bidi w:val="0"/>
              <w:adjustRightInd w:val="0"/>
              <w:snapToGrid w:val="0"/>
              <w:spacing w:before="129" w:line="328"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100kN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294" w:type="dxa"/>
            <w:vAlign w:val="top"/>
          </w:tcPr>
          <w:p w14:paraId="6F6E885D">
            <w:pPr>
              <w:pStyle w:val="21"/>
              <w:keepNext w:val="0"/>
              <w:keepLines w:val="0"/>
              <w:pageBreakBefore w:val="0"/>
              <w:widowControl w:val="0"/>
              <w:overflowPunct/>
              <w:bidi w:val="0"/>
              <w:adjustRightInd w:val="0"/>
              <w:snapToGrid w:val="0"/>
              <w:spacing w:line="295" w:lineRule="auto"/>
              <w:jc w:val="center"/>
              <w:rPr>
                <w:rFonts w:hint="eastAsia" w:ascii="宋体" w:hAnsi="宋体" w:eastAsia="宋体" w:cs="宋体"/>
                <w:color w:val="auto"/>
                <w:highlight w:val="none"/>
              </w:rPr>
            </w:pPr>
          </w:p>
          <w:p w14:paraId="6B7BD3C8">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D41F17E">
            <w:pPr>
              <w:pStyle w:val="21"/>
              <w:keepNext w:val="0"/>
              <w:keepLines w:val="0"/>
              <w:pageBreakBefore w:val="0"/>
              <w:widowControl w:val="0"/>
              <w:overflowPunct/>
              <w:bidi w:val="0"/>
              <w:adjustRightInd w:val="0"/>
              <w:snapToGrid w:val="0"/>
              <w:spacing w:line="295" w:lineRule="auto"/>
              <w:jc w:val="center"/>
              <w:rPr>
                <w:rFonts w:hint="eastAsia" w:ascii="宋体" w:hAnsi="宋体" w:eastAsia="宋体" w:cs="宋体"/>
                <w:color w:val="auto"/>
                <w:highlight w:val="none"/>
              </w:rPr>
            </w:pPr>
          </w:p>
          <w:p w14:paraId="0DCD6FEF">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A172500">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CFB0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5D96BE49">
            <w:pPr>
              <w:keepNext w:val="0"/>
              <w:keepLines w:val="0"/>
              <w:pageBreakBefore w:val="0"/>
              <w:widowControl w:val="0"/>
              <w:overflowPunct/>
              <w:bidi w:val="0"/>
              <w:adjustRightInd w:val="0"/>
              <w:snapToGrid w:val="0"/>
              <w:spacing w:before="129" w:line="345" w:lineRule="auto"/>
              <w:ind w:left="115" w:right="105" w:firstLine="12"/>
              <w:jc w:val="both"/>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（二）起重量</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2"/>
                <w:sz w:val="24"/>
                <w:szCs w:val="24"/>
                <w:highlight w:val="none"/>
              </w:rPr>
              <w:t>300kN</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2"/>
                <w:sz w:val="24"/>
                <w:szCs w:val="24"/>
                <w:highlight w:val="none"/>
              </w:rPr>
              <w:t>及以上，或搭设总高度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2"/>
                <w:sz w:val="24"/>
                <w:szCs w:val="24"/>
                <w:highlight w:val="none"/>
              </w:rPr>
              <w:t>200m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及以上，或搭设基础标高在</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200m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及以上的起重</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机械安装和拆卸工程。</w:t>
            </w:r>
          </w:p>
        </w:tc>
        <w:tc>
          <w:tcPr>
            <w:tcW w:w="1294" w:type="dxa"/>
            <w:vAlign w:val="top"/>
          </w:tcPr>
          <w:p w14:paraId="4A51BCA4">
            <w:pPr>
              <w:pStyle w:val="21"/>
              <w:keepNext w:val="0"/>
              <w:keepLines w:val="0"/>
              <w:pageBreakBefore w:val="0"/>
              <w:widowControl w:val="0"/>
              <w:overflowPunct/>
              <w:bidi w:val="0"/>
              <w:adjustRightInd w:val="0"/>
              <w:snapToGrid w:val="0"/>
              <w:spacing w:line="270" w:lineRule="auto"/>
              <w:jc w:val="center"/>
              <w:rPr>
                <w:rFonts w:hint="eastAsia" w:ascii="宋体" w:hAnsi="宋体" w:eastAsia="宋体" w:cs="宋体"/>
                <w:color w:val="auto"/>
                <w:highlight w:val="none"/>
              </w:rPr>
            </w:pPr>
          </w:p>
          <w:p w14:paraId="09E0A769">
            <w:pPr>
              <w:pStyle w:val="21"/>
              <w:keepNext w:val="0"/>
              <w:keepLines w:val="0"/>
              <w:pageBreakBefore w:val="0"/>
              <w:widowControl w:val="0"/>
              <w:overflowPunct/>
              <w:bidi w:val="0"/>
              <w:adjustRightInd w:val="0"/>
              <w:snapToGrid w:val="0"/>
              <w:spacing w:line="270" w:lineRule="auto"/>
              <w:jc w:val="center"/>
              <w:rPr>
                <w:rFonts w:hint="eastAsia" w:ascii="宋体" w:hAnsi="宋体" w:eastAsia="宋体" w:cs="宋体"/>
                <w:color w:val="auto"/>
                <w:highlight w:val="none"/>
              </w:rPr>
            </w:pPr>
          </w:p>
          <w:p w14:paraId="2BD4106E">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E7271C6">
            <w:pPr>
              <w:pStyle w:val="21"/>
              <w:keepNext w:val="0"/>
              <w:keepLines w:val="0"/>
              <w:pageBreakBefore w:val="0"/>
              <w:widowControl w:val="0"/>
              <w:overflowPunct/>
              <w:bidi w:val="0"/>
              <w:adjustRightInd w:val="0"/>
              <w:snapToGrid w:val="0"/>
              <w:spacing w:line="270" w:lineRule="auto"/>
              <w:jc w:val="center"/>
              <w:rPr>
                <w:rFonts w:hint="eastAsia" w:ascii="宋体" w:hAnsi="宋体" w:eastAsia="宋体" w:cs="宋体"/>
                <w:color w:val="auto"/>
                <w:highlight w:val="none"/>
              </w:rPr>
            </w:pPr>
          </w:p>
          <w:p w14:paraId="2DC1FAAA">
            <w:pPr>
              <w:pStyle w:val="21"/>
              <w:keepNext w:val="0"/>
              <w:keepLines w:val="0"/>
              <w:pageBreakBefore w:val="0"/>
              <w:widowControl w:val="0"/>
              <w:overflowPunct/>
              <w:bidi w:val="0"/>
              <w:adjustRightInd w:val="0"/>
              <w:snapToGrid w:val="0"/>
              <w:spacing w:line="270" w:lineRule="auto"/>
              <w:jc w:val="center"/>
              <w:rPr>
                <w:rFonts w:hint="eastAsia" w:ascii="宋体" w:hAnsi="宋体" w:eastAsia="宋体" w:cs="宋体"/>
                <w:color w:val="auto"/>
                <w:highlight w:val="none"/>
              </w:rPr>
            </w:pPr>
          </w:p>
          <w:p w14:paraId="662FACE4">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38C598AE">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EFF3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59885A66">
            <w:pPr>
              <w:keepNext w:val="0"/>
              <w:keepLines w:val="0"/>
              <w:pageBreakBefore w:val="0"/>
              <w:widowControl w:val="0"/>
              <w:overflowPunct/>
              <w:bidi w:val="0"/>
              <w:adjustRightInd w:val="0"/>
              <w:snapToGrid w:val="0"/>
              <w:spacing w:before="128"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294" w:type="dxa"/>
            <w:vAlign w:val="top"/>
          </w:tcPr>
          <w:p w14:paraId="6DFCD581">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629C710">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7365477">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5ADD8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709AF57D">
            <w:pPr>
              <w:keepNext w:val="0"/>
              <w:keepLines w:val="0"/>
              <w:pageBreakBefore w:val="0"/>
              <w:widowControl w:val="0"/>
              <w:overflowPunct/>
              <w:bidi w:val="0"/>
              <w:adjustRightInd w:val="0"/>
              <w:snapToGrid w:val="0"/>
              <w:spacing w:before="128" w:line="328"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（一）搭设高度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及以上的落地式钢管脚手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架工程。</w:t>
            </w:r>
          </w:p>
        </w:tc>
        <w:tc>
          <w:tcPr>
            <w:tcW w:w="1294" w:type="dxa"/>
            <w:vAlign w:val="top"/>
          </w:tcPr>
          <w:p w14:paraId="71AE513F">
            <w:pPr>
              <w:pStyle w:val="21"/>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14:paraId="4FDA4E22">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6155A9A">
            <w:pPr>
              <w:pStyle w:val="21"/>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14:paraId="12CCB1F2">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8DC75A6">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4A01E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EB8A98A">
            <w:pPr>
              <w:keepNext w:val="0"/>
              <w:keepLines w:val="0"/>
              <w:pageBreakBefore w:val="0"/>
              <w:widowControl w:val="0"/>
              <w:overflowPunct/>
              <w:bidi w:val="0"/>
              <w:adjustRightInd w:val="0"/>
              <w:snapToGrid w:val="0"/>
              <w:spacing w:before="131" w:line="327" w:lineRule="auto"/>
              <w:ind w:left="116" w:right="105" w:firstLine="11"/>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（二）提升高度在</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6"/>
                <w:sz w:val="24"/>
                <w:szCs w:val="24"/>
                <w:highlight w:val="none"/>
                <w:lang w:eastAsia="zh-CN"/>
              </w:rPr>
              <w:t>450</w:t>
            </w:r>
            <w:r>
              <w:rPr>
                <w:rFonts w:hint="eastAsia" w:ascii="宋体" w:hAnsi="宋体" w:eastAsia="宋体" w:cs="宋体"/>
                <w:color w:val="auto"/>
                <w:spacing w:val="-6"/>
                <w:sz w:val="24"/>
                <w:szCs w:val="24"/>
                <w:highlight w:val="none"/>
              </w:rPr>
              <w:t>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6"/>
                <w:sz w:val="24"/>
                <w:szCs w:val="24"/>
                <w:highlight w:val="none"/>
              </w:rPr>
              <w:t>及以上的附着式升降脚</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手架工程或附着式升降操作平台工程。</w:t>
            </w:r>
          </w:p>
        </w:tc>
        <w:tc>
          <w:tcPr>
            <w:tcW w:w="1294" w:type="dxa"/>
            <w:vAlign w:val="top"/>
          </w:tcPr>
          <w:p w14:paraId="6C021951">
            <w:pPr>
              <w:pStyle w:val="21"/>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14:paraId="4A65F8A5">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3D9954B">
            <w:pPr>
              <w:pStyle w:val="21"/>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14:paraId="327AF861">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843B013">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48998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671D577F">
            <w:pPr>
              <w:keepNext w:val="0"/>
              <w:keepLines w:val="0"/>
              <w:pageBreakBefore w:val="0"/>
              <w:widowControl w:val="0"/>
              <w:overflowPunct/>
              <w:bidi w:val="0"/>
              <w:adjustRightInd w:val="0"/>
              <w:snapToGrid w:val="0"/>
              <w:spacing w:before="129" w:line="328"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（三）分段架体搭设高度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及以上的悬挑式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脚手架工程。</w:t>
            </w:r>
          </w:p>
        </w:tc>
        <w:tc>
          <w:tcPr>
            <w:tcW w:w="1294" w:type="dxa"/>
            <w:vAlign w:val="top"/>
          </w:tcPr>
          <w:p w14:paraId="2ED9DF34">
            <w:pPr>
              <w:pStyle w:val="21"/>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12162E61">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3C6DACD">
            <w:pPr>
              <w:pStyle w:val="21"/>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2D2CF096">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15D3592">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1B881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0C8B9BE8">
            <w:pPr>
              <w:keepNext w:val="0"/>
              <w:keepLines w:val="0"/>
              <w:pageBreakBefore w:val="0"/>
              <w:widowControl w:val="0"/>
              <w:overflowPunct/>
              <w:bidi w:val="0"/>
              <w:adjustRightInd w:val="0"/>
              <w:snapToGrid w:val="0"/>
              <w:spacing w:before="131"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五、拆除工程</w:t>
            </w:r>
          </w:p>
        </w:tc>
        <w:tc>
          <w:tcPr>
            <w:tcW w:w="1294" w:type="dxa"/>
            <w:vAlign w:val="top"/>
          </w:tcPr>
          <w:p w14:paraId="49233764">
            <w:pPr>
              <w:keepNext w:val="0"/>
              <w:keepLines w:val="0"/>
              <w:pageBreakBefore w:val="0"/>
              <w:widowControl w:val="0"/>
              <w:overflowPunct/>
              <w:bidi w:val="0"/>
              <w:adjustRightInd w:val="0"/>
              <w:snapToGrid w:val="0"/>
              <w:spacing w:before="15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144CFBE">
            <w:pPr>
              <w:keepNext w:val="0"/>
              <w:keepLines w:val="0"/>
              <w:pageBreakBefore w:val="0"/>
              <w:widowControl w:val="0"/>
              <w:overflowPunct/>
              <w:bidi w:val="0"/>
              <w:adjustRightInd w:val="0"/>
              <w:snapToGrid w:val="0"/>
              <w:spacing w:before="15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61E1F5E0">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5F343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E522D83">
            <w:pPr>
              <w:keepNext w:val="0"/>
              <w:keepLines w:val="0"/>
              <w:pageBreakBefore w:val="0"/>
              <w:widowControl w:val="0"/>
              <w:overflowPunct/>
              <w:bidi w:val="0"/>
              <w:adjustRightInd w:val="0"/>
              <w:snapToGrid w:val="0"/>
              <w:spacing w:before="132" w:line="353"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（一）码头、桥梁、高架、烟囱、水塔或拆除</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中容易引起有毒有害气（液）体或粉尘扩散、</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易燃易爆事故发生的特殊建、构筑物的拆除工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5"/>
                <w:sz w:val="24"/>
                <w:szCs w:val="24"/>
                <w:highlight w:val="none"/>
              </w:rPr>
              <w:t>程。</w:t>
            </w:r>
          </w:p>
        </w:tc>
        <w:tc>
          <w:tcPr>
            <w:tcW w:w="1294" w:type="dxa"/>
            <w:vAlign w:val="top"/>
          </w:tcPr>
          <w:p w14:paraId="0F1840CB">
            <w:pPr>
              <w:pStyle w:val="21"/>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14:paraId="660CF602">
            <w:pPr>
              <w:pStyle w:val="21"/>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14:paraId="0E29B5A4">
            <w:pPr>
              <w:pStyle w:val="21"/>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14:paraId="4C887ADA">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A3ED2CA">
            <w:pPr>
              <w:pStyle w:val="21"/>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14:paraId="640471D2">
            <w:pPr>
              <w:pStyle w:val="21"/>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14:paraId="4E7DE7DD">
            <w:pPr>
              <w:pStyle w:val="21"/>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14:paraId="7A1E62F2">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22BC238E">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8DEC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57C1CAC0">
            <w:pPr>
              <w:keepNext w:val="0"/>
              <w:keepLines w:val="0"/>
              <w:pageBreakBefore w:val="0"/>
              <w:widowControl w:val="0"/>
              <w:overflowPunct/>
              <w:bidi w:val="0"/>
              <w:adjustRightInd w:val="0"/>
              <w:snapToGrid w:val="0"/>
              <w:spacing w:before="131"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（二）文物保护建筑、优秀历史建筑或历史文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化风貌区影响范围内的拆除工程。</w:t>
            </w:r>
          </w:p>
        </w:tc>
        <w:tc>
          <w:tcPr>
            <w:tcW w:w="1294" w:type="dxa"/>
            <w:vAlign w:val="top"/>
          </w:tcPr>
          <w:p w14:paraId="3249560C">
            <w:pPr>
              <w:pStyle w:val="21"/>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587BFF31">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793CE46">
            <w:pPr>
              <w:pStyle w:val="21"/>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7F6516F5">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E0805EA">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366F3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58A287AB">
            <w:pPr>
              <w:keepNext w:val="0"/>
              <w:keepLines w:val="0"/>
              <w:pageBreakBefore w:val="0"/>
              <w:widowControl w:val="0"/>
              <w:overflowPunct/>
              <w:bidi w:val="0"/>
              <w:adjustRightInd w:val="0"/>
              <w:snapToGrid w:val="0"/>
              <w:spacing w:before="131" w:line="221" w:lineRule="auto"/>
              <w:ind w:left="11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294" w:type="dxa"/>
            <w:vAlign w:val="top"/>
          </w:tcPr>
          <w:p w14:paraId="59976A94">
            <w:pPr>
              <w:keepNext w:val="0"/>
              <w:keepLines w:val="0"/>
              <w:pageBreakBefore w:val="0"/>
              <w:widowControl w:val="0"/>
              <w:overflowPunct/>
              <w:bidi w:val="0"/>
              <w:adjustRightInd w:val="0"/>
              <w:snapToGrid w:val="0"/>
              <w:spacing w:before="14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112523A">
            <w:pPr>
              <w:keepNext w:val="0"/>
              <w:keepLines w:val="0"/>
              <w:pageBreakBefore w:val="0"/>
              <w:widowControl w:val="0"/>
              <w:overflowPunct/>
              <w:bidi w:val="0"/>
              <w:adjustRightInd w:val="0"/>
              <w:snapToGrid w:val="0"/>
              <w:spacing w:before="14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3A961BBD">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D531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03F77FE6">
            <w:pPr>
              <w:keepNext w:val="0"/>
              <w:keepLines w:val="0"/>
              <w:pageBreakBefore w:val="0"/>
              <w:widowControl w:val="0"/>
              <w:overflowPunct/>
              <w:bidi w:val="0"/>
              <w:adjustRightInd w:val="0"/>
              <w:snapToGrid w:val="0"/>
              <w:spacing w:before="131" w:line="327"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294" w:type="dxa"/>
            <w:vAlign w:val="top"/>
          </w:tcPr>
          <w:p w14:paraId="2BCD83B2">
            <w:pPr>
              <w:pStyle w:val="21"/>
              <w:keepNext w:val="0"/>
              <w:keepLines w:val="0"/>
              <w:pageBreakBefore w:val="0"/>
              <w:widowControl w:val="0"/>
              <w:overflowPunct/>
              <w:bidi w:val="0"/>
              <w:adjustRightInd w:val="0"/>
              <w:snapToGrid w:val="0"/>
              <w:spacing w:line="298" w:lineRule="auto"/>
              <w:jc w:val="center"/>
              <w:rPr>
                <w:rFonts w:hint="eastAsia" w:ascii="宋体" w:hAnsi="宋体" w:eastAsia="宋体" w:cs="宋体"/>
                <w:color w:val="auto"/>
                <w:highlight w:val="none"/>
              </w:rPr>
            </w:pPr>
          </w:p>
          <w:p w14:paraId="20F36C88">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4A0A52F">
            <w:pPr>
              <w:pStyle w:val="21"/>
              <w:keepNext w:val="0"/>
              <w:keepLines w:val="0"/>
              <w:pageBreakBefore w:val="0"/>
              <w:widowControl w:val="0"/>
              <w:overflowPunct/>
              <w:bidi w:val="0"/>
              <w:adjustRightInd w:val="0"/>
              <w:snapToGrid w:val="0"/>
              <w:spacing w:line="298" w:lineRule="auto"/>
              <w:jc w:val="center"/>
              <w:rPr>
                <w:rFonts w:hint="eastAsia" w:ascii="宋体" w:hAnsi="宋体" w:eastAsia="宋体" w:cs="宋体"/>
                <w:color w:val="auto"/>
                <w:highlight w:val="none"/>
              </w:rPr>
            </w:pPr>
          </w:p>
          <w:p w14:paraId="5488791B">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2CE64865">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11747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790BD239">
            <w:pPr>
              <w:keepNext w:val="0"/>
              <w:keepLines w:val="0"/>
              <w:pageBreakBefore w:val="0"/>
              <w:widowControl w:val="0"/>
              <w:overflowPunct/>
              <w:bidi w:val="0"/>
              <w:adjustRightInd w:val="0"/>
              <w:snapToGrid w:val="0"/>
              <w:spacing w:before="130"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w:t>
            </w:r>
            <w:r>
              <w:rPr>
                <w:rFonts w:hint="eastAsia" w:ascii="宋体" w:hAnsi="宋体" w:eastAsia="宋体" w:cs="宋体"/>
                <w:color w:val="auto"/>
                <w:spacing w:val="-3"/>
                <w:sz w:val="24"/>
                <w:szCs w:val="24"/>
                <w:highlight w:val="none"/>
                <w:lang w:eastAsia="zh-CN"/>
              </w:rPr>
              <w:t>其他</w:t>
            </w:r>
          </w:p>
        </w:tc>
        <w:tc>
          <w:tcPr>
            <w:tcW w:w="1294" w:type="dxa"/>
            <w:vAlign w:val="top"/>
          </w:tcPr>
          <w:p w14:paraId="0A8EF750">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AE81868">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45B6D73">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31229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6062099">
            <w:pPr>
              <w:keepNext w:val="0"/>
              <w:keepLines w:val="0"/>
              <w:pageBreakBefore w:val="0"/>
              <w:widowControl w:val="0"/>
              <w:overflowPunct/>
              <w:bidi w:val="0"/>
              <w:adjustRightInd w:val="0"/>
              <w:snapToGrid w:val="0"/>
              <w:spacing w:before="130" w:line="327"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（一）施工高度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及以上的建筑幕墙安装工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程。</w:t>
            </w:r>
          </w:p>
        </w:tc>
        <w:tc>
          <w:tcPr>
            <w:tcW w:w="1294" w:type="dxa"/>
            <w:vAlign w:val="top"/>
          </w:tcPr>
          <w:p w14:paraId="0393A2F0">
            <w:pPr>
              <w:pStyle w:val="21"/>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460D37AD">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6F764AA">
            <w:pPr>
              <w:pStyle w:val="21"/>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46382FFF">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8A09427">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F500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F809FA7">
            <w:pPr>
              <w:keepNext w:val="0"/>
              <w:keepLines w:val="0"/>
              <w:pageBreakBefore w:val="0"/>
              <w:widowControl w:val="0"/>
              <w:overflowPunct/>
              <w:bidi w:val="0"/>
              <w:adjustRightInd w:val="0"/>
              <w:snapToGrid w:val="0"/>
              <w:spacing w:before="130"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36m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及以上的钢结构安装工程，或</w:t>
            </w:r>
          </w:p>
        </w:tc>
        <w:tc>
          <w:tcPr>
            <w:tcW w:w="1294" w:type="dxa"/>
            <w:vAlign w:val="top"/>
          </w:tcPr>
          <w:p w14:paraId="08822356">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C9E1546">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BE0AEA1">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43F3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2FA0A61E">
            <w:pPr>
              <w:keepNext w:val="0"/>
              <w:keepLines w:val="0"/>
              <w:pageBreakBefore w:val="0"/>
              <w:widowControl w:val="0"/>
              <w:overflowPunct/>
              <w:bidi w:val="0"/>
              <w:adjustRightInd w:val="0"/>
              <w:snapToGrid w:val="0"/>
              <w:spacing w:before="131" w:line="221" w:lineRule="auto"/>
              <w:ind w:left="116"/>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60m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及以上的网架和索膜结构安装工程。</w:t>
            </w:r>
          </w:p>
        </w:tc>
        <w:tc>
          <w:tcPr>
            <w:tcW w:w="1294" w:type="dxa"/>
            <w:vAlign w:val="top"/>
          </w:tcPr>
          <w:p w14:paraId="298F420B">
            <w:pPr>
              <w:pStyle w:val="21"/>
              <w:keepNext w:val="0"/>
              <w:keepLines w:val="0"/>
              <w:pageBreakBefore w:val="0"/>
              <w:widowControl w:val="0"/>
              <w:overflowPunct/>
              <w:bidi w:val="0"/>
              <w:adjustRightInd w:val="0"/>
              <w:snapToGrid w:val="0"/>
              <w:jc w:val="center"/>
              <w:rPr>
                <w:rFonts w:hint="eastAsia" w:ascii="宋体" w:hAnsi="宋体" w:eastAsia="宋体" w:cs="宋体"/>
                <w:color w:val="auto"/>
                <w:highlight w:val="none"/>
              </w:rPr>
            </w:pPr>
          </w:p>
        </w:tc>
        <w:tc>
          <w:tcPr>
            <w:tcW w:w="1294" w:type="dxa"/>
            <w:vAlign w:val="top"/>
          </w:tcPr>
          <w:p w14:paraId="63617E01">
            <w:pPr>
              <w:pStyle w:val="21"/>
              <w:keepNext w:val="0"/>
              <w:keepLines w:val="0"/>
              <w:pageBreakBefore w:val="0"/>
              <w:widowControl w:val="0"/>
              <w:overflowPunct/>
              <w:bidi w:val="0"/>
              <w:adjustRightInd w:val="0"/>
              <w:snapToGrid w:val="0"/>
              <w:jc w:val="center"/>
              <w:rPr>
                <w:rFonts w:hint="eastAsia" w:ascii="宋体" w:hAnsi="宋体" w:eastAsia="宋体" w:cs="宋体"/>
                <w:color w:val="auto"/>
                <w:highlight w:val="none"/>
              </w:rPr>
            </w:pPr>
          </w:p>
        </w:tc>
        <w:tc>
          <w:tcPr>
            <w:tcW w:w="1994" w:type="dxa"/>
            <w:vAlign w:val="top"/>
          </w:tcPr>
          <w:p w14:paraId="520BB391">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419D8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740E701">
            <w:pPr>
              <w:keepNext w:val="0"/>
              <w:keepLines w:val="0"/>
              <w:pageBreakBefore w:val="0"/>
              <w:widowControl w:val="0"/>
              <w:overflowPunct/>
              <w:bidi w:val="0"/>
              <w:adjustRightInd w:val="0"/>
              <w:snapToGrid w:val="0"/>
              <w:spacing w:before="127" w:line="220"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（三）开挖深度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7"/>
                <w:sz w:val="24"/>
                <w:szCs w:val="24"/>
                <w:highlight w:val="none"/>
              </w:rPr>
              <w:t>16m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7"/>
                <w:sz w:val="24"/>
                <w:szCs w:val="24"/>
                <w:highlight w:val="none"/>
              </w:rPr>
              <w:t>及以上的人工挖孔桩工程。</w:t>
            </w:r>
          </w:p>
        </w:tc>
        <w:tc>
          <w:tcPr>
            <w:tcW w:w="1294" w:type="dxa"/>
            <w:vAlign w:val="top"/>
          </w:tcPr>
          <w:p w14:paraId="2A68A4C9">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C0CB447">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08057861">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1DF9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0FB7B278">
            <w:pPr>
              <w:keepNext w:val="0"/>
              <w:keepLines w:val="0"/>
              <w:pageBreakBefore w:val="0"/>
              <w:widowControl w:val="0"/>
              <w:overflowPunct/>
              <w:bidi w:val="0"/>
              <w:adjustRightInd w:val="0"/>
              <w:snapToGrid w:val="0"/>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294" w:type="dxa"/>
            <w:vAlign w:val="top"/>
          </w:tcPr>
          <w:p w14:paraId="217C0CBD">
            <w:pPr>
              <w:keepNext w:val="0"/>
              <w:keepLines w:val="0"/>
              <w:pageBreakBefore w:val="0"/>
              <w:widowControl w:val="0"/>
              <w:overflowPunct/>
              <w:bidi w:val="0"/>
              <w:adjustRightInd w:val="0"/>
              <w:snapToGrid w:val="0"/>
              <w:spacing w:before="163"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2606CC6">
            <w:pPr>
              <w:keepNext w:val="0"/>
              <w:keepLines w:val="0"/>
              <w:pageBreakBefore w:val="0"/>
              <w:widowControl w:val="0"/>
              <w:overflowPunct/>
              <w:bidi w:val="0"/>
              <w:adjustRightInd w:val="0"/>
              <w:snapToGrid w:val="0"/>
              <w:spacing w:before="163"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236F888">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9681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69C89B8F">
            <w:pPr>
              <w:keepNext w:val="0"/>
              <w:keepLines w:val="0"/>
              <w:pageBreakBefore w:val="0"/>
              <w:widowControl w:val="0"/>
              <w:overflowPunct/>
              <w:bidi w:val="0"/>
              <w:adjustRightInd w:val="0"/>
              <w:snapToGrid w:val="0"/>
              <w:spacing w:before="130" w:line="327" w:lineRule="auto"/>
              <w:ind w:left="115" w:right="25" w:firstLine="12"/>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（五）重量</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8"/>
                <w:sz w:val="24"/>
                <w:szCs w:val="24"/>
                <w:highlight w:val="none"/>
              </w:rPr>
              <w:t>1000kN及以上的大型结构整体顶升、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平移、转体等施工工艺。</w:t>
            </w:r>
          </w:p>
        </w:tc>
        <w:tc>
          <w:tcPr>
            <w:tcW w:w="1294" w:type="dxa"/>
            <w:vAlign w:val="top"/>
          </w:tcPr>
          <w:p w14:paraId="7CD9070D">
            <w:pPr>
              <w:pStyle w:val="21"/>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14:paraId="3EB99E21">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7EE17EE">
            <w:pPr>
              <w:pStyle w:val="21"/>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14:paraId="0E943A0C">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632050D9">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47AAB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3F0C18D5">
            <w:pPr>
              <w:keepNext w:val="0"/>
              <w:keepLines w:val="0"/>
              <w:pageBreakBefore w:val="0"/>
              <w:widowControl w:val="0"/>
              <w:overflowPunct/>
              <w:bidi w:val="0"/>
              <w:adjustRightInd w:val="0"/>
              <w:snapToGrid w:val="0"/>
              <w:spacing w:before="129" w:line="346"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可能影响工程施工安全，尚无国家、行业及地</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方技术标准的分部分项工程。</w:t>
            </w:r>
          </w:p>
        </w:tc>
        <w:tc>
          <w:tcPr>
            <w:tcW w:w="1294" w:type="dxa"/>
            <w:vAlign w:val="top"/>
          </w:tcPr>
          <w:p w14:paraId="68D8DF5C">
            <w:pPr>
              <w:pStyle w:val="21"/>
              <w:keepNext w:val="0"/>
              <w:keepLines w:val="0"/>
              <w:pageBreakBefore w:val="0"/>
              <w:widowControl w:val="0"/>
              <w:overflowPunct/>
              <w:bidi w:val="0"/>
              <w:adjustRightInd w:val="0"/>
              <w:snapToGrid w:val="0"/>
              <w:spacing w:line="272" w:lineRule="auto"/>
              <w:jc w:val="center"/>
              <w:rPr>
                <w:rFonts w:hint="eastAsia" w:ascii="宋体" w:hAnsi="宋体" w:eastAsia="宋体" w:cs="宋体"/>
                <w:color w:val="auto"/>
                <w:highlight w:val="none"/>
              </w:rPr>
            </w:pPr>
          </w:p>
          <w:p w14:paraId="397B36BD">
            <w:pPr>
              <w:pStyle w:val="21"/>
              <w:keepNext w:val="0"/>
              <w:keepLines w:val="0"/>
              <w:pageBreakBefore w:val="0"/>
              <w:widowControl w:val="0"/>
              <w:overflowPunct/>
              <w:bidi w:val="0"/>
              <w:adjustRightInd w:val="0"/>
              <w:snapToGrid w:val="0"/>
              <w:spacing w:line="272" w:lineRule="auto"/>
              <w:jc w:val="center"/>
              <w:rPr>
                <w:rFonts w:hint="eastAsia" w:ascii="宋体" w:hAnsi="宋体" w:eastAsia="宋体" w:cs="宋体"/>
                <w:color w:val="auto"/>
                <w:highlight w:val="none"/>
              </w:rPr>
            </w:pPr>
          </w:p>
          <w:p w14:paraId="47F4FF03">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B05A667">
            <w:pPr>
              <w:pStyle w:val="21"/>
              <w:keepNext w:val="0"/>
              <w:keepLines w:val="0"/>
              <w:pageBreakBefore w:val="0"/>
              <w:widowControl w:val="0"/>
              <w:overflowPunct/>
              <w:bidi w:val="0"/>
              <w:adjustRightInd w:val="0"/>
              <w:snapToGrid w:val="0"/>
              <w:spacing w:line="272" w:lineRule="auto"/>
              <w:jc w:val="center"/>
              <w:rPr>
                <w:rFonts w:hint="eastAsia" w:ascii="宋体" w:hAnsi="宋体" w:eastAsia="宋体" w:cs="宋体"/>
                <w:color w:val="auto"/>
                <w:highlight w:val="none"/>
              </w:rPr>
            </w:pPr>
          </w:p>
          <w:p w14:paraId="170DF03C">
            <w:pPr>
              <w:pStyle w:val="21"/>
              <w:keepNext w:val="0"/>
              <w:keepLines w:val="0"/>
              <w:pageBreakBefore w:val="0"/>
              <w:widowControl w:val="0"/>
              <w:overflowPunct/>
              <w:bidi w:val="0"/>
              <w:adjustRightInd w:val="0"/>
              <w:snapToGrid w:val="0"/>
              <w:spacing w:line="272" w:lineRule="auto"/>
              <w:jc w:val="center"/>
              <w:rPr>
                <w:rFonts w:hint="eastAsia" w:ascii="宋体" w:hAnsi="宋体" w:eastAsia="宋体" w:cs="宋体"/>
                <w:color w:val="auto"/>
                <w:highlight w:val="none"/>
              </w:rPr>
            </w:pPr>
          </w:p>
          <w:p w14:paraId="08F0202A">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5E6C1874">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bl>
    <w:p w14:paraId="1CAE4A65">
      <w:pPr>
        <w:keepNext w:val="0"/>
        <w:keepLines w:val="0"/>
        <w:pageBreakBefore w:val="0"/>
        <w:widowControl w:val="0"/>
        <w:kinsoku/>
        <w:wordWrap w:val="0"/>
        <w:overflowPunct/>
        <w:topLinePunct/>
        <w:autoSpaceDE/>
        <w:autoSpaceDN/>
        <w:bidi w:val="0"/>
        <w:adjustRightInd w:val="0"/>
        <w:snapToGrid w:val="0"/>
        <w:spacing w:before="40"/>
        <w:ind w:right="84" w:rightChars="40"/>
        <w:rPr>
          <w:rFonts w:hint="eastAsia" w:ascii="宋体" w:hAnsi="宋体" w:eastAsia="宋体" w:cs="宋体"/>
          <w:color w:val="auto"/>
          <w:highlight w:val="none"/>
        </w:rPr>
      </w:pPr>
    </w:p>
    <w:p w14:paraId="54B66EEA">
      <w:pPr>
        <w:keepNext w:val="0"/>
        <w:keepLines w:val="0"/>
        <w:pageBreakBefore w:val="0"/>
        <w:widowControl w:val="0"/>
        <w:kinsoku/>
        <w:wordWrap w:val="0"/>
        <w:overflowPunct/>
        <w:topLinePunct/>
        <w:autoSpaceDE/>
        <w:autoSpaceDN/>
        <w:bidi w:val="0"/>
        <w:adjustRightInd w:val="0"/>
        <w:snapToGrid w:val="0"/>
        <w:spacing w:before="21" w:line="376" w:lineRule="exact"/>
        <w:ind w:right="84" w:rightChars="40" w:firstLine="520" w:firstLineChars="200"/>
        <w:rPr>
          <w:rFonts w:hint="eastAsia" w:ascii="宋体" w:hAnsi="宋体" w:eastAsia="宋体" w:cs="宋体"/>
          <w:color w:val="auto"/>
          <w:spacing w:val="9"/>
          <w:sz w:val="24"/>
          <w:szCs w:val="24"/>
          <w:highlight w:val="none"/>
          <w:lang w:eastAsia="zh-CN"/>
        </w:rPr>
      </w:pPr>
      <w:bookmarkStart w:id="240" w:name="bookmark161"/>
      <w:bookmarkEnd w:id="240"/>
      <w:bookmarkStart w:id="241" w:name="bookmark162"/>
      <w:bookmarkEnd w:id="241"/>
      <w:r>
        <w:rPr>
          <w:rFonts w:hint="eastAsia" w:ascii="宋体" w:hAnsi="宋体" w:eastAsia="宋体" w:cs="宋体"/>
          <w:color w:val="auto"/>
          <w:spacing w:val="10"/>
          <w:sz w:val="24"/>
          <w:szCs w:val="24"/>
          <w:highlight w:val="none"/>
        </w:rPr>
        <w:t>备注：1.根据《危险性较大的分部分项工程安全管理</w:t>
      </w:r>
      <w:r>
        <w:rPr>
          <w:rFonts w:hint="eastAsia" w:ascii="宋体" w:hAnsi="宋体" w:eastAsia="宋体" w:cs="宋体"/>
          <w:color w:val="auto"/>
          <w:spacing w:val="9"/>
          <w:sz w:val="24"/>
          <w:szCs w:val="24"/>
          <w:highlight w:val="none"/>
        </w:rPr>
        <w:t>规定》，该《危险性较大的分部分项工程清单及超过一定规模的危险性较大的分部分项工程清单》</w:t>
      </w:r>
      <w:r>
        <w:rPr>
          <w:rFonts w:hint="eastAsia" w:ascii="宋体" w:hAnsi="宋体" w:eastAsia="宋体" w:cs="宋体"/>
          <w:color w:val="auto"/>
          <w:spacing w:val="9"/>
          <w:sz w:val="24"/>
          <w:szCs w:val="24"/>
          <w:highlight w:val="none"/>
          <w:lang w:eastAsia="zh-CN"/>
        </w:rPr>
        <w:t>应由建设单位组织勘察、设计等单位在招标文件中“勾选对应项打‘√’标识”危险性较大的分部分项工程。</w:t>
      </w:r>
    </w:p>
    <w:p w14:paraId="76A89719">
      <w:pPr>
        <w:keepNext w:val="0"/>
        <w:keepLines w:val="0"/>
        <w:pageBreakBefore w:val="0"/>
        <w:widowControl w:val="0"/>
        <w:kinsoku/>
        <w:wordWrap w:val="0"/>
        <w:overflowPunct/>
        <w:topLinePunct/>
        <w:autoSpaceDE/>
        <w:autoSpaceDN/>
        <w:bidi w:val="0"/>
        <w:adjustRightInd w:val="0"/>
        <w:snapToGrid w:val="0"/>
        <w:spacing w:before="21" w:line="376" w:lineRule="exact"/>
        <w:ind w:right="84" w:rightChars="40" w:firstLine="51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2.该《危险性较大的分部分项工程清单及超过一定规模的危险性较</w:t>
      </w:r>
      <w:r>
        <w:rPr>
          <w:rFonts w:hint="eastAsia" w:ascii="宋体" w:hAnsi="宋体" w:eastAsia="宋体" w:cs="宋体"/>
          <w:color w:val="auto"/>
          <w:spacing w:val="7"/>
          <w:sz w:val="24"/>
          <w:szCs w:val="24"/>
          <w:highlight w:val="none"/>
        </w:rPr>
        <w:t>大的分部分项工程清单》在办理</w:t>
      </w:r>
      <w:r>
        <w:rPr>
          <w:rFonts w:hint="eastAsia" w:ascii="宋体" w:hAnsi="宋体" w:eastAsia="宋体" w:cs="宋体"/>
          <w:color w:val="auto"/>
          <w:spacing w:val="10"/>
          <w:sz w:val="24"/>
          <w:szCs w:val="24"/>
          <w:highlight w:val="none"/>
        </w:rPr>
        <w:t>建设项目施工许可时必须提供，且各地建设行政主管部门可按照《广东省建设工</w:t>
      </w:r>
      <w:r>
        <w:rPr>
          <w:rFonts w:hint="eastAsia" w:ascii="宋体" w:hAnsi="宋体" w:eastAsia="宋体" w:cs="宋体"/>
          <w:color w:val="auto"/>
          <w:spacing w:val="9"/>
          <w:sz w:val="24"/>
          <w:szCs w:val="24"/>
          <w:highlight w:val="none"/>
        </w:rPr>
        <w:t>程项目招标中标后监督</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检查办法》相关规定开展检查。</w:t>
      </w:r>
    </w:p>
    <w:p w14:paraId="519C326C">
      <w:pPr>
        <w:keepNext w:val="0"/>
        <w:keepLines w:val="0"/>
        <w:pageBreakBefore w:val="0"/>
        <w:widowControl w:val="0"/>
        <w:kinsoku/>
        <w:wordWrap w:val="0"/>
        <w:overflowPunct/>
        <w:topLinePunct/>
        <w:autoSpaceDE/>
        <w:autoSpaceDN/>
        <w:bidi w:val="0"/>
        <w:adjustRightInd w:val="0"/>
        <w:snapToGrid w:val="0"/>
        <w:spacing w:before="21" w:line="376" w:lineRule="exact"/>
        <w:ind w:right="84" w:rightChars="40" w:firstLine="516" w:firstLineChars="200"/>
        <w:rPr>
          <w:rFonts w:hint="eastAsia" w:ascii="宋体" w:hAnsi="宋体" w:eastAsia="宋体" w:cs="宋体"/>
          <w:color w:val="auto"/>
          <w:spacing w:val="8"/>
          <w:sz w:val="24"/>
          <w:szCs w:val="24"/>
          <w:highlight w:val="none"/>
          <w:lang w:eastAsia="zh-CN"/>
        </w:rPr>
      </w:pPr>
      <w:r>
        <w:rPr>
          <w:rFonts w:hint="eastAsia" w:ascii="宋体" w:hAnsi="宋体" w:eastAsia="宋体" w:cs="宋体"/>
          <w:color w:val="auto"/>
          <w:spacing w:val="9"/>
          <w:sz w:val="24"/>
          <w:szCs w:val="24"/>
          <w:highlight w:val="none"/>
        </w:rPr>
        <w:t>3.如果需要（如需要通过计算编制专项方案，或者需要专家论证</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9"/>
          <w:sz w:val="24"/>
          <w:szCs w:val="24"/>
          <w:highlight w:val="none"/>
        </w:rPr>
        <w:t>可中</w:t>
      </w:r>
      <w:r>
        <w:rPr>
          <w:rFonts w:hint="eastAsia" w:ascii="宋体" w:hAnsi="宋体" w:eastAsia="宋体" w:cs="宋体"/>
          <w:color w:val="auto"/>
          <w:spacing w:val="8"/>
          <w:sz w:val="24"/>
          <w:szCs w:val="24"/>
          <w:highlight w:val="none"/>
        </w:rPr>
        <w:t>标后提供</w:t>
      </w:r>
      <w:r>
        <w:rPr>
          <w:rFonts w:hint="eastAsia" w:ascii="宋体" w:hAnsi="宋体" w:eastAsia="宋体" w:cs="宋体"/>
          <w:color w:val="auto"/>
          <w:spacing w:val="8"/>
          <w:sz w:val="24"/>
          <w:szCs w:val="24"/>
          <w:highlight w:val="none"/>
          <w:lang w:eastAsia="zh-CN"/>
        </w:rPr>
        <w:t>详细版。</w:t>
      </w:r>
    </w:p>
    <w:p w14:paraId="5A5583DB">
      <w:pPr>
        <w:keepNext w:val="0"/>
        <w:keepLines w:val="0"/>
        <w:pageBreakBefore w:val="0"/>
        <w:widowControl w:val="0"/>
        <w:kinsoku/>
        <w:wordWrap w:val="0"/>
        <w:overflowPunct/>
        <w:topLinePunct/>
        <w:autoSpaceDE/>
        <w:autoSpaceDN/>
        <w:bidi w:val="0"/>
        <w:adjustRightInd w:val="0"/>
        <w:snapToGrid w:val="0"/>
        <w:ind w:right="84" w:rightChars="40"/>
        <w:rPr>
          <w:color w:val="auto"/>
          <w:highlight w:val="none"/>
        </w:rPr>
      </w:pPr>
    </w:p>
    <w:p w14:paraId="25998DEA">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4"/>
          <w:sz w:val="24"/>
          <w:szCs w:val="24"/>
          <w:highlight w:val="none"/>
        </w:rPr>
      </w:pPr>
    </w:p>
    <w:p w14:paraId="6BF2D88D">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4"/>
          <w:sz w:val="24"/>
          <w:szCs w:val="24"/>
          <w:highlight w:val="none"/>
        </w:rPr>
      </w:pPr>
    </w:p>
    <w:p w14:paraId="3236A617">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4"/>
          <w:sz w:val="24"/>
          <w:szCs w:val="24"/>
          <w:highlight w:val="none"/>
        </w:rPr>
      </w:pPr>
    </w:p>
    <w:p w14:paraId="5E1482D1">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4"/>
          <w:sz w:val="24"/>
          <w:szCs w:val="24"/>
          <w:highlight w:val="none"/>
        </w:rPr>
      </w:pPr>
    </w:p>
    <w:p w14:paraId="7D1C5FA8">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4"/>
          <w:sz w:val="24"/>
          <w:szCs w:val="24"/>
          <w:highlight w:val="none"/>
        </w:rPr>
      </w:pPr>
    </w:p>
    <w:p w14:paraId="122E4FDA">
      <w:pPr>
        <w:pStyle w:val="14"/>
        <w:keepNext w:val="0"/>
        <w:keepLines w:val="0"/>
        <w:pageBreakBefore w:val="0"/>
        <w:widowControl w:val="0"/>
        <w:kinsoku/>
        <w:wordWrap w:val="0"/>
        <w:overflowPunct/>
        <w:topLinePunct/>
        <w:autoSpaceDE/>
        <w:autoSpaceDN/>
        <w:bidi w:val="0"/>
        <w:adjustRightInd w:val="0"/>
        <w:snapToGrid w:val="0"/>
        <w:ind w:left="0" w:leftChars="0" w:right="84" w:rightChars="40" w:firstLine="0" w:firstLineChars="0"/>
        <w:rPr>
          <w:rFonts w:hint="eastAsia" w:ascii="宋体" w:hAnsi="宋体" w:eastAsia="宋体" w:cs="宋体"/>
          <w:b/>
          <w:bCs/>
          <w:color w:val="auto"/>
          <w:spacing w:val="-4"/>
          <w:sz w:val="24"/>
          <w:szCs w:val="24"/>
          <w:highlight w:val="none"/>
        </w:rPr>
      </w:pPr>
    </w:p>
    <w:p w14:paraId="388F872D">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jc w:val="left"/>
        <w:outlineLvl w:val="9"/>
        <w:rPr>
          <w:rFonts w:hint="eastAsia" w:ascii="宋体" w:hAnsi="宋体" w:eastAsia="宋体" w:cs="宋体"/>
          <w:b/>
          <w:bCs/>
          <w:color w:val="auto"/>
          <w:spacing w:val="-4"/>
          <w:sz w:val="24"/>
          <w:szCs w:val="24"/>
          <w:highlight w:val="none"/>
        </w:rPr>
      </w:pPr>
    </w:p>
    <w:p w14:paraId="18764551">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br w:type="page"/>
      </w:r>
    </w:p>
    <w:p w14:paraId="00B1E37A">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jc w:val="center"/>
        <w:outlineLvl w:val="1"/>
        <w:rPr>
          <w:rFonts w:hint="eastAsia" w:ascii="宋体" w:hAnsi="宋体" w:eastAsia="宋体" w:cs="宋体"/>
          <w:color w:val="auto"/>
          <w:highlight w:val="none"/>
        </w:rPr>
      </w:pPr>
      <w:bookmarkStart w:id="242" w:name="_Toc13631"/>
      <w:r>
        <w:rPr>
          <w:rFonts w:hint="eastAsia" w:ascii="宋体" w:hAnsi="宋体" w:eastAsia="宋体" w:cs="宋体"/>
          <w:b/>
          <w:bCs/>
          <w:color w:val="auto"/>
          <w:spacing w:val="-3"/>
          <w:sz w:val="24"/>
          <w:szCs w:val="24"/>
          <w:highlight w:val="none"/>
        </w:rPr>
        <w:t>第七章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建设工程施工合同</w:t>
      </w:r>
      <w:bookmarkEnd w:id="242"/>
    </w:p>
    <w:p w14:paraId="56A3860D">
      <w:pPr>
        <w:pStyle w:val="6"/>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3ED384EE">
      <w:pPr>
        <w:keepNext w:val="0"/>
        <w:keepLines w:val="0"/>
        <w:pageBreakBefore w:val="0"/>
        <w:widowControl w:val="0"/>
        <w:kinsoku/>
        <w:wordWrap w:val="0"/>
        <w:overflowPunct/>
        <w:topLinePunct/>
        <w:autoSpaceDE/>
        <w:autoSpaceDN/>
        <w:bidi w:val="0"/>
        <w:adjustRightInd w:val="0"/>
        <w:snapToGrid w:val="0"/>
        <w:spacing w:before="78" w:line="324" w:lineRule="auto"/>
        <w:ind w:right="84" w:rightChars="40"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（略</w:t>
      </w:r>
      <w:r>
        <w:rPr>
          <w:rFonts w:hint="eastAsia" w:ascii="宋体" w:hAnsi="宋体" w:eastAsia="宋体" w:cs="宋体"/>
          <w:color w:val="auto"/>
          <w:spacing w:val="-10"/>
          <w:sz w:val="24"/>
          <w:szCs w:val="24"/>
          <w:highlight w:val="none"/>
        </w:rPr>
        <w:t>），</w:t>
      </w:r>
      <w:r>
        <w:rPr>
          <w:rFonts w:hint="eastAsia" w:ascii="宋体" w:hAnsi="宋体" w:eastAsia="宋体" w:cs="宋体"/>
          <w:color w:val="auto"/>
          <w:spacing w:val="-3"/>
          <w:sz w:val="24"/>
          <w:szCs w:val="24"/>
          <w:highlight w:val="none"/>
        </w:rPr>
        <w:t>按《广东省建设工程标准施工合同》（2009 年版）或《建设工程施工合同</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rPr>
        <w:t>（示范文本）》（GF—2017—0201）执行。</w:t>
      </w:r>
    </w:p>
    <w:p w14:paraId="2A45C68B">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highlight w:val="none"/>
        </w:rPr>
      </w:pPr>
    </w:p>
    <w:sectPr>
      <w:footerReference r:id="rId23"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A95E540-2669-4906-AB01-3CF9338664F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简体">
    <w:panose1 w:val="02000000000000000000"/>
    <w:charset w:val="86"/>
    <w:family w:val="auto"/>
    <w:pitch w:val="default"/>
    <w:sig w:usb0="00000001" w:usb1="08000000" w:usb2="00000000" w:usb3="00000000" w:csb0="00040000" w:csb1="00000000"/>
    <w:embedRegular r:id="rId2" w:fontKey="{460AC335-1876-41E1-ADE8-B9E0EAD1CD9B}"/>
  </w:font>
  <w:font w:name="Tahoma">
    <w:panose1 w:val="020B0604030504040204"/>
    <w:charset w:val="00"/>
    <w:family w:val="auto"/>
    <w:pitch w:val="default"/>
    <w:sig w:usb0="E1002EFF" w:usb1="C000605B" w:usb2="00000029" w:usb3="00000000" w:csb0="200101FF" w:csb1="20280000"/>
    <w:embedRegular r:id="rId3" w:fontKey="{F33D84BD-2449-4D0A-8C05-87E3442DE50B}"/>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E5EDC">
    <w:pPr>
      <w:pStyle w:val="9"/>
    </w:pPr>
    <w:r>
      <w:rPr>
        <w:sz w:val="18"/>
      </w:rPr>
      <mc:AlternateContent>
        <mc:Choice Requires="wps">
          <w:drawing>
            <wp:anchor distT="0" distB="0" distL="114300" distR="114300" simplePos="0" relativeHeight="251677696" behindDoc="0" locked="0" layoutInCell="1" allowOverlap="1">
              <wp:simplePos x="0" y="0"/>
              <wp:positionH relativeFrom="margin">
                <wp:posOffset>3024505</wp:posOffset>
              </wp:positionH>
              <wp:positionV relativeFrom="paragraph">
                <wp:posOffset>-589280</wp:posOffset>
              </wp:positionV>
              <wp:extent cx="133350" cy="33972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33350" cy="339725"/>
                      </a:xfrm>
                      <a:prstGeom prst="rect">
                        <a:avLst/>
                      </a:prstGeom>
                      <a:noFill/>
                      <a:ln>
                        <a:noFill/>
                      </a:ln>
                    </wps:spPr>
                    <wps:txbx>
                      <w:txbxContent>
                        <w:p w14:paraId="7B9F2065">
                          <w:pPr>
                            <w:pStyle w:val="9"/>
                          </w:pPr>
                          <w:r>
                            <w:fldChar w:fldCharType="begin"/>
                          </w:r>
                          <w:r>
                            <w:instrText xml:space="preserve"> PAGE  \* MERGEFORMAT </w:instrText>
                          </w:r>
                          <w:r>
                            <w:fldChar w:fldCharType="separate"/>
                          </w:r>
                          <w:r>
                            <w:t>1</w:t>
                          </w:r>
                          <w:r>
                            <w:fldChar w:fldCharType="end"/>
                          </w:r>
                        </w:p>
                      </w:txbxContent>
                    </wps:txbx>
                    <wps:bodyPr lIns="0" tIns="0" rIns="0" bIns="0" upright="0"/>
                  </wps:wsp>
                </a:graphicData>
              </a:graphic>
            </wp:anchor>
          </w:drawing>
        </mc:Choice>
        <mc:Fallback>
          <w:pict>
            <v:shape id="_x0000_s1026" o:spid="_x0000_s1026" o:spt="202" type="#_x0000_t202" style="position:absolute;left:0pt;margin-left:238.15pt;margin-top:-46.4pt;height:26.75pt;width:10.5pt;mso-position-horizontal-relative:margin;z-index:251677696;mso-width-relative:page;mso-height-relative:page;" filled="f" stroked="f" coordsize="21600,21600" o:gfxdata="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e/Q19kAAAALAQAADwAAAAAAAAABACAAAAAiAAAAZHJzL2Rvd25yZXYueG1sUEsB&#10;AhQAFAAAAAgAh07iQPACNNW7AQAAcwMAAA4AAAAAAAAAAQAgAAAAKAEAAGRycy9lMm9Eb2MueG1s&#10;UEsFBgAAAAAGAAYAWQEAAFUFAAAAAA==&#10;">
              <v:fill on="f" focussize="0,0"/>
              <v:stroke on="f"/>
              <v:imagedata o:title=""/>
              <o:lock v:ext="edit" aspectratio="f"/>
              <v:textbox inset="0mm,0mm,0mm,0mm">
                <w:txbxContent>
                  <w:p w14:paraId="7B9F2065">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FA4F2">
    <w:pPr>
      <w:pStyle w:val="9"/>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790E24">
                          <w:pPr>
                            <w:pStyle w:val="9"/>
                          </w:pPr>
                          <w:r>
                            <w:fldChar w:fldCharType="begin"/>
                          </w:r>
                          <w:r>
                            <w:instrText xml:space="preserve"> PAGE  \* MERGEFORMAT </w:instrText>
                          </w:r>
                          <w:r>
                            <w:fldChar w:fldCharType="separate"/>
                          </w:r>
                          <w:r>
                            <w:t>83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14:paraId="0E790E24">
                    <w:pPr>
                      <w:pStyle w:val="9"/>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509DA">
    <w:pPr>
      <w:pStyle w:val="9"/>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6D807F">
                          <w:pPr>
                            <w:pStyle w:val="9"/>
                          </w:pPr>
                          <w:r>
                            <w:fldChar w:fldCharType="begin"/>
                          </w:r>
                          <w:r>
                            <w:instrText xml:space="preserve"> PAGE  \* MERGEFORMAT </w:instrText>
                          </w:r>
                          <w:r>
                            <w:fldChar w:fldCharType="separate"/>
                          </w:r>
                          <w:r>
                            <w:t>84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14:paraId="766D807F">
                    <w:pPr>
                      <w:pStyle w:val="9"/>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CDBFF">
    <w:pPr>
      <w:pStyle w:val="9"/>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CA0C19">
                          <w:pPr>
                            <w:pStyle w:val="9"/>
                          </w:pPr>
                          <w:r>
                            <w:fldChar w:fldCharType="begin"/>
                          </w:r>
                          <w:r>
                            <w:instrText xml:space="preserve"> PAGE  \* MERGEFORMAT </w:instrText>
                          </w:r>
                          <w:r>
                            <w:fldChar w:fldCharType="separate"/>
                          </w:r>
                          <w:r>
                            <w:t>85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39CA0C19">
                    <w:pPr>
                      <w:pStyle w:val="9"/>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4F371">
    <w:pPr>
      <w:pStyle w:val="9"/>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0EFF8F">
                          <w:pPr>
                            <w:pStyle w:val="9"/>
                          </w:pPr>
                          <w:r>
                            <w:fldChar w:fldCharType="begin"/>
                          </w:r>
                          <w:r>
                            <w:instrText xml:space="preserve"> PAGE  \* MERGEFORMAT </w:instrText>
                          </w:r>
                          <w:r>
                            <w:fldChar w:fldCharType="separate"/>
                          </w:r>
                          <w:r>
                            <w:t>86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490EFF8F">
                    <w:pPr>
                      <w:pStyle w:val="9"/>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B2D3E">
    <w:pPr>
      <w:pStyle w:val="9"/>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D834C0">
                          <w:pPr>
                            <w:pStyle w:val="9"/>
                          </w:pPr>
                          <w:r>
                            <w:fldChar w:fldCharType="begin"/>
                          </w:r>
                          <w:r>
                            <w:instrText xml:space="preserve"> PAGE  \* MERGEFORMAT </w:instrText>
                          </w:r>
                          <w:r>
                            <w:fldChar w:fldCharType="separate"/>
                          </w:r>
                          <w:r>
                            <w:t>89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70D834C0">
                    <w:pPr>
                      <w:pStyle w:val="9"/>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9DD22">
    <w:pPr>
      <w:pStyle w:val="9"/>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3EED33">
                          <w:pPr>
                            <w:pStyle w:val="9"/>
                          </w:pPr>
                          <w:r>
                            <w:fldChar w:fldCharType="begin"/>
                          </w:r>
                          <w:r>
                            <w:instrText xml:space="preserve"> PAGE  \* MERGEFORMAT </w:instrText>
                          </w:r>
                          <w:r>
                            <w:fldChar w:fldCharType="separate"/>
                          </w:r>
                          <w:r>
                            <w:t>90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053EED33">
                    <w:pPr>
                      <w:pStyle w:val="9"/>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E9A02">
    <w:pPr>
      <w:pStyle w:val="9"/>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09901A">
                          <w:pPr>
                            <w:pStyle w:val="9"/>
                          </w:pPr>
                          <w:r>
                            <w:fldChar w:fldCharType="begin"/>
                          </w:r>
                          <w:r>
                            <w:instrText xml:space="preserve"> PAGE  \* MERGEFORMAT </w:instrText>
                          </w:r>
                          <w:r>
                            <w:fldChar w:fldCharType="separate"/>
                          </w:r>
                          <w:r>
                            <w:t>93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4809901A">
                    <w:pPr>
                      <w:pStyle w:val="9"/>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6B7BA">
    <w:pPr>
      <w:pStyle w:val="9"/>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3D0994">
                          <w:pPr>
                            <w:pStyle w:val="9"/>
                          </w:pPr>
                          <w:r>
                            <w:fldChar w:fldCharType="begin"/>
                          </w:r>
                          <w:r>
                            <w:instrText xml:space="preserve"> PAGE  \* MERGEFORMAT </w:instrText>
                          </w:r>
                          <w:r>
                            <w:fldChar w:fldCharType="separate"/>
                          </w:r>
                          <w:r>
                            <w:t>102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6C3D0994">
                    <w:pPr>
                      <w:pStyle w:val="9"/>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FC8D2">
    <w:pPr>
      <w:spacing w:line="179" w:lineRule="auto"/>
      <w:ind w:left="4353"/>
      <w:rPr>
        <w:rFonts w:ascii="宋体" w:hAnsi="宋体" w:eastAsia="宋体" w:cs="宋体"/>
        <w:sz w:val="19"/>
        <w:szCs w:val="19"/>
      </w:rPr>
    </w:pPr>
    <w:r>
      <w:rPr>
        <w:sz w:val="1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DE40D7">
                          <w:pPr>
                            <w:pStyle w:val="9"/>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WErUc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zpM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WErUcoBAACbAwAADgAAAAAAAAABACAAAAAeAQAAZHJzL2Uyb0Rv&#10;Yy54bWxQSwUGAAAAAAYABgBZAQAAWgUAAAAA&#10;">
              <v:fill on="f" focussize="0,0"/>
              <v:stroke on="f"/>
              <v:imagedata o:title=""/>
              <o:lock v:ext="edit" aspectratio="f"/>
              <v:textbox inset="0mm,0mm,0mm,0mm" style="mso-fit-shape-to-text:t;">
                <w:txbxContent>
                  <w:p w14:paraId="15DE40D7">
                    <w:pPr>
                      <w:pStyle w:val="9"/>
                    </w:pPr>
                    <w:r>
                      <w:fldChar w:fldCharType="begin"/>
                    </w:r>
                    <w:r>
                      <w:instrText xml:space="preserve"> PAGE  \* MERGEFORMAT </w:instrText>
                    </w:r>
                    <w:r>
                      <w:fldChar w:fldCharType="separate"/>
                    </w:r>
                    <w:r>
                      <w:t>5</w:t>
                    </w:r>
                    <w:r>
                      <w:fldChar w:fldCharType="end"/>
                    </w:r>
                  </w:p>
                </w:txbxContent>
              </v:textbox>
            </v:shape>
          </w:pict>
        </mc:Fallback>
      </mc:AlternateContent>
    </w:r>
    <w:r>
      <w:rPr>
        <w:rFonts w:hint="eastAsia" w:ascii="宋体" w:hAnsi="宋体" w:eastAsia="宋体" w:cs="宋体"/>
        <w:sz w:val="19"/>
        <w:szCs w:val="19"/>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82EE3">
    <w:pPr>
      <w:pStyle w:val="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88290" cy="14033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288290" cy="140335"/>
                      </a:xfrm>
                      <a:prstGeom prst="rect">
                        <a:avLst/>
                      </a:prstGeom>
                      <a:noFill/>
                      <a:ln>
                        <a:noFill/>
                      </a:ln>
                    </wps:spPr>
                    <wps:txbx>
                      <w:txbxContent>
                        <w:p w14:paraId="6C9EAEFE">
                          <w:pPr>
                            <w:pStyle w:val="9"/>
                          </w:pPr>
                          <w:r>
                            <w:fldChar w:fldCharType="begin"/>
                          </w:r>
                          <w:r>
                            <w:instrText xml:space="preserve"> PAGE  \* MERGEFORMAT </w:instrText>
                          </w:r>
                          <w:r>
                            <w:fldChar w:fldCharType="separate"/>
                          </w:r>
                          <w:r>
                            <w:t>14</w:t>
                          </w:r>
                          <w:r>
                            <w:fldChar w:fldCharType="end"/>
                          </w:r>
                        </w:p>
                      </w:txbxContent>
                    </wps:txbx>
                    <wps:bodyPr wrap="square" lIns="0" tIns="0" rIns="0" bIns="0" upright="0">
                      <a:noAutofit/>
                    </wps:bodyPr>
                  </wps:wsp>
                </a:graphicData>
              </a:graphic>
            </wp:anchor>
          </w:drawing>
        </mc:Choice>
        <mc:Fallback>
          <w:pict>
            <v:shape id="_x0000_s1026" o:spid="_x0000_s1026" o:spt="202" type="#_x0000_t202" style="position:absolute;left:0pt;margin-top:0pt;height:11.05pt;width:22.7pt;mso-position-horizontal:center;mso-position-horizontal-relative:margin;z-index:251662336;mso-width-relative:page;mso-height-relative:page;" filled="f" stroked="f" coordsize="21600,21600" o:gfxdata="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G2Lf+1AAAAAMBAAAPAAAAAAAAAAEAIAAAACIAAABkcnMv&#10;ZG93bnJldi54bWxQSwECFAAUAAAACACHTuJA3H6nrM4BAACbAwAADgAAAAAAAAABACAAAAAjAQAA&#10;ZHJzL2Uyb0RvYy54bWxQSwUGAAAAAAYABgBZAQAAYwUAAAAA&#10;">
              <v:fill on="f" focussize="0,0"/>
              <v:stroke on="f"/>
              <v:imagedata o:title=""/>
              <o:lock v:ext="edit" aspectratio="f"/>
              <v:textbox inset="0mm,0mm,0mm,0mm">
                <w:txbxContent>
                  <w:p w14:paraId="6C9EAEFE">
                    <w:pPr>
                      <w:pStyle w:val="9"/>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0BB97">
    <w:pPr>
      <w:pStyle w:val="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B055B6">
                          <w:pPr>
                            <w:pStyle w:val="9"/>
                          </w:pPr>
                          <w:r>
                            <w:fldChar w:fldCharType="begin"/>
                          </w:r>
                          <w:r>
                            <w:instrText xml:space="preserve"> PAGE  \* MERGEFORMAT </w:instrText>
                          </w:r>
                          <w:r>
                            <w:fldChar w:fldCharType="separate"/>
                          </w:r>
                          <w:r>
                            <w:t>44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kHiCcoBAACb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dvKH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kHiCcoBAACbAwAADgAAAAAAAAABACAAAAAeAQAAZHJzL2Uyb0Rv&#10;Yy54bWxQSwUGAAAAAAYABgBZAQAAWgUAAAAA&#10;">
              <v:fill on="f" focussize="0,0"/>
              <v:stroke on="f"/>
              <v:imagedata o:title=""/>
              <o:lock v:ext="edit" aspectratio="f"/>
              <v:textbox inset="0mm,0mm,0mm,0mm" style="mso-fit-shape-to-text:t;">
                <w:txbxContent>
                  <w:p w14:paraId="76B055B6">
                    <w:pPr>
                      <w:pStyle w:val="9"/>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149F2">
    <w:pPr>
      <w:pStyle w:val="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45B295">
                          <w:pPr>
                            <w:pStyle w:val="9"/>
                          </w:pPr>
                          <w:r>
                            <w:fldChar w:fldCharType="begin"/>
                          </w:r>
                          <w:r>
                            <w:instrText xml:space="preserve"> PAGE  \* MERGEFORMAT </w:instrText>
                          </w:r>
                          <w:r>
                            <w:fldChar w:fldCharType="separate"/>
                          </w:r>
                          <w:r>
                            <w:t>47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7D45B295">
                    <w:pPr>
                      <w:pStyle w:val="9"/>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4A2F1">
    <w:pPr>
      <w:pStyle w:val="9"/>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1336FA">
                          <w:pPr>
                            <w:pStyle w:val="9"/>
                          </w:pPr>
                          <w:r>
                            <w:fldChar w:fldCharType="begin"/>
                          </w:r>
                          <w:r>
                            <w:instrText xml:space="preserve"> PAGE  \* MERGEFORMAT </w:instrText>
                          </w:r>
                          <w:r>
                            <w:fldChar w:fldCharType="separate"/>
                          </w:r>
                          <w:r>
                            <w:t>50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751336FA">
                    <w:pPr>
                      <w:pStyle w:val="9"/>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84B9A">
    <w:pPr>
      <w:pStyle w:val="9"/>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E881E7">
                          <w:pPr>
                            <w:pStyle w:val="9"/>
                          </w:pPr>
                          <w:r>
                            <w:fldChar w:fldCharType="begin"/>
                          </w:r>
                          <w:r>
                            <w:instrText xml:space="preserve"> PAGE  \* MERGEFORMAT </w:instrText>
                          </w:r>
                          <w:r>
                            <w:fldChar w:fldCharType="separate"/>
                          </w:r>
                          <w:r>
                            <w:t>79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qY8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mipjyQEAAJsDAAAOAAAAAAAAAAEAIAAAAB4BAABkcnMvZTJvRG9j&#10;LnhtbFBLBQYAAAAABgAGAFkBAABZBQAAAAA=&#10;">
              <v:fill on="f" focussize="0,0"/>
              <v:stroke on="f"/>
              <v:imagedata o:title=""/>
              <o:lock v:ext="edit" aspectratio="f"/>
              <v:textbox inset="0mm,0mm,0mm,0mm" style="mso-fit-shape-to-text:t;">
                <w:txbxContent>
                  <w:p w14:paraId="62E881E7">
                    <w:pPr>
                      <w:pStyle w:val="9"/>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8EB47">
    <w:pPr>
      <w:pStyle w:val="9"/>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1C121E">
                          <w:pPr>
                            <w:pStyle w:val="9"/>
                          </w:pPr>
                          <w:r>
                            <w:fldChar w:fldCharType="begin"/>
                          </w:r>
                          <w:r>
                            <w:instrText xml:space="preserve"> PAGE  \* MERGEFORMAT </w:instrText>
                          </w:r>
                          <w:r>
                            <w:fldChar w:fldCharType="separate"/>
                          </w:r>
                          <w:r>
                            <w:t>80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FvRG8k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1DiHrflTXK9SC8Oy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9EbyQEAAJsDAAAOAAAAAAAAAAEAIAAAAB4BAABkcnMvZTJvRG9j&#10;LnhtbFBLBQYAAAAABgAGAFkBAABZBQAAAAA=&#10;">
              <v:fill on="f" focussize="0,0"/>
              <v:stroke on="f"/>
              <v:imagedata o:title=""/>
              <o:lock v:ext="edit" aspectratio="f"/>
              <v:textbox inset="0mm,0mm,0mm,0mm" style="mso-fit-shape-to-text:t;">
                <w:txbxContent>
                  <w:p w14:paraId="731C121E">
                    <w:pPr>
                      <w:pStyle w:val="9"/>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D4BC8">
    <w:pPr>
      <w:pStyle w:val="9"/>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EC5D1E">
                          <w:pPr>
                            <w:pStyle w:val="9"/>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nmGe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4d8ctTvz84/v55+/zr28E&#10;fShQH6DGvMeAmWm48QMmz35AZ+Y9qGjzFxkRjKO8p4u8ckhE5Eer5WpVYUhgbL4gPnt6HiKkO+kt&#10;yUZDI86vyMqP95DG1DklV3P+VhtTZmjcXw7EzB6Wex97zFYadsNEaOfbE/LpcfQNdbjplJiPDpXN&#10;WzIbcTZ2s3EIUe+7ska5HoQPh4RNlN5yhRF2KowzK+ym/cpL8fxesp7+qc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p5hnvIAQAAmwMAAA4AAAAAAAAAAQAgAAAAHgEAAGRycy9lMm9Eb2Mu&#10;eG1sUEsFBgAAAAAGAAYAWQEAAFgFAAAAAA==&#10;">
              <v:fill on="f" focussize="0,0"/>
              <v:stroke on="f"/>
              <v:imagedata o:title=""/>
              <o:lock v:ext="edit" aspectratio="f"/>
              <v:textbox inset="0mm,0mm,0mm,0mm" style="mso-fit-shape-to-text:t;">
                <w:txbxContent>
                  <w:p w14:paraId="67EC5D1E">
                    <w:pPr>
                      <w:pStyle w:val="9"/>
                    </w:pPr>
                    <w:r>
                      <w:fldChar w:fldCharType="begin"/>
                    </w:r>
                    <w:r>
                      <w:instrText xml:space="preserve"> PAGE  \* MERGEFORMAT </w:instrText>
                    </w:r>
                    <w:r>
                      <w:fldChar w:fldCharType="separate"/>
                    </w:r>
                    <w:r>
                      <w:t>81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80847">
    <w:pPr>
      <w:pStyle w:val="6"/>
      <w:spacing w:line="50"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7453E">
    <w:pPr>
      <w:pStyle w:val="6"/>
      <w:spacing w:line="50"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E625E">
    <w:pPr>
      <w:pStyle w:val="6"/>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6DFCF">
    <w:pPr>
      <w:pStyle w:val="6"/>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C9BDCA"/>
    <w:multiLevelType w:val="singleLevel"/>
    <w:tmpl w:val="E6C9BDCA"/>
    <w:lvl w:ilvl="0" w:tentative="0">
      <w:start w:val="1"/>
      <w:numFmt w:val="decimal"/>
      <w:suff w:val="nothing"/>
      <w:lvlText w:val="（%1）"/>
      <w:lvlJc w:val="left"/>
    </w:lvl>
  </w:abstractNum>
  <w:abstractNum w:abstractNumId="1">
    <w:nsid w:val="00000003"/>
    <w:multiLevelType w:val="singleLevel"/>
    <w:tmpl w:val="00000003"/>
    <w:lvl w:ilvl="0" w:tentative="0">
      <w:start w:val="1"/>
      <w:numFmt w:val="decimal"/>
      <w:suff w:val="nothing"/>
      <w:lvlText w:val="（%1）"/>
      <w:lvlJc w:val="left"/>
    </w:lvl>
  </w:abstractNum>
  <w:abstractNum w:abstractNumId="2">
    <w:nsid w:val="31C8F4DD"/>
    <w:multiLevelType w:val="singleLevel"/>
    <w:tmpl w:val="31C8F4DD"/>
    <w:lvl w:ilvl="0" w:tentative="0">
      <w:start w:val="1"/>
      <w:numFmt w:val="decimal"/>
      <w:lvlText w:val="%1."/>
      <w:lvlJc w:val="left"/>
      <w:pPr>
        <w:tabs>
          <w:tab w:val="left" w:pos="312"/>
        </w:tabs>
      </w:pPr>
    </w:lvl>
  </w:abstractNum>
  <w:abstractNum w:abstractNumId="3">
    <w:nsid w:val="64F127C5"/>
    <w:multiLevelType w:val="singleLevel"/>
    <w:tmpl w:val="64F127C5"/>
    <w:lvl w:ilvl="0" w:tentative="0">
      <w:start w:val="1"/>
      <w:numFmt w:val="decimalEnclosedCircleChinese"/>
      <w:suff w:val="nothing"/>
      <w:lvlText w:val="%1　"/>
      <w:lvlJc w:val="left"/>
      <w:pPr>
        <w:ind w:left="0" w:firstLine="400"/>
      </w:pPr>
      <w:rPr>
        <w:rFonts w:hint="eastAsia"/>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yZDMxNWRkYmY5MjE3NjUxYTk3ZDA1NDUyNmVkYWEifQ=="/>
  </w:docVars>
  <w:rsids>
    <w:rsidRoot w:val="4F582EF7"/>
    <w:rsid w:val="002C5F23"/>
    <w:rsid w:val="00473031"/>
    <w:rsid w:val="005A48DC"/>
    <w:rsid w:val="00A92C73"/>
    <w:rsid w:val="00B6048B"/>
    <w:rsid w:val="00D61DC8"/>
    <w:rsid w:val="01276505"/>
    <w:rsid w:val="013F232E"/>
    <w:rsid w:val="014C6B51"/>
    <w:rsid w:val="018B7D8A"/>
    <w:rsid w:val="01B6213A"/>
    <w:rsid w:val="01BE1198"/>
    <w:rsid w:val="01CF674F"/>
    <w:rsid w:val="01D654C8"/>
    <w:rsid w:val="01FD63CC"/>
    <w:rsid w:val="02076F1C"/>
    <w:rsid w:val="02337D11"/>
    <w:rsid w:val="02BF0C55"/>
    <w:rsid w:val="02F34617"/>
    <w:rsid w:val="0358304C"/>
    <w:rsid w:val="039225AD"/>
    <w:rsid w:val="039E06FB"/>
    <w:rsid w:val="03E55EB3"/>
    <w:rsid w:val="03F01582"/>
    <w:rsid w:val="03FB2BEF"/>
    <w:rsid w:val="04021749"/>
    <w:rsid w:val="047837EC"/>
    <w:rsid w:val="04B67F25"/>
    <w:rsid w:val="04BF763A"/>
    <w:rsid w:val="04C4204D"/>
    <w:rsid w:val="04EF43C3"/>
    <w:rsid w:val="05643BFC"/>
    <w:rsid w:val="05991ECC"/>
    <w:rsid w:val="05AA684F"/>
    <w:rsid w:val="05BE615E"/>
    <w:rsid w:val="05E732EC"/>
    <w:rsid w:val="05EC614B"/>
    <w:rsid w:val="063C112F"/>
    <w:rsid w:val="069B537E"/>
    <w:rsid w:val="06C70A28"/>
    <w:rsid w:val="06C929F2"/>
    <w:rsid w:val="06CA23DC"/>
    <w:rsid w:val="07133987"/>
    <w:rsid w:val="07520C39"/>
    <w:rsid w:val="07920EE6"/>
    <w:rsid w:val="07A1396F"/>
    <w:rsid w:val="07A71DAB"/>
    <w:rsid w:val="07D30A11"/>
    <w:rsid w:val="081D0214"/>
    <w:rsid w:val="084A1910"/>
    <w:rsid w:val="088C763C"/>
    <w:rsid w:val="08B0281E"/>
    <w:rsid w:val="08CD7283"/>
    <w:rsid w:val="08EB6C4F"/>
    <w:rsid w:val="08F0135E"/>
    <w:rsid w:val="0920533B"/>
    <w:rsid w:val="092D5890"/>
    <w:rsid w:val="093E0412"/>
    <w:rsid w:val="09976F02"/>
    <w:rsid w:val="09C807D3"/>
    <w:rsid w:val="09F06AB0"/>
    <w:rsid w:val="09FA34EB"/>
    <w:rsid w:val="09FF4A68"/>
    <w:rsid w:val="0A0E67BB"/>
    <w:rsid w:val="0A62467A"/>
    <w:rsid w:val="0A7D4664"/>
    <w:rsid w:val="0AA92568"/>
    <w:rsid w:val="0AC01AF8"/>
    <w:rsid w:val="0AD33307"/>
    <w:rsid w:val="0B1A16F6"/>
    <w:rsid w:val="0B3866B7"/>
    <w:rsid w:val="0B61723B"/>
    <w:rsid w:val="0B934DBE"/>
    <w:rsid w:val="0BAF3FFB"/>
    <w:rsid w:val="0BD240F7"/>
    <w:rsid w:val="0BF105BE"/>
    <w:rsid w:val="0C120997"/>
    <w:rsid w:val="0C2B1A59"/>
    <w:rsid w:val="0C4153D2"/>
    <w:rsid w:val="0C49746F"/>
    <w:rsid w:val="0CA07D76"/>
    <w:rsid w:val="0CA27F6D"/>
    <w:rsid w:val="0CEC73F9"/>
    <w:rsid w:val="0CF0217F"/>
    <w:rsid w:val="0D03679A"/>
    <w:rsid w:val="0D4511BD"/>
    <w:rsid w:val="0DCB0DFD"/>
    <w:rsid w:val="0DCE22AF"/>
    <w:rsid w:val="0DF525DE"/>
    <w:rsid w:val="0DF61CE0"/>
    <w:rsid w:val="0E1E1875"/>
    <w:rsid w:val="0E684952"/>
    <w:rsid w:val="0E7A2A03"/>
    <w:rsid w:val="0E7E6F16"/>
    <w:rsid w:val="0E8E37ED"/>
    <w:rsid w:val="0EAF2E14"/>
    <w:rsid w:val="0EDB59B8"/>
    <w:rsid w:val="0EE4486D"/>
    <w:rsid w:val="0F674A39"/>
    <w:rsid w:val="0F6F04DC"/>
    <w:rsid w:val="0F951923"/>
    <w:rsid w:val="10445201"/>
    <w:rsid w:val="105858FC"/>
    <w:rsid w:val="106C3AC2"/>
    <w:rsid w:val="108403E2"/>
    <w:rsid w:val="109275A9"/>
    <w:rsid w:val="10C15734"/>
    <w:rsid w:val="113E616D"/>
    <w:rsid w:val="11533574"/>
    <w:rsid w:val="11601D37"/>
    <w:rsid w:val="11717AF8"/>
    <w:rsid w:val="11785740"/>
    <w:rsid w:val="11862732"/>
    <w:rsid w:val="118F278E"/>
    <w:rsid w:val="11990915"/>
    <w:rsid w:val="119D4F21"/>
    <w:rsid w:val="11A47985"/>
    <w:rsid w:val="11BA5E81"/>
    <w:rsid w:val="11C67A56"/>
    <w:rsid w:val="11D80D88"/>
    <w:rsid w:val="12BB24D8"/>
    <w:rsid w:val="12E7492B"/>
    <w:rsid w:val="12E74FC1"/>
    <w:rsid w:val="12F27F6E"/>
    <w:rsid w:val="139D323C"/>
    <w:rsid w:val="13F65B92"/>
    <w:rsid w:val="14141B79"/>
    <w:rsid w:val="142B42FC"/>
    <w:rsid w:val="14760C96"/>
    <w:rsid w:val="14882C02"/>
    <w:rsid w:val="149745C8"/>
    <w:rsid w:val="14F03ACA"/>
    <w:rsid w:val="150D2643"/>
    <w:rsid w:val="156E41E4"/>
    <w:rsid w:val="158D1480"/>
    <w:rsid w:val="15A45AE5"/>
    <w:rsid w:val="15BB5A0C"/>
    <w:rsid w:val="15C42638"/>
    <w:rsid w:val="15D97B34"/>
    <w:rsid w:val="15DC13FE"/>
    <w:rsid w:val="15FB249C"/>
    <w:rsid w:val="15FD448C"/>
    <w:rsid w:val="16005D04"/>
    <w:rsid w:val="160E0085"/>
    <w:rsid w:val="16443E43"/>
    <w:rsid w:val="16737FC1"/>
    <w:rsid w:val="16CB4A2F"/>
    <w:rsid w:val="16CC58B4"/>
    <w:rsid w:val="16EA77FA"/>
    <w:rsid w:val="1722468F"/>
    <w:rsid w:val="172D27B1"/>
    <w:rsid w:val="173C4B1A"/>
    <w:rsid w:val="17726DD2"/>
    <w:rsid w:val="17751223"/>
    <w:rsid w:val="17C50FB3"/>
    <w:rsid w:val="17CC0594"/>
    <w:rsid w:val="18226406"/>
    <w:rsid w:val="182A472E"/>
    <w:rsid w:val="18673E19"/>
    <w:rsid w:val="18817E9E"/>
    <w:rsid w:val="18892528"/>
    <w:rsid w:val="18AD238B"/>
    <w:rsid w:val="190B3062"/>
    <w:rsid w:val="1962171E"/>
    <w:rsid w:val="1963464B"/>
    <w:rsid w:val="197764F6"/>
    <w:rsid w:val="19822DAB"/>
    <w:rsid w:val="19BC1F42"/>
    <w:rsid w:val="19BD63E6"/>
    <w:rsid w:val="19D5060C"/>
    <w:rsid w:val="1A3A6836"/>
    <w:rsid w:val="1A584D7E"/>
    <w:rsid w:val="1A5B5BFF"/>
    <w:rsid w:val="1AC50DC4"/>
    <w:rsid w:val="1AE57555"/>
    <w:rsid w:val="1B090C1E"/>
    <w:rsid w:val="1B4330C6"/>
    <w:rsid w:val="1B656D35"/>
    <w:rsid w:val="1B745FC1"/>
    <w:rsid w:val="1C2A3ADB"/>
    <w:rsid w:val="1C2A7C5F"/>
    <w:rsid w:val="1C324211"/>
    <w:rsid w:val="1C711CEC"/>
    <w:rsid w:val="1C7F3E27"/>
    <w:rsid w:val="1C8C06E6"/>
    <w:rsid w:val="1CC7568B"/>
    <w:rsid w:val="1D0C4F8F"/>
    <w:rsid w:val="1E067C30"/>
    <w:rsid w:val="1E3B5B2B"/>
    <w:rsid w:val="1E3E386E"/>
    <w:rsid w:val="1E491296"/>
    <w:rsid w:val="1E5D49E3"/>
    <w:rsid w:val="1E994221"/>
    <w:rsid w:val="1EDA5344"/>
    <w:rsid w:val="1EE13915"/>
    <w:rsid w:val="1EE461C3"/>
    <w:rsid w:val="1F487665"/>
    <w:rsid w:val="1F683A66"/>
    <w:rsid w:val="1FC50A6F"/>
    <w:rsid w:val="20801F1B"/>
    <w:rsid w:val="20CB1F07"/>
    <w:rsid w:val="20F6072B"/>
    <w:rsid w:val="210C65D7"/>
    <w:rsid w:val="21244F9D"/>
    <w:rsid w:val="213D3171"/>
    <w:rsid w:val="22277108"/>
    <w:rsid w:val="222C2B90"/>
    <w:rsid w:val="22457E73"/>
    <w:rsid w:val="22686ACA"/>
    <w:rsid w:val="22D310CE"/>
    <w:rsid w:val="22F866E1"/>
    <w:rsid w:val="233953DA"/>
    <w:rsid w:val="234E349D"/>
    <w:rsid w:val="23931F66"/>
    <w:rsid w:val="23DF37AB"/>
    <w:rsid w:val="246102B6"/>
    <w:rsid w:val="24782AD4"/>
    <w:rsid w:val="248726E0"/>
    <w:rsid w:val="249C3951"/>
    <w:rsid w:val="24CB6D2F"/>
    <w:rsid w:val="250E55AB"/>
    <w:rsid w:val="25166F06"/>
    <w:rsid w:val="254C2D14"/>
    <w:rsid w:val="256D06AE"/>
    <w:rsid w:val="257A5EF4"/>
    <w:rsid w:val="2582242A"/>
    <w:rsid w:val="25A55F80"/>
    <w:rsid w:val="25A85DA3"/>
    <w:rsid w:val="25B20381"/>
    <w:rsid w:val="25F25669"/>
    <w:rsid w:val="260B04D9"/>
    <w:rsid w:val="26105AEF"/>
    <w:rsid w:val="264763B7"/>
    <w:rsid w:val="26881A92"/>
    <w:rsid w:val="268B2A3A"/>
    <w:rsid w:val="268B3DAD"/>
    <w:rsid w:val="26A61FB0"/>
    <w:rsid w:val="26C5138D"/>
    <w:rsid w:val="27415C62"/>
    <w:rsid w:val="278A7BBB"/>
    <w:rsid w:val="27B65EBB"/>
    <w:rsid w:val="27EB002E"/>
    <w:rsid w:val="282B4E63"/>
    <w:rsid w:val="28884FF7"/>
    <w:rsid w:val="28903EFE"/>
    <w:rsid w:val="290F389D"/>
    <w:rsid w:val="2962542C"/>
    <w:rsid w:val="29D32E16"/>
    <w:rsid w:val="29E35145"/>
    <w:rsid w:val="2A1E771F"/>
    <w:rsid w:val="2AAB5DE7"/>
    <w:rsid w:val="2ABB14A2"/>
    <w:rsid w:val="2AF754D0"/>
    <w:rsid w:val="2B367172"/>
    <w:rsid w:val="2B7314CC"/>
    <w:rsid w:val="2B784A6E"/>
    <w:rsid w:val="2B9A7B07"/>
    <w:rsid w:val="2BA22667"/>
    <w:rsid w:val="2BAE2033"/>
    <w:rsid w:val="2BB37649"/>
    <w:rsid w:val="2BF5596C"/>
    <w:rsid w:val="2BFD3113"/>
    <w:rsid w:val="2C0003B4"/>
    <w:rsid w:val="2C15160E"/>
    <w:rsid w:val="2C44430E"/>
    <w:rsid w:val="2C5D1664"/>
    <w:rsid w:val="2C762A20"/>
    <w:rsid w:val="2C834915"/>
    <w:rsid w:val="2C892A75"/>
    <w:rsid w:val="2C9C00DD"/>
    <w:rsid w:val="2CA156F3"/>
    <w:rsid w:val="2D906B09"/>
    <w:rsid w:val="2D9C5EBB"/>
    <w:rsid w:val="2DD973AC"/>
    <w:rsid w:val="2E611B70"/>
    <w:rsid w:val="2E9A689E"/>
    <w:rsid w:val="2ECB6A58"/>
    <w:rsid w:val="2EDD4BB1"/>
    <w:rsid w:val="2F0401BB"/>
    <w:rsid w:val="2F197AD8"/>
    <w:rsid w:val="2F2729AC"/>
    <w:rsid w:val="2F3C0F4C"/>
    <w:rsid w:val="2F6F6AD1"/>
    <w:rsid w:val="2F957897"/>
    <w:rsid w:val="2F9C21A2"/>
    <w:rsid w:val="2FB82F9F"/>
    <w:rsid w:val="2FE5383E"/>
    <w:rsid w:val="2FEA4C7F"/>
    <w:rsid w:val="2FF43805"/>
    <w:rsid w:val="3037089D"/>
    <w:rsid w:val="30D864C1"/>
    <w:rsid w:val="30D97B01"/>
    <w:rsid w:val="30F72C19"/>
    <w:rsid w:val="31013C49"/>
    <w:rsid w:val="311A3606"/>
    <w:rsid w:val="312319EF"/>
    <w:rsid w:val="313B704E"/>
    <w:rsid w:val="313C778B"/>
    <w:rsid w:val="31790C43"/>
    <w:rsid w:val="319A63F2"/>
    <w:rsid w:val="321A2D0F"/>
    <w:rsid w:val="324D664C"/>
    <w:rsid w:val="32BE6EB2"/>
    <w:rsid w:val="32C7154E"/>
    <w:rsid w:val="33156D5E"/>
    <w:rsid w:val="3317207A"/>
    <w:rsid w:val="331A6B7B"/>
    <w:rsid w:val="331F2052"/>
    <w:rsid w:val="33396D39"/>
    <w:rsid w:val="33643EF5"/>
    <w:rsid w:val="3387564F"/>
    <w:rsid w:val="33AA41B5"/>
    <w:rsid w:val="33C70135"/>
    <w:rsid w:val="33CF325B"/>
    <w:rsid w:val="33D80BF4"/>
    <w:rsid w:val="347B4A7C"/>
    <w:rsid w:val="348463F8"/>
    <w:rsid w:val="348F605A"/>
    <w:rsid w:val="34E716B6"/>
    <w:rsid w:val="35233259"/>
    <w:rsid w:val="352C3F7A"/>
    <w:rsid w:val="35357321"/>
    <w:rsid w:val="3553337E"/>
    <w:rsid w:val="359A23F1"/>
    <w:rsid w:val="359F2BE0"/>
    <w:rsid w:val="35E05EE6"/>
    <w:rsid w:val="35FC399A"/>
    <w:rsid w:val="36516C72"/>
    <w:rsid w:val="36B60605"/>
    <w:rsid w:val="36C5227C"/>
    <w:rsid w:val="36DB3EF8"/>
    <w:rsid w:val="36DB7A54"/>
    <w:rsid w:val="37704A11"/>
    <w:rsid w:val="37C45ACE"/>
    <w:rsid w:val="37E335F2"/>
    <w:rsid w:val="3835053A"/>
    <w:rsid w:val="384D6C1B"/>
    <w:rsid w:val="386B727B"/>
    <w:rsid w:val="389E342F"/>
    <w:rsid w:val="38AF2F46"/>
    <w:rsid w:val="38BE1535"/>
    <w:rsid w:val="38CD74D8"/>
    <w:rsid w:val="391D7376"/>
    <w:rsid w:val="39243950"/>
    <w:rsid w:val="392A6928"/>
    <w:rsid w:val="39403E21"/>
    <w:rsid w:val="397A7B42"/>
    <w:rsid w:val="39B4157B"/>
    <w:rsid w:val="39B5458C"/>
    <w:rsid w:val="3A104D75"/>
    <w:rsid w:val="3A2940F7"/>
    <w:rsid w:val="3A4C2C68"/>
    <w:rsid w:val="3A5C783F"/>
    <w:rsid w:val="3A5E69D2"/>
    <w:rsid w:val="3A7C154E"/>
    <w:rsid w:val="3AAF1923"/>
    <w:rsid w:val="3B035B4A"/>
    <w:rsid w:val="3B2C2F74"/>
    <w:rsid w:val="3B351E28"/>
    <w:rsid w:val="3B4F53C1"/>
    <w:rsid w:val="3B78218B"/>
    <w:rsid w:val="3BAD62A4"/>
    <w:rsid w:val="3BAE3989"/>
    <w:rsid w:val="3C2052F0"/>
    <w:rsid w:val="3C2412AC"/>
    <w:rsid w:val="3C242530"/>
    <w:rsid w:val="3C6D274E"/>
    <w:rsid w:val="3C704532"/>
    <w:rsid w:val="3C770CC6"/>
    <w:rsid w:val="3CCA02B2"/>
    <w:rsid w:val="3CCA56DE"/>
    <w:rsid w:val="3CD613E9"/>
    <w:rsid w:val="3CE62383"/>
    <w:rsid w:val="3CEC7A2A"/>
    <w:rsid w:val="3CF76813"/>
    <w:rsid w:val="3CF9744B"/>
    <w:rsid w:val="3D0433A8"/>
    <w:rsid w:val="3D0F69B6"/>
    <w:rsid w:val="3D210DFB"/>
    <w:rsid w:val="3D4A77E5"/>
    <w:rsid w:val="3D9A5AC9"/>
    <w:rsid w:val="3DC21633"/>
    <w:rsid w:val="3DCE35B6"/>
    <w:rsid w:val="3DD136B5"/>
    <w:rsid w:val="3DF00F2D"/>
    <w:rsid w:val="3E0F3EB7"/>
    <w:rsid w:val="3E2609B2"/>
    <w:rsid w:val="3E3A4625"/>
    <w:rsid w:val="3E6B7D03"/>
    <w:rsid w:val="3E7F6463"/>
    <w:rsid w:val="3ECB4852"/>
    <w:rsid w:val="3EE53880"/>
    <w:rsid w:val="3EEB0292"/>
    <w:rsid w:val="3F281B00"/>
    <w:rsid w:val="3F930BE9"/>
    <w:rsid w:val="3F952DC8"/>
    <w:rsid w:val="3FE15005"/>
    <w:rsid w:val="3FE77469"/>
    <w:rsid w:val="400E2C48"/>
    <w:rsid w:val="40E21F2A"/>
    <w:rsid w:val="41216845"/>
    <w:rsid w:val="4172492F"/>
    <w:rsid w:val="41E73751"/>
    <w:rsid w:val="42293C08"/>
    <w:rsid w:val="427179B7"/>
    <w:rsid w:val="428D039F"/>
    <w:rsid w:val="4294514B"/>
    <w:rsid w:val="429E2362"/>
    <w:rsid w:val="42FC0E58"/>
    <w:rsid w:val="434F15AD"/>
    <w:rsid w:val="435A0011"/>
    <w:rsid w:val="437454B8"/>
    <w:rsid w:val="43947908"/>
    <w:rsid w:val="43AA0EDA"/>
    <w:rsid w:val="43C845C3"/>
    <w:rsid w:val="43D25E53"/>
    <w:rsid w:val="440138A0"/>
    <w:rsid w:val="44246EDE"/>
    <w:rsid w:val="44692B43"/>
    <w:rsid w:val="44983428"/>
    <w:rsid w:val="44C004DA"/>
    <w:rsid w:val="44C47D79"/>
    <w:rsid w:val="44D51F86"/>
    <w:rsid w:val="45111A2C"/>
    <w:rsid w:val="4516612D"/>
    <w:rsid w:val="451A208F"/>
    <w:rsid w:val="4545340E"/>
    <w:rsid w:val="458D2861"/>
    <w:rsid w:val="45BB3260"/>
    <w:rsid w:val="46092999"/>
    <w:rsid w:val="4612476D"/>
    <w:rsid w:val="462E5DF2"/>
    <w:rsid w:val="464A412C"/>
    <w:rsid w:val="46713F31"/>
    <w:rsid w:val="46723523"/>
    <w:rsid w:val="468F5CB4"/>
    <w:rsid w:val="4690085B"/>
    <w:rsid w:val="46C027C2"/>
    <w:rsid w:val="4743767B"/>
    <w:rsid w:val="474820C5"/>
    <w:rsid w:val="47590C4D"/>
    <w:rsid w:val="475B13E7"/>
    <w:rsid w:val="479003E6"/>
    <w:rsid w:val="47947ED7"/>
    <w:rsid w:val="47DD7AD0"/>
    <w:rsid w:val="47E70FBB"/>
    <w:rsid w:val="481D611E"/>
    <w:rsid w:val="48221986"/>
    <w:rsid w:val="48813B83"/>
    <w:rsid w:val="48B545A9"/>
    <w:rsid w:val="48D11064"/>
    <w:rsid w:val="48D34790"/>
    <w:rsid w:val="493D3689"/>
    <w:rsid w:val="494C6C0E"/>
    <w:rsid w:val="4955379A"/>
    <w:rsid w:val="498A148C"/>
    <w:rsid w:val="498C348F"/>
    <w:rsid w:val="49DA3B9B"/>
    <w:rsid w:val="49DD2C12"/>
    <w:rsid w:val="49FA5FEB"/>
    <w:rsid w:val="4A5573E4"/>
    <w:rsid w:val="4A62606A"/>
    <w:rsid w:val="4B380D6F"/>
    <w:rsid w:val="4B3D3EEE"/>
    <w:rsid w:val="4B4E3416"/>
    <w:rsid w:val="4BBC29D4"/>
    <w:rsid w:val="4BBD76FF"/>
    <w:rsid w:val="4BDB0732"/>
    <w:rsid w:val="4BFC3BE0"/>
    <w:rsid w:val="4C4222CE"/>
    <w:rsid w:val="4C560DCF"/>
    <w:rsid w:val="4C723258"/>
    <w:rsid w:val="4C87254C"/>
    <w:rsid w:val="4D0F1621"/>
    <w:rsid w:val="4D24354A"/>
    <w:rsid w:val="4D416DCE"/>
    <w:rsid w:val="4D4E6D7A"/>
    <w:rsid w:val="4D663FDA"/>
    <w:rsid w:val="4D716070"/>
    <w:rsid w:val="4D9A1FBF"/>
    <w:rsid w:val="4DCE1F8B"/>
    <w:rsid w:val="4DF94F37"/>
    <w:rsid w:val="4E437F61"/>
    <w:rsid w:val="4EA15C4E"/>
    <w:rsid w:val="4EA34EA3"/>
    <w:rsid w:val="4F2D0C2D"/>
    <w:rsid w:val="4F411EB6"/>
    <w:rsid w:val="4F4928CD"/>
    <w:rsid w:val="4F582EF7"/>
    <w:rsid w:val="4F5C339F"/>
    <w:rsid w:val="4F7C4EB4"/>
    <w:rsid w:val="4FBA24A4"/>
    <w:rsid w:val="50221035"/>
    <w:rsid w:val="50983373"/>
    <w:rsid w:val="50AB5953"/>
    <w:rsid w:val="50B85E77"/>
    <w:rsid w:val="50D60C20"/>
    <w:rsid w:val="50F0487A"/>
    <w:rsid w:val="51183927"/>
    <w:rsid w:val="5135755A"/>
    <w:rsid w:val="51574F11"/>
    <w:rsid w:val="517B73AD"/>
    <w:rsid w:val="518A5306"/>
    <w:rsid w:val="518B3C20"/>
    <w:rsid w:val="51983548"/>
    <w:rsid w:val="51AB3D3B"/>
    <w:rsid w:val="51B103B9"/>
    <w:rsid w:val="51DA0BDC"/>
    <w:rsid w:val="5205302F"/>
    <w:rsid w:val="52534816"/>
    <w:rsid w:val="52634928"/>
    <w:rsid w:val="52656647"/>
    <w:rsid w:val="53277999"/>
    <w:rsid w:val="53332C9A"/>
    <w:rsid w:val="53502440"/>
    <w:rsid w:val="53A35FB7"/>
    <w:rsid w:val="53F103E9"/>
    <w:rsid w:val="54016C23"/>
    <w:rsid w:val="542D7D22"/>
    <w:rsid w:val="54416B9F"/>
    <w:rsid w:val="5472334E"/>
    <w:rsid w:val="54C3162C"/>
    <w:rsid w:val="5533356F"/>
    <w:rsid w:val="554747DA"/>
    <w:rsid w:val="5563097D"/>
    <w:rsid w:val="559B1C90"/>
    <w:rsid w:val="55D21BD3"/>
    <w:rsid w:val="55E06161"/>
    <w:rsid w:val="564725B8"/>
    <w:rsid w:val="565E3AAB"/>
    <w:rsid w:val="56652099"/>
    <w:rsid w:val="56680EAC"/>
    <w:rsid w:val="56843C9F"/>
    <w:rsid w:val="5699669D"/>
    <w:rsid w:val="569B3338"/>
    <w:rsid w:val="56F5281F"/>
    <w:rsid w:val="5765355C"/>
    <w:rsid w:val="57690BD0"/>
    <w:rsid w:val="57C15E41"/>
    <w:rsid w:val="57CA1153"/>
    <w:rsid w:val="57F56770"/>
    <w:rsid w:val="580118E9"/>
    <w:rsid w:val="58032F19"/>
    <w:rsid w:val="584A495B"/>
    <w:rsid w:val="58947716"/>
    <w:rsid w:val="58B66C06"/>
    <w:rsid w:val="58C779E0"/>
    <w:rsid w:val="5909228A"/>
    <w:rsid w:val="595A73EE"/>
    <w:rsid w:val="59B477E8"/>
    <w:rsid w:val="59BB55F9"/>
    <w:rsid w:val="5A2F2D66"/>
    <w:rsid w:val="5A4B256F"/>
    <w:rsid w:val="5A6E1669"/>
    <w:rsid w:val="5A86004F"/>
    <w:rsid w:val="5A8938AD"/>
    <w:rsid w:val="5AAE69DB"/>
    <w:rsid w:val="5AEC436F"/>
    <w:rsid w:val="5AEC6CFC"/>
    <w:rsid w:val="5AF0582F"/>
    <w:rsid w:val="5AF947C9"/>
    <w:rsid w:val="5B1B6AA6"/>
    <w:rsid w:val="5B224E28"/>
    <w:rsid w:val="5B242EC8"/>
    <w:rsid w:val="5B97755C"/>
    <w:rsid w:val="5BAF7B56"/>
    <w:rsid w:val="5BF44F90"/>
    <w:rsid w:val="5BF611E3"/>
    <w:rsid w:val="5C0E6052"/>
    <w:rsid w:val="5C313AEE"/>
    <w:rsid w:val="5C86208C"/>
    <w:rsid w:val="5CAC7619"/>
    <w:rsid w:val="5CF05CF5"/>
    <w:rsid w:val="5D131446"/>
    <w:rsid w:val="5D1A254C"/>
    <w:rsid w:val="5D5C4B9B"/>
    <w:rsid w:val="5D7C18C6"/>
    <w:rsid w:val="5DA14CA4"/>
    <w:rsid w:val="5DA779D9"/>
    <w:rsid w:val="5DAE6D91"/>
    <w:rsid w:val="5DC84953"/>
    <w:rsid w:val="5E304F96"/>
    <w:rsid w:val="5E434081"/>
    <w:rsid w:val="5E905EE0"/>
    <w:rsid w:val="5EAC56AE"/>
    <w:rsid w:val="5EC16571"/>
    <w:rsid w:val="5EDA0A8B"/>
    <w:rsid w:val="5EF74F80"/>
    <w:rsid w:val="5F0537AA"/>
    <w:rsid w:val="5F20072A"/>
    <w:rsid w:val="5F2117F1"/>
    <w:rsid w:val="5F2B3E04"/>
    <w:rsid w:val="5F760F40"/>
    <w:rsid w:val="5F97010C"/>
    <w:rsid w:val="5FBE1B3D"/>
    <w:rsid w:val="5FFF5CB2"/>
    <w:rsid w:val="600A6F80"/>
    <w:rsid w:val="602A4375"/>
    <w:rsid w:val="604A33D1"/>
    <w:rsid w:val="60673F83"/>
    <w:rsid w:val="606E1F64"/>
    <w:rsid w:val="60C253E7"/>
    <w:rsid w:val="60CE0B25"/>
    <w:rsid w:val="60DA1E30"/>
    <w:rsid w:val="60F832A4"/>
    <w:rsid w:val="61555832"/>
    <w:rsid w:val="61A30FEA"/>
    <w:rsid w:val="61C34DC7"/>
    <w:rsid w:val="61D5316E"/>
    <w:rsid w:val="61D67CE4"/>
    <w:rsid w:val="61DB6D9C"/>
    <w:rsid w:val="6200643D"/>
    <w:rsid w:val="623C3CCB"/>
    <w:rsid w:val="6277131B"/>
    <w:rsid w:val="62894736"/>
    <w:rsid w:val="62EC69C1"/>
    <w:rsid w:val="63520F1A"/>
    <w:rsid w:val="636E0BBA"/>
    <w:rsid w:val="637E7EF7"/>
    <w:rsid w:val="63964B41"/>
    <w:rsid w:val="63CD195A"/>
    <w:rsid w:val="640D3BB9"/>
    <w:rsid w:val="646C600B"/>
    <w:rsid w:val="647C3D75"/>
    <w:rsid w:val="64CC5E52"/>
    <w:rsid w:val="64E31465"/>
    <w:rsid w:val="658D4138"/>
    <w:rsid w:val="659B6065"/>
    <w:rsid w:val="65B768E4"/>
    <w:rsid w:val="65EE2A50"/>
    <w:rsid w:val="65F03AE7"/>
    <w:rsid w:val="66043DF1"/>
    <w:rsid w:val="661D46CA"/>
    <w:rsid w:val="663414BA"/>
    <w:rsid w:val="66887A48"/>
    <w:rsid w:val="66A92A7C"/>
    <w:rsid w:val="66B94E0C"/>
    <w:rsid w:val="66BB1AFB"/>
    <w:rsid w:val="66CF7EED"/>
    <w:rsid w:val="66E83943"/>
    <w:rsid w:val="673D6A15"/>
    <w:rsid w:val="67770FE2"/>
    <w:rsid w:val="67960780"/>
    <w:rsid w:val="67B7270A"/>
    <w:rsid w:val="682E5386"/>
    <w:rsid w:val="68324D3D"/>
    <w:rsid w:val="6884575B"/>
    <w:rsid w:val="688D47A2"/>
    <w:rsid w:val="68CD623B"/>
    <w:rsid w:val="68DB72BC"/>
    <w:rsid w:val="68EC7B77"/>
    <w:rsid w:val="68FD36D6"/>
    <w:rsid w:val="69562DE6"/>
    <w:rsid w:val="695E105C"/>
    <w:rsid w:val="696012B6"/>
    <w:rsid w:val="69642093"/>
    <w:rsid w:val="69793E59"/>
    <w:rsid w:val="69C02956"/>
    <w:rsid w:val="69CA6B08"/>
    <w:rsid w:val="69CB2F30"/>
    <w:rsid w:val="6A042666"/>
    <w:rsid w:val="6A39608B"/>
    <w:rsid w:val="6A407686"/>
    <w:rsid w:val="6A9736F0"/>
    <w:rsid w:val="6AC36824"/>
    <w:rsid w:val="6B680BAF"/>
    <w:rsid w:val="6B6C68F1"/>
    <w:rsid w:val="6B7E21AF"/>
    <w:rsid w:val="6BA17D14"/>
    <w:rsid w:val="6BCC55E2"/>
    <w:rsid w:val="6BCD76B0"/>
    <w:rsid w:val="6C0905E4"/>
    <w:rsid w:val="6CBC5656"/>
    <w:rsid w:val="6CF3436B"/>
    <w:rsid w:val="6D056FFD"/>
    <w:rsid w:val="6D5B6316"/>
    <w:rsid w:val="6D9143ED"/>
    <w:rsid w:val="6DC74A88"/>
    <w:rsid w:val="6DDC0B81"/>
    <w:rsid w:val="6DDE7CAA"/>
    <w:rsid w:val="6DDF784E"/>
    <w:rsid w:val="6DEA2117"/>
    <w:rsid w:val="6E0C6BA8"/>
    <w:rsid w:val="6E245261"/>
    <w:rsid w:val="6E3623A1"/>
    <w:rsid w:val="6E4C538F"/>
    <w:rsid w:val="6E8C1058"/>
    <w:rsid w:val="6EAC5256"/>
    <w:rsid w:val="6EBF142E"/>
    <w:rsid w:val="6EEE3AC1"/>
    <w:rsid w:val="6EEF30FE"/>
    <w:rsid w:val="6F067CA7"/>
    <w:rsid w:val="6F651FD5"/>
    <w:rsid w:val="6FB97C2B"/>
    <w:rsid w:val="6FE70C3C"/>
    <w:rsid w:val="6FF505A3"/>
    <w:rsid w:val="7017553E"/>
    <w:rsid w:val="707419E2"/>
    <w:rsid w:val="70841633"/>
    <w:rsid w:val="70A47AAD"/>
    <w:rsid w:val="70E51DA8"/>
    <w:rsid w:val="71551BD5"/>
    <w:rsid w:val="71946BA2"/>
    <w:rsid w:val="71A843FB"/>
    <w:rsid w:val="71CB17A6"/>
    <w:rsid w:val="71EA1770"/>
    <w:rsid w:val="72071B4D"/>
    <w:rsid w:val="721E450C"/>
    <w:rsid w:val="723075FA"/>
    <w:rsid w:val="7256750B"/>
    <w:rsid w:val="725F0F5E"/>
    <w:rsid w:val="7262278F"/>
    <w:rsid w:val="73397A01"/>
    <w:rsid w:val="736A253A"/>
    <w:rsid w:val="737348B6"/>
    <w:rsid w:val="73926005"/>
    <w:rsid w:val="73A429A0"/>
    <w:rsid w:val="73AC2D59"/>
    <w:rsid w:val="73EC5B91"/>
    <w:rsid w:val="74035426"/>
    <w:rsid w:val="74600273"/>
    <w:rsid w:val="74CF1255"/>
    <w:rsid w:val="74E7523A"/>
    <w:rsid w:val="74FB54A4"/>
    <w:rsid w:val="751653F3"/>
    <w:rsid w:val="751A7B05"/>
    <w:rsid w:val="751E1C96"/>
    <w:rsid w:val="75220020"/>
    <w:rsid w:val="75611CC1"/>
    <w:rsid w:val="75DD731F"/>
    <w:rsid w:val="7650620D"/>
    <w:rsid w:val="76642085"/>
    <w:rsid w:val="768014A2"/>
    <w:rsid w:val="7682438C"/>
    <w:rsid w:val="768857E3"/>
    <w:rsid w:val="768D4B1F"/>
    <w:rsid w:val="77060EB2"/>
    <w:rsid w:val="77120FDD"/>
    <w:rsid w:val="775C2950"/>
    <w:rsid w:val="77610F13"/>
    <w:rsid w:val="778C37F8"/>
    <w:rsid w:val="779B3AB0"/>
    <w:rsid w:val="779D7E32"/>
    <w:rsid w:val="779E1053"/>
    <w:rsid w:val="77B12E34"/>
    <w:rsid w:val="77C54382"/>
    <w:rsid w:val="77D46CD2"/>
    <w:rsid w:val="77D83D50"/>
    <w:rsid w:val="781D0CC1"/>
    <w:rsid w:val="7823193A"/>
    <w:rsid w:val="782E61C7"/>
    <w:rsid w:val="78322C70"/>
    <w:rsid w:val="783B33E4"/>
    <w:rsid w:val="7844130F"/>
    <w:rsid w:val="78534B66"/>
    <w:rsid w:val="787B0197"/>
    <w:rsid w:val="787E1A12"/>
    <w:rsid w:val="788259A6"/>
    <w:rsid w:val="78963871"/>
    <w:rsid w:val="78BE10F6"/>
    <w:rsid w:val="78CA4C57"/>
    <w:rsid w:val="78D43D28"/>
    <w:rsid w:val="791D628E"/>
    <w:rsid w:val="794672BF"/>
    <w:rsid w:val="796A5940"/>
    <w:rsid w:val="79E263BE"/>
    <w:rsid w:val="7A3C1D44"/>
    <w:rsid w:val="7A857AB7"/>
    <w:rsid w:val="7A994DE9"/>
    <w:rsid w:val="7ACB4CB6"/>
    <w:rsid w:val="7ADD5362"/>
    <w:rsid w:val="7B036E36"/>
    <w:rsid w:val="7B1A0118"/>
    <w:rsid w:val="7B31160A"/>
    <w:rsid w:val="7B62386D"/>
    <w:rsid w:val="7B6E2211"/>
    <w:rsid w:val="7B8F0935"/>
    <w:rsid w:val="7BD227A0"/>
    <w:rsid w:val="7C2B4FE0"/>
    <w:rsid w:val="7C85264B"/>
    <w:rsid w:val="7C893D26"/>
    <w:rsid w:val="7C906AD0"/>
    <w:rsid w:val="7C9932BE"/>
    <w:rsid w:val="7CA86C56"/>
    <w:rsid w:val="7CBD69D7"/>
    <w:rsid w:val="7CC76395"/>
    <w:rsid w:val="7D1961AD"/>
    <w:rsid w:val="7D697BD3"/>
    <w:rsid w:val="7D7A30EF"/>
    <w:rsid w:val="7D9D293A"/>
    <w:rsid w:val="7E0B01EB"/>
    <w:rsid w:val="7E1E7F1F"/>
    <w:rsid w:val="7E321E60"/>
    <w:rsid w:val="7E493D4F"/>
    <w:rsid w:val="7E5356EF"/>
    <w:rsid w:val="7E881DA7"/>
    <w:rsid w:val="7E9B65C0"/>
    <w:rsid w:val="7EF74710"/>
    <w:rsid w:val="7F3D58B7"/>
    <w:rsid w:val="7F405C73"/>
    <w:rsid w:val="7F6B3277"/>
    <w:rsid w:val="7F7C3A97"/>
    <w:rsid w:val="7F8A1F41"/>
    <w:rsid w:val="7FB63BAF"/>
    <w:rsid w:val="7FFA67D9"/>
    <w:rsid w:val="7FFB9374"/>
    <w:rsid w:val="DFBBF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2"/>
    <w:basedOn w:val="1"/>
    <w:next w:val="1"/>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2">
    <w:name w:val="heading 4"/>
    <w:basedOn w:val="1"/>
    <w:next w:val="1"/>
    <w:qFormat/>
    <w:uiPriority w:val="0"/>
    <w:pPr>
      <w:keepNext/>
      <w:keepLines/>
      <w:spacing w:line="374" w:lineRule="auto"/>
      <w:outlineLvl w:val="3"/>
    </w:pPr>
    <w:rPr>
      <w:rFonts w:ascii="Arial" w:hAnsi="Arial"/>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4">
    <w:name w:val="annotation text"/>
    <w:basedOn w:val="1"/>
    <w:next w:val="1"/>
    <w:qFormat/>
    <w:uiPriority w:val="0"/>
    <w:pPr>
      <w:adjustRightInd w:val="0"/>
      <w:spacing w:line="360" w:lineRule="atLeast"/>
      <w:jc w:val="left"/>
      <w:textAlignment w:val="baseline"/>
    </w:pPr>
    <w:rPr>
      <w:kern w:val="0"/>
    </w:rPr>
  </w:style>
  <w:style w:type="paragraph" w:styleId="5">
    <w:name w:val="Body Text 3"/>
    <w:basedOn w:val="1"/>
    <w:next w:val="1"/>
    <w:qFormat/>
    <w:uiPriority w:val="99"/>
    <w:pPr>
      <w:spacing w:afterLines="50"/>
      <w:jc w:val="center"/>
    </w:pPr>
    <w:rPr>
      <w:rFonts w:ascii="Times New Roman" w:hAnsi="Times New Roman" w:eastAsia="楷体_GB2312" w:cs="Times New Roman"/>
      <w:kern w:val="2"/>
      <w:sz w:val="24"/>
      <w:szCs w:val="16"/>
      <w:lang w:val="en-US" w:eastAsia="zh-CN" w:bidi="ar-SA"/>
    </w:rPr>
  </w:style>
  <w:style w:type="paragraph" w:styleId="6">
    <w:name w:val="Body Text"/>
    <w:basedOn w:val="1"/>
    <w:semiHidden/>
    <w:qFormat/>
    <w:uiPriority w:val="0"/>
    <w:rPr>
      <w:rFonts w:ascii="Arial" w:hAnsi="Arial" w:eastAsia="Arial" w:cs="Arial"/>
      <w:sz w:val="21"/>
      <w:szCs w:val="21"/>
      <w:lang w:val="en-US" w:eastAsia="en-US" w:bidi="ar-SA"/>
    </w:rPr>
  </w:style>
  <w:style w:type="paragraph" w:styleId="7">
    <w:name w:val="toc 3"/>
    <w:basedOn w:val="1"/>
    <w:next w:val="1"/>
    <w:qFormat/>
    <w:uiPriority w:val="0"/>
    <w:pPr>
      <w:ind w:left="840" w:leftChars="400"/>
    </w:pPr>
  </w:style>
  <w:style w:type="paragraph" w:styleId="8">
    <w:name w:val="Plain Text"/>
    <w:basedOn w:val="1"/>
    <w:qFormat/>
    <w:uiPriority w:val="0"/>
    <w:rPr>
      <w:rFonts w:ascii="宋体" w:hAnsi="Courier New"/>
      <w:szCs w:val="20"/>
    </w:rPr>
  </w:style>
  <w:style w:type="paragraph" w:styleId="9">
    <w:name w:val="footer"/>
    <w:basedOn w:val="1"/>
    <w:qFormat/>
    <w:uiPriority w:val="0"/>
    <w:pPr>
      <w:tabs>
        <w:tab w:val="center" w:pos="4153"/>
        <w:tab w:val="right" w:pos="8306"/>
      </w:tabs>
      <w:snapToGrid w:val="0"/>
      <w:jc w:val="left"/>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Body Text 2"/>
    <w:basedOn w:val="1"/>
    <w:next w:val="6"/>
    <w:qFormat/>
    <w:uiPriority w:val="0"/>
    <w:pPr>
      <w:spacing w:line="500" w:lineRule="exact"/>
    </w:pPr>
    <w:rPr>
      <w:rFonts w:ascii="宋体" w:hAnsi="Times New Roman" w:eastAsia="宋体" w:cs="Times New Roman"/>
      <w:sz w:val="24"/>
    </w:rPr>
  </w:style>
  <w:style w:type="paragraph" w:styleId="13">
    <w:name w:val="Normal (Web)"/>
    <w:basedOn w:val="1"/>
    <w:qFormat/>
    <w:uiPriority w:val="0"/>
    <w:pPr>
      <w:spacing w:beforeAutospacing="1" w:afterAutospacing="1"/>
      <w:jc w:val="left"/>
    </w:pPr>
    <w:rPr>
      <w:rFonts w:cs="Times New Roman"/>
      <w:kern w:val="0"/>
      <w:sz w:val="24"/>
    </w:rPr>
  </w:style>
  <w:style w:type="paragraph" w:styleId="14">
    <w:name w:val="Body Text First Indent"/>
    <w:basedOn w:val="6"/>
    <w:qFormat/>
    <w:uiPriority w:val="99"/>
    <w:pPr>
      <w:spacing w:line="240" w:lineRule="auto"/>
      <w:ind w:firstLine="420" w:firstLineChars="100"/>
    </w:pPr>
    <w:rPr>
      <w:rFonts w:ascii="Times New Roman" w:cs="Times New Roman"/>
      <w:sz w:val="20"/>
      <w:szCs w:val="20"/>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paragraph" w:customStyle="1" w:styleId="19">
    <w:name w:val="UserStyle_43"/>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character" w:customStyle="1" w:styleId="20">
    <w:name w:val="NormalCharacter"/>
    <w:qFormat/>
    <w:uiPriority w:val="99"/>
  </w:style>
  <w:style w:type="paragraph" w:customStyle="1" w:styleId="21">
    <w:name w:val="Table Text"/>
    <w:basedOn w:val="1"/>
    <w:semiHidden/>
    <w:qFormat/>
    <w:uiPriority w:val="0"/>
    <w:rPr>
      <w:rFonts w:ascii="Arial" w:hAnsi="Arial" w:eastAsia="Arial" w:cs="Arial"/>
      <w:sz w:val="21"/>
      <w:szCs w:val="21"/>
      <w:lang w:val="en-US" w:eastAsia="en-US" w:bidi="ar-SA"/>
    </w:rPr>
  </w:style>
  <w:style w:type="paragraph" w:customStyle="1" w:styleId="22">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
    <w:name w:val="正文缩进1"/>
    <w:basedOn w:val="1"/>
    <w:qFormat/>
    <w:uiPriority w:val="0"/>
    <w:pPr>
      <w:widowControl/>
      <w:ind w:firstLine="420"/>
      <w:jc w:val="left"/>
    </w:pPr>
    <w:rPr>
      <w:kern w:val="0"/>
    </w:rPr>
  </w:style>
  <w:style w:type="paragraph" w:customStyle="1" w:styleId="24">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25">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6">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7">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8">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9">
    <w:name w:val="Heading2"/>
    <w:basedOn w:val="1"/>
    <w:next w:val="1"/>
    <w:qFormat/>
    <w:uiPriority w:val="99"/>
    <w:pPr>
      <w:jc w:val="left"/>
    </w:pPr>
    <w:rPr>
      <w:kern w:val="0"/>
    </w:rPr>
  </w:style>
  <w:style w:type="paragraph" w:customStyle="1" w:styleId="30">
    <w:name w:val="AnnotationText"/>
    <w:basedOn w:val="1"/>
    <w:qFormat/>
    <w:uiPriority w:val="99"/>
    <w:pPr>
      <w:spacing w:line="360" w:lineRule="atLeast"/>
      <w:jc w:val="left"/>
    </w:pPr>
    <w:rPr>
      <w:kern w:val="0"/>
    </w:rPr>
  </w:style>
  <w:style w:type="paragraph" w:customStyle="1" w:styleId="31">
    <w:name w:val="UserStyle_44"/>
    <w:basedOn w:val="32"/>
    <w:qFormat/>
    <w:uiPriority w:val="99"/>
    <w:rPr>
      <w:sz w:val="24"/>
      <w:szCs w:val="24"/>
    </w:rPr>
  </w:style>
  <w:style w:type="paragraph" w:customStyle="1" w:styleId="32">
    <w:name w:val="UserStyle_33"/>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33">
    <w:name w:val="UserStyle_4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34">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35">
    <w:name w:val="文一"/>
    <w:basedOn w:val="1"/>
    <w:qFormat/>
    <w:uiPriority w:val="0"/>
    <w:pPr>
      <w:topLinePunct/>
      <w:adjustRightInd w:val="0"/>
      <w:snapToGrid w:val="0"/>
      <w:ind w:firstLine="200" w:firstLineChars="200"/>
    </w:pPr>
    <w:rPr>
      <w:rFonts w:ascii="Calibri" w:hAnsi="Calibri"/>
      <w:snapToGrid w:val="0"/>
      <w:spacing w:val="4"/>
      <w:kern w:val="0"/>
      <w:szCs w:val="22"/>
    </w:rPr>
  </w:style>
  <w:style w:type="paragraph" w:customStyle="1" w:styleId="36">
    <w:name w:val="BodyText"/>
    <w:basedOn w:val="1"/>
    <w:next w:val="37"/>
    <w:qFormat/>
    <w:uiPriority w:val="99"/>
    <w:pPr>
      <w:spacing w:after="120"/>
    </w:pPr>
  </w:style>
  <w:style w:type="paragraph" w:customStyle="1" w:styleId="37">
    <w:name w:val="BodyText2"/>
    <w:basedOn w:val="1"/>
    <w:qFormat/>
    <w:uiPriority w:val="99"/>
    <w:pPr>
      <w:spacing w:line="500" w:lineRule="exact"/>
    </w:pPr>
  </w:style>
  <w:style w:type="paragraph" w:customStyle="1" w:styleId="38">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9">
    <w:name w:val="正文缩进 New"/>
    <w:basedOn w:val="40"/>
    <w:qFormat/>
    <w:uiPriority w:val="0"/>
    <w:pPr>
      <w:widowControl/>
      <w:ind w:firstLine="420"/>
      <w:jc w:val="left"/>
    </w:pPr>
    <w:rPr>
      <w:kern w:val="0"/>
      <w:sz w:val="20"/>
    </w:rPr>
  </w:style>
  <w:style w:type="paragraph" w:customStyle="1" w:styleId="40">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41">
    <w:name w:val="正文文本 New"/>
    <w:basedOn w:val="1"/>
    <w:qFormat/>
    <w:uiPriority w:val="0"/>
    <w:pPr>
      <w:spacing w:after="120" w:line="360" w:lineRule="auto"/>
    </w:pPr>
    <w:rPr>
      <w:rFonts w:ascii="宋体" w:hAnsi="Times New Roman" w:eastAsia="宋体" w:cs="Times New Roman"/>
      <w:sz w:val="24"/>
      <w:szCs w:val="20"/>
    </w:rPr>
  </w:style>
  <w:style w:type="character" w:customStyle="1" w:styleId="42">
    <w:name w:val="正文文本 (2) + 间距 0 pt3"/>
    <w:basedOn w:val="17"/>
    <w:qFormat/>
    <w:uiPriority w:val="0"/>
    <w:rPr>
      <w:rFonts w:ascii="MingLiU" w:hAnsi="Times New Roman" w:eastAsia="MingLiU" w:cs="MingLiU"/>
      <w:spacing w:val="0"/>
      <w:sz w:val="22"/>
      <w:szCs w:val="22"/>
      <w:u w:val="none"/>
    </w:rPr>
  </w:style>
  <w:style w:type="table" w:customStyle="1" w:styleId="43">
    <w:name w:val="Table Normal"/>
    <w:semiHidden/>
    <w:unhideWhenUsed/>
    <w:qFormat/>
    <w:uiPriority w:val="0"/>
    <w:tblPr>
      <w:tblCellMar>
        <w:top w:w="0" w:type="dxa"/>
        <w:left w:w="0" w:type="dxa"/>
        <w:bottom w:w="0" w:type="dxa"/>
        <w:right w:w="0" w:type="dxa"/>
      </w:tblCellMar>
    </w:tblPr>
  </w:style>
  <w:style w:type="character" w:customStyle="1" w:styleId="44">
    <w:name w:val="font31"/>
    <w:basedOn w:val="17"/>
    <w:qFormat/>
    <w:uiPriority w:val="0"/>
    <w:rPr>
      <w:rFonts w:ascii="宋体" w:hAnsi="宋体" w:eastAsia="宋体" w:cs="宋体"/>
      <w:color w:val="000000"/>
      <w:sz w:val="18"/>
      <w:szCs w:val="18"/>
      <w:u w:val="none"/>
    </w:rPr>
  </w:style>
  <w:style w:type="character" w:customStyle="1" w:styleId="45">
    <w:name w:val="font41"/>
    <w:basedOn w:val="17"/>
    <w:qFormat/>
    <w:uiPriority w:val="0"/>
    <w:rPr>
      <w:rFonts w:ascii="宋体" w:hAnsi="宋体" w:eastAsia="宋体" w:cs="宋体"/>
      <w:color w:val="000000"/>
      <w:sz w:val="16"/>
      <w:szCs w:val="16"/>
      <w:u w:val="none"/>
    </w:rPr>
  </w:style>
  <w:style w:type="paragraph" w:customStyle="1" w:styleId="46">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7">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character" w:customStyle="1" w:styleId="48">
    <w:name w:val="font21"/>
    <w:basedOn w:val="17"/>
    <w:qFormat/>
    <w:uiPriority w:val="0"/>
    <w:rPr>
      <w:rFonts w:ascii="Arial" w:hAnsi="Arial" w:cs="Arial"/>
      <w:color w:val="000000"/>
      <w:sz w:val="24"/>
      <w:szCs w:val="24"/>
      <w:u w:val="none"/>
    </w:rPr>
  </w:style>
  <w:style w:type="paragraph" w:customStyle="1" w:styleId="49">
    <w:name w:val="标题 2 New New"/>
    <w:basedOn w:val="50"/>
    <w:next w:val="50"/>
    <w:qFormat/>
    <w:uiPriority w:val="0"/>
    <w:pPr>
      <w:autoSpaceDE w:val="0"/>
      <w:autoSpaceDN w:val="0"/>
      <w:adjustRightInd w:val="0"/>
      <w:jc w:val="left"/>
      <w:outlineLvl w:val="1"/>
    </w:pPr>
    <w:rPr>
      <w:kern w:val="0"/>
      <w:sz w:val="24"/>
    </w:rPr>
  </w:style>
  <w:style w:type="paragraph" w:customStyle="1" w:styleId="50">
    <w:name w:val="正文 New"/>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7.png"/><Relationship Id="rId52" Type="http://schemas.openxmlformats.org/officeDocument/2006/relationships/image" Target="media/image16.png"/><Relationship Id="rId51" Type="http://schemas.openxmlformats.org/officeDocument/2006/relationships/image" Target="media/image15.png"/><Relationship Id="rId50" Type="http://schemas.openxmlformats.org/officeDocument/2006/relationships/image" Target="media/image14.png"/><Relationship Id="rId5" Type="http://schemas.openxmlformats.org/officeDocument/2006/relationships/footer" Target="footer1.xml"/><Relationship Id="rId49" Type="http://schemas.openxmlformats.org/officeDocument/2006/relationships/image" Target="media/image13.wmf"/><Relationship Id="rId48" Type="http://schemas.openxmlformats.org/officeDocument/2006/relationships/oleObject" Target="embeddings/oleObject12.bin"/><Relationship Id="rId47" Type="http://schemas.openxmlformats.org/officeDocument/2006/relationships/image" Target="media/image12.wmf"/><Relationship Id="rId46" Type="http://schemas.openxmlformats.org/officeDocument/2006/relationships/oleObject" Target="embeddings/oleObject11.bin"/><Relationship Id="rId45" Type="http://schemas.openxmlformats.org/officeDocument/2006/relationships/image" Target="media/image11.wmf"/><Relationship Id="rId44" Type="http://schemas.openxmlformats.org/officeDocument/2006/relationships/oleObject" Target="embeddings/oleObject10.bin"/><Relationship Id="rId43" Type="http://schemas.openxmlformats.org/officeDocument/2006/relationships/image" Target="media/image10.wmf"/><Relationship Id="rId42" Type="http://schemas.openxmlformats.org/officeDocument/2006/relationships/oleObject" Target="embeddings/oleObject9.bin"/><Relationship Id="rId41" Type="http://schemas.openxmlformats.org/officeDocument/2006/relationships/image" Target="media/image9.wmf"/><Relationship Id="rId40" Type="http://schemas.openxmlformats.org/officeDocument/2006/relationships/oleObject" Target="embeddings/oleObject8.bin"/><Relationship Id="rId4" Type="http://schemas.openxmlformats.org/officeDocument/2006/relationships/header" Target="header2.xml"/><Relationship Id="rId39" Type="http://schemas.openxmlformats.org/officeDocument/2006/relationships/image" Target="media/image8.wmf"/><Relationship Id="rId38" Type="http://schemas.openxmlformats.org/officeDocument/2006/relationships/oleObject" Target="embeddings/oleObject7.bin"/><Relationship Id="rId37" Type="http://schemas.openxmlformats.org/officeDocument/2006/relationships/image" Target="media/image7.wmf"/><Relationship Id="rId36" Type="http://schemas.openxmlformats.org/officeDocument/2006/relationships/oleObject" Target="embeddings/oleObject6.bin"/><Relationship Id="rId35" Type="http://schemas.openxmlformats.org/officeDocument/2006/relationships/image" Target="media/image6.wmf"/><Relationship Id="rId34" Type="http://schemas.openxmlformats.org/officeDocument/2006/relationships/oleObject" Target="embeddings/oleObject5.bin"/><Relationship Id="rId33" Type="http://schemas.openxmlformats.org/officeDocument/2006/relationships/image" Target="media/image5.wmf"/><Relationship Id="rId32" Type="http://schemas.openxmlformats.org/officeDocument/2006/relationships/oleObject" Target="embeddings/oleObject4.bin"/><Relationship Id="rId31" Type="http://schemas.openxmlformats.org/officeDocument/2006/relationships/image" Target="media/image4.wmf"/><Relationship Id="rId30" Type="http://schemas.openxmlformats.org/officeDocument/2006/relationships/oleObject" Target="embeddings/oleObject3.bin"/><Relationship Id="rId3" Type="http://schemas.openxmlformats.org/officeDocument/2006/relationships/header" Target="header1.xml"/><Relationship Id="rId29" Type="http://schemas.openxmlformats.org/officeDocument/2006/relationships/image" Target="media/image3.wmf"/><Relationship Id="rId28" Type="http://schemas.openxmlformats.org/officeDocument/2006/relationships/oleObject" Target="embeddings/oleObject2.bin"/><Relationship Id="rId27" Type="http://schemas.openxmlformats.org/officeDocument/2006/relationships/image" Target="media/image2.wmf"/><Relationship Id="rId26" Type="http://schemas.openxmlformats.org/officeDocument/2006/relationships/oleObject" Target="embeddings/oleObject1.bin"/><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e18c017b-a957-4c61-9a8e-513ed8f9f432</errorID>
      <errorWord>；/</errorWord>
      <group>L1_Punc</group>
      <groupName>标点问题</groupName>
      <ability>L2_Punc</ability>
      <abilityName>标点符号检查</abilityName>
      <candidateList>
        <item>；</item>
      </candidateList>
      <explain/>
      <paraID>2EC81498</paraID>
      <start>9</start>
      <end>11</end>
      <status>ignored</status>
      <modifiedWord/>
      <trackRevisions>false</trackRevisions>
    </reviewItem>
    <reviewItem>
      <errorID>b3bff2bb-8e2e-4158-a2f4-55925836b66f</errorID>
      <errorWord>期间</errorWord>
      <group>L1_Word</group>
      <groupName>字词问题</groupName>
      <ability>L2_Typo</ability>
      <abilityName>字词错误</abilityName>
      <candidateList>
        <item>其间</item>
      </candidateList>
      <explain>〈名〉方位词。❶那中间；其中：厕身～｜～定有缘故。❷指某一段时间：离开学校已经好几年了，这～，他在科学研究上取得了显著成绩。</explain>
      <paraID>3878A22D</paraID>
      <start>31</start>
      <end>33</end>
      <status>ignored</status>
      <modifiedWord/>
      <trackRevisions>false</trackRevisions>
    </reviewItem>
    <reviewItem>
      <errorID>08c638b8-c9ef-406d-b6f6-4686bb2bb918</errorID>
      <errorWord>/）</errorWord>
      <group>L1_Punc</group>
      <groupName>标点问题</groupName>
      <ability>L2_Punc</ability>
      <abilityName>标点符号检查</abilityName>
      <candidateList>
        <item>）</item>
      </candidateList>
      <explain/>
      <paraID>63FE5DF7</paraID>
      <start>76</start>
      <end>78</end>
      <status>ignored</status>
      <modifiedWord/>
      <trackRevisions>false</trackRevisions>
    </reviewItem>
    <reviewItem>
      <errorID>daaec2b8-0e57-45da-b7e1-71f8efb29466</errorID>
      <errorWord>：</errorWord>
      <group>L1_Punc</group>
      <groupName>标点问题</groupName>
      <ability>L2_Punc</ability>
      <abilityName>标点符号检查</abilityName>
      <candidateList>
        <item/>
      </candidateList>
      <explain>标题文本后不使用标点符号。</explain>
      <paraID>18B705A5</paraID>
      <start>23</start>
      <end>23</end>
      <status>modified</status>
      <modifiedWord/>
      <trackRevisions>false</trackRevisions>
    </reviewItem>
    <reviewItem>
      <errorID>e5700014-e17e-4a1b-b8f4-71676c84042b</errorID>
      <errorWord>武江</errorWord>
      <group>L1_Word</group>
      <groupName>字词问题</groupName>
      <ability>L2_Typo</ability>
      <abilityName>字词错误</abilityName>
      <candidateList>
        <item>曲江</item>
      </candidateList>
      <explain/>
      <paraID>16DA74DC</paraID>
      <start>11</start>
      <end>13</end>
      <status>ignored</status>
      <modifiedWord/>
      <trackRevisions>false</trackRevisions>
    </reviewItem>
    <reviewItem>
      <errorID>235d9425-8646-47ba-ab79-0be9de481daa</errorID>
      <errorWord>保证缴</errorWord>
      <group>L1_Word</group>
      <groupName>字词问题</groupName>
      <ability>L2_Typo</ability>
      <abilityName>字词错误</abilityName>
      <candidateList>
        <item>保证金</item>
      </candidateList>
      <explain/>
      <paraID> 605F92E</paraID>
      <start>2</start>
      <end>5</end>
      <status>ignored</status>
      <modifiedWord/>
      <trackRevisions>false</trackRevisions>
    </reviewItem>
    <reviewItem>
      <errorID>e29b9c96-2161-47b9-b5f6-725900ad76bf</errorID>
      <errorWord>期间</errorWord>
      <group>L1_Word</group>
      <groupName>字词问题</groupName>
      <ability>L2_Typo</ability>
      <abilityName>字词错误</abilityName>
      <candidateList>
        <item>其间</item>
      </candidateList>
      <explain>〈名〉方位词。❶那中间；其中：厕身～｜～定有缘故。❷指某一段时间：离开学校已经好几年了，这～，他在科学研究上取得了显著成绩。</explain>
      <paraID>6DB8926D</paraID>
      <start>31</start>
      <end>33</end>
      <status>ignored</status>
      <modifiedWord/>
      <trackRevisions>false</trackRevisions>
    </reviewItem>
    <reviewItem>
      <errorID>758559c3-721f-4008-9e5a-44845850f241</errorID>
      <errorWord>（</errorWord>
      <group>L1_Punc</group>
      <groupName>标点问题</groupName>
      <ability>L2_Punc</ability>
      <abilityName>标点符号检查</abilityName>
      <candidateList/>
      <explain>同一形式括号套用。</explain>
      <paraID>4E5161CE</paraID>
      <start>71</start>
      <end>72</end>
      <status>ignored</status>
      <modifiedWord/>
      <trackRevisions>false</trackRevisions>
    </reviewItem>
    <reviewItem>
      <errorID>7595a4c4-85bf-44ec-8570-40326b1c6e4d</errorID>
      <errorWord>）</errorWord>
      <group>L1_Punc</group>
      <groupName>标点问题</groupName>
      <ability>L2_Punc</ability>
      <abilityName>标点符号检查</abilityName>
      <candidateList/>
      <explain>同一形式括号套用。</explain>
      <paraID>4E5161CE</paraID>
      <start>87</start>
      <end>88</end>
      <status>ignored</status>
      <modifiedWord/>
      <trackRevisions>false</trackRevisions>
    </reviewItem>
    <reviewItem>
      <errorID>622d3be4-6342-4b4a-9723-cd05fdc81e1d</errorID>
      <errorWord>。</errorWord>
      <group>L1_Punc</group>
      <groupName>标点问题</groupName>
      <ability>L2_Punc</ability>
      <abilityName>标点符号检查</abilityName>
      <candidateList>
        <item/>
      </candidateList>
      <explain>标题文本后不使用标点符号。</explain>
      <paraID>62DDC4BD</paraID>
      <start>45</start>
      <end>46</end>
      <status>ignored</status>
      <modifiedWord/>
      <trackRevisions>false</trackRevisions>
    </reviewItem>
    <reviewItem>
      <errorID>34524b97-9f30-4549-b119-09fbf81e73a7</errorID>
      <errorWord>。</errorWord>
      <group>L1_Punc</group>
      <groupName>标点问题</groupName>
      <ability>L2_Punc</ability>
      <abilityName>标点符号检查</abilityName>
      <candidateList>
        <item/>
      </candidateList>
      <explain>标题文本后不使用标点符号。</explain>
      <paraID>516973E6</paraID>
      <start>37</start>
      <end>38</end>
      <status>ignored</status>
      <modifiedWord/>
      <trackRevisions>false</trackRevisions>
    </reviewItem>
    <reviewItem>
      <errorID>9c04ea02-74f7-4530-ae51-656f497409db</errorID>
      <errorWord>：</errorWord>
      <group>L1_Punc</group>
      <groupName>标点问题</groupName>
      <ability>L2_Punc</ability>
      <abilityName>标点符号检查</abilityName>
      <candidateList>
        <item/>
      </candidateList>
      <explain>标题文本后不使用标点符号。</explain>
      <paraID>2A9A92EE</paraID>
      <start>24</start>
      <end>24</end>
      <status>modified</status>
      <modifiedWord/>
      <trackRevisions>false</trackRevisions>
    </reviewItem>
    <reviewItem>
      <errorID>ea9c11f3-69d7-4191-98a2-65a4358c3ef3</errorID>
      <errorWord>：</errorWord>
      <group>L1_Punc</group>
      <groupName>标点问题</groupName>
      <ability>L2_Punc</ability>
      <abilityName>标点符号检查</abilityName>
      <candidateList>
        <item/>
      </candidateList>
      <explain>标题文本后不使用标点符号。</explain>
      <paraID>424B44C2</paraID>
      <start>21</start>
      <end>21</end>
      <status>modified</status>
      <modifiedWord/>
      <trackRevisions>false</trackRevisions>
    </reviewItem>
    <reviewItem>
      <errorID>4b038aa1-20e4-4ad2-8c2f-9343b9ea6462</errorID>
      <errorWord>。</errorWord>
      <group>L1_Punc</group>
      <groupName>标点问题</groupName>
      <ability>L2_Punc</ability>
      <abilityName>标点符号检查</abilityName>
      <candidateList>
        <item/>
      </candidateList>
      <explain>标题文本后不使用标点符号。</explain>
      <paraID>68100800</paraID>
      <start>47</start>
      <end>48</end>
      <status>ignored</status>
      <modifiedWord/>
      <trackRevisions>false</trackRevisions>
    </reviewItem>
    <reviewItem>
      <errorID>f7db7878-2182-4b0a-ad85-88ebadee43e7</errorID>
      <errorWord>。</errorWord>
      <group>L1_Punc</group>
      <groupName>标点问题</groupName>
      <ability>L2_Punc</ability>
      <abilityName>标点符号检查</abilityName>
      <candidateList>
        <item/>
      </candidateList>
      <explain>标题文本后不使用标点符号。</explain>
      <paraID>6CD49F27</paraID>
      <start>18</start>
      <end>19</end>
      <status>ignored</status>
      <modifiedWord/>
      <trackRevisions>false</trackRevisions>
    </reviewItem>
    <reviewItem>
      <errorID>fe8f0837-95b2-4afb-ad57-b6c51173a50a</errorID>
      <errorWord>。</errorWord>
      <group>L1_Punc</group>
      <groupName>标点问题</groupName>
      <ability>L2_Punc</ability>
      <abilityName>标点符号检查</abilityName>
      <candidateList>
        <item/>
      </candidateList>
      <explain>标题文本后不使用标点符号。</explain>
      <paraID>1C43D901</paraID>
      <start>33</start>
      <end>34</end>
      <status>ignored</status>
      <modifiedWord/>
      <trackRevisions>false</trackRevisions>
    </reviewItem>
    <reviewItem>
      <errorID>dfacfc66-e154-4881-8d90-52360e390cc8</errorID>
      <errorWord>证</errorWord>
      <group>L1_Word</group>
      <groupName>字词问题</groupName>
      <ability>L2_Typo</ability>
      <abilityName>字词错误</abilityName>
      <candidateList>
        <item>证金</item>
      </candidateList>
      <explain/>
      <paraID> 3A48095</paraID>
      <start>6</start>
      <end>7</end>
      <status>ignored</status>
      <modifiedWord/>
      <trackRevisions>false</trackRevisions>
    </reviewItem>
    <reviewItem>
      <errorID>5fc6d047-9975-4d3c-92bd-ede3d2e3318d</errorID>
      <errorWord>(</errorWord>
      <group>L1_Format</group>
      <groupName>格式问题</groupName>
      <ability>L2_HalfPunc</ability>
      <abilityName>全半角检查</abilityName>
      <candidateList>
        <item>（</item>
      </candidateList>
      <explain>文本全半角错误。</explain>
      <paraID>5D6016BA</paraID>
      <start>54</start>
      <end>55</end>
      <status>modified</status>
      <modifiedWord>（</modifiedWord>
      <trackRevisions>false</trackRevisions>
    </reviewItem>
    <reviewItem>
      <errorID>47591997-b91e-4942-8a85-8753f9ed34b1</errorID>
      <errorWord>)</errorWord>
      <group>L1_Format</group>
      <groupName>格式问题</groupName>
      <ability>L2_HalfPunc</ability>
      <abilityName>全半角检查</abilityName>
      <candidateList>
        <item>）</item>
      </candidateList>
      <explain>文本全半角错误。</explain>
      <paraID>5D6016BA</paraID>
      <start>61</start>
      <end>62</end>
      <status>modified</status>
      <modifiedWord>）</modifiedWord>
      <trackRevisions>false</trackRevisions>
    </reviewItem>
    <reviewItem>
      <errorID>db3bfd91-406b-4526-b001-29218581027e</errorID>
      <errorWord>：</errorWord>
      <group>L1_Punc</group>
      <groupName>标点问题</groupName>
      <ability>L2_Punc</ability>
      <abilityName>标点符号检查</abilityName>
      <candidateList>
        <item/>
      </candidateList>
      <explain>标题文本后不使用标点符号。</explain>
      <paraID>49C59ED1</paraID>
      <start>10</start>
      <end>10</end>
      <status>modified</status>
      <modifiedWord/>
      <trackRevisions>false</trackRevisions>
    </reviewItem>
    <reviewItem>
      <errorID>5624c8be-9bd4-4bd9-a822-daa92cfceb70</errorID>
      <errorWord>证</errorWord>
      <group>L1_Word</group>
      <groupName>字词问题</groupName>
      <ability>L2_Typo</ability>
      <abilityName>字词错误</abilityName>
      <candidateList>
        <item>证金</item>
      </candidateList>
      <explain/>
      <paraID>7686F22A</paraID>
      <start>33</start>
      <end>34</end>
      <status>ignored</status>
      <modifiedWord/>
      <trackRevisions>false</trackRevisions>
    </reviewItem>
    <reviewItem>
      <errorID>26c2314d-3ca1-46b3-b8d3-c67579b14de1</errorID>
      <errorWord>证</errorWord>
      <group>L1_Word</group>
      <groupName>字词问题</groupName>
      <ability>L2_Typo</ability>
      <abilityName>字词错误</abilityName>
      <candidateList>
        <item>证金</item>
      </candidateList>
      <explain/>
      <paraID>7686F22A</paraID>
      <start>98</start>
      <end>99</end>
      <status>ignored</status>
      <modifiedWord/>
      <trackRevisions>false</trackRevisions>
    </reviewItem>
    <reviewItem>
      <errorID>756d1a8f-6215-49b7-85a0-9fafc7e6a52d</errorID>
      <errorWord>证</errorWord>
      <group>L1_Word</group>
      <groupName>字词问题</groupName>
      <ability>L2_Typo</ability>
      <abilityName>字词错误</abilityName>
      <candidateList>
        <item>证金</item>
      </candidateList>
      <explain/>
      <paraID>360BD6F3</paraID>
      <start>51</start>
      <end>52</end>
      <status>ignored</status>
      <modifiedWord/>
      <trackRevisions>false</trackRevisions>
    </reviewItem>
    <reviewItem>
      <errorID>7e48a583-a6c7-4331-b4bc-a76eb5865faa</errorID>
      <errorWord>。</errorWord>
      <group>L1_Punc</group>
      <groupName>标点问题</groupName>
      <ability>L2_Punc</ability>
      <abilityName>标点符号检查</abilityName>
      <candidateList>
        <item/>
      </candidateList>
      <explain>标题文本后不使用标点符号。</explain>
      <paraID>3FB871EB</paraID>
      <start>43</start>
      <end>44</end>
      <status>ignored</status>
      <modifiedWord/>
      <trackRevisions>false</trackRevisions>
    </reviewItem>
    <reviewItem>
      <errorID>eecdab2f-a325-472a-8122-6958913fb588</errorID>
      <errorWord>局</errorWord>
      <group>L1_Word</group>
      <groupName>字词问题</groupName>
      <ability>L2_Typo</ability>
      <abilityName>字词错误</abilityName>
      <candidateList>
        <item>局部</item>
      </candidateList>
      <explain/>
      <paraID>5EACCF59</paraID>
      <start>109</start>
      <end>111</end>
      <status>modified</status>
      <modifiedWord>局部</modifiedWord>
      <trackRevisions>false</trackRevisions>
    </reviewItem>
    <reviewItem>
      <errorID>6a1a25ed-d544-4de5-9c51-016874c6ef85</errorID>
      <errorWord>。</errorWord>
      <group>L1_Punc</group>
      <groupName>标点问题</groupName>
      <ability>L2_Punc</ability>
      <abilityName>标点符号检查</abilityName>
      <candidateList>
        <item/>
      </candidateList>
      <explain>标题文本后不使用标点符号。</explain>
      <paraID>6353F864</paraID>
      <start>33</start>
      <end>34</end>
      <status>ignored</status>
      <modifiedWord/>
      <trackRevisions>false</trackRevisions>
    </reviewItem>
    <reviewItem>
      <errorID>205ea1a5-6ab9-4340-a4d8-79604f7894fe</errorID>
      <errorWord>证</errorWord>
      <group>L1_Word</group>
      <groupName>字词问题</groupName>
      <ability>L2_Typo</ability>
      <abilityName>字词错误</abilityName>
      <candidateList>
        <item>证金</item>
      </candidateList>
      <explain/>
      <paraID>61591BB1</paraID>
      <start>84</start>
      <end>85</end>
      <status>ignored</status>
      <modifiedWord/>
      <trackRevisions>false</trackRevisions>
    </reviewItem>
    <reviewItem>
      <errorID>f40243ab-5d2e-47f4-8e0b-f361834c5882</errorID>
      <errorWord>须</errorWord>
      <group>L1_Word</group>
      <groupName>字词问题</groupName>
      <ability>L2_Typo</ability>
      <abilityName>字词错误</abilityName>
      <candidateList>
        <item>需</item>
      </candidateList>
      <explain>存在发音相同字词的误用。</explain>
      <paraID> 9BA1594</paraID>
      <start>55</start>
      <end>56</end>
      <status>ignored</status>
      <modifiedWord/>
      <trackRevisions>false</trackRevisions>
    </reviewItem>
    <reviewItem>
      <errorID>6e6c511c-81d0-4fe9-b0f8-b56153c8c058</errorID>
      <errorWord>)</errorWord>
      <group>L1_Format</group>
      <groupName>格式问题</groupName>
      <ability>L2_HalfPunc</ability>
      <abilityName>全半角检查</abilityName>
      <candidateList>
        <item>）</item>
      </candidateList>
      <explain>文本全半角错误。</explain>
      <paraID>2D73ABD9</paraID>
      <start>37</start>
      <end>38</end>
      <status>modified</status>
      <modifiedWord>）</modifiedWord>
      <trackRevisions>false</trackRevisions>
    </reviewItem>
    <reviewItem>
      <errorID>fea73885-a695-4d89-83cb-ac2f06703816</errorID>
      <errorWord>)</errorWord>
      <group>L1_Format</group>
      <groupName>格式问题</groupName>
      <ability>L2_HalfPunc</ability>
      <abilityName>全半角检查</abilityName>
      <candidateList>
        <item>）</item>
      </candidateList>
      <explain>文本全半角错误。</explain>
      <paraID>189CF45F</paraID>
      <start>31</start>
      <end>32</end>
      <status>modified</status>
      <modifiedWord>）</modifiedWord>
      <trackRevisions>false</trackRevisions>
    </reviewItem>
    <reviewItem>
      <errorID>f0c2b086-4102-4de8-badd-b169b009f700</errorID>
      <errorWord>)</errorWord>
      <group>L1_Format</group>
      <groupName>格式问题</groupName>
      <ability>L2_HalfPunc</ability>
      <abilityName>全半角检查</abilityName>
      <candidateList>
        <item>）</item>
      </candidateList>
      <explain>文本全半角错误。</explain>
      <paraID>1DC761F0</paraID>
      <start>35</start>
      <end>36</end>
      <status>modified</status>
      <modifiedWord>）</modifiedWord>
      <trackRevisions>false</trackRevisions>
    </reviewItem>
    <reviewItem>
      <errorID>912c86c1-7766-4cc5-925f-7550d39ba463</errorID>
      <errorWord>)</errorWord>
      <group>L1_Format</group>
      <groupName>格式问题</groupName>
      <ability>L2_HalfPunc</ability>
      <abilityName>全半角检查</abilityName>
      <candidateList>
        <item>）</item>
      </candidateList>
      <explain>文本全半角错误。</explain>
      <paraID>42023BFC</paraID>
      <start>33</start>
      <end>34</end>
      <status>modified</status>
      <modifiedWord>）</modifiedWord>
      <trackRevisions>false</trackRevisions>
    </reviewItem>
    <reviewItem>
      <errorID>798d42e6-c0cd-4f2c-bde0-e6db5686b38c</errorID>
      <errorWord>)</errorWord>
      <group>L1_Format</group>
      <groupName>格式问题</groupName>
      <ability>L2_HalfPunc</ability>
      <abilityName>全半角检查</abilityName>
      <candidateList>
        <item>）</item>
      </candidateList>
      <explain>文本全半角错误。</explain>
      <paraID> 55CC5EA</paraID>
      <start>33</start>
      <end>34</end>
      <status>modified</status>
      <modifiedWord>）</modifiedWord>
      <trackRevisions>false</trackRevisions>
    </reviewItem>
    <reviewItem>
      <errorID>d6e2f42d-0c4f-4a98-9a3d-801c7493d781</errorID>
      <errorWord>)</errorWord>
      <group>L1_Format</group>
      <groupName>格式问题</groupName>
      <ability>L2_HalfPunc</ability>
      <abilityName>全半角检查</abilityName>
      <candidateList>
        <item>）</item>
      </candidateList>
      <explain>文本全半角错误。</explain>
      <paraID> 1CEDFA8</paraID>
      <start>33</start>
      <end>34</end>
      <status>modified</status>
      <modifiedWord>）</modifiedWord>
      <trackRevisions>false</trackRevisions>
    </reviewItem>
    <reviewItem>
      <errorID>9a2c41eb-c7c7-4bb0-96b6-fcd49ee7619f</errorID>
      <errorWord>)</errorWord>
      <group>L1_Format</group>
      <groupName>格式问题</groupName>
      <ability>L2_HalfPunc</ability>
      <abilityName>全半角检查</abilityName>
      <candidateList>
        <item>）</item>
      </candidateList>
      <explain>文本全半角错误。</explain>
      <paraID>7D878B53</paraID>
      <start>30</start>
      <end>31</end>
      <status>modified</status>
      <modifiedWord>）</modifiedWord>
      <trackRevisions>false</trackRevisions>
    </reviewItem>
    <reviewItem>
      <errorID>b3b9fca3-ab9d-49e7-b8c9-62dfae5dcebf</errorID>
      <errorWord>)</errorWord>
      <group>L1_Format</group>
      <groupName>格式问题</groupName>
      <ability>L2_HalfPunc</ability>
      <abilityName>全半角检查</abilityName>
      <candidateList>
        <item>）</item>
      </candidateList>
      <explain>文本全半角错误。</explain>
      <paraID>7DC0530C</paraID>
      <start>31</start>
      <end>32</end>
      <status>modified</status>
      <modifiedWord>）</modifiedWord>
      <trackRevisions>false</trackRevisions>
    </reviewItem>
    <reviewItem>
      <errorID>86eab450-5e28-41cf-b744-8c69017e98a5</errorID>
      <errorWord>)</errorWord>
      <group>L1_Format</group>
      <groupName>格式问题</groupName>
      <ability>L2_HalfPunc</ability>
      <abilityName>全半角检查</abilityName>
      <candidateList>
        <item>）</item>
      </candidateList>
      <explain>文本全半角错误。</explain>
      <paraID>3C039048</paraID>
      <start>34</start>
      <end>35</end>
      <status>modified</status>
      <modifiedWord>）</modifiedWord>
      <trackRevisions>false</trackRevisions>
    </reviewItem>
    <reviewItem>
      <errorID>7b6abc2e-369a-4462-84ed-825942c27b56</errorID>
      <errorWord>)</errorWord>
      <group>L1_Format</group>
      <groupName>格式问题</groupName>
      <ability>L2_HalfPunc</ability>
      <abilityName>全半角检查</abilityName>
      <candidateList>
        <item>）</item>
      </candidateList>
      <explain>文本全半角错误。</explain>
      <paraID> C8FA084</paraID>
      <start>36</start>
      <end>37</end>
      <status>modified</status>
      <modifiedWord>）</modifiedWord>
      <trackRevisions>false</trackRevisions>
    </reviewItem>
    <reviewItem>
      <errorID>bcf56373-fa31-4a34-974b-cefcb1a20e86</errorID>
      <errorWord>)</errorWord>
      <group>L1_Format</group>
      <groupName>格式问题</groupName>
      <ability>L2_HalfPunc</ability>
      <abilityName>全半角检查</abilityName>
      <candidateList>
        <item>）</item>
      </candidateList>
      <explain>文本全半角错误。</explain>
      <paraID>2F3A2551</paraID>
      <start>35</start>
      <end>36</end>
      <status>modified</status>
      <modifiedWord>）</modifiedWord>
      <trackRevisions>false</trackRevisions>
    </reviewItem>
    <reviewItem>
      <errorID>667367d6-35d1-4a31-9111-c6be00df1bc0</errorID>
      <errorWord>)</errorWord>
      <group>L1_Format</group>
      <groupName>格式问题</groupName>
      <ability>L2_HalfPunc</ability>
      <abilityName>全半角检查</abilityName>
      <candidateList>
        <item>）</item>
      </candidateList>
      <explain>文本全半角错误。</explain>
      <paraID>6C64AB07</paraID>
      <start>28</start>
      <end>29</end>
      <status>modified</status>
      <modifiedWord>）</modifiedWord>
      <trackRevisions>false</trackRevisions>
    </reviewItem>
    <reviewItem>
      <errorID>539c6a8c-64af-420e-a451-3d4e2da56352</errorID>
      <errorWord>)</errorWord>
      <group>L1_Format</group>
      <groupName>格式问题</groupName>
      <ability>L2_HalfPunc</ability>
      <abilityName>全半角检查</abilityName>
      <candidateList>
        <item>）</item>
      </candidateList>
      <explain>文本全半角错误。</explain>
      <paraID>3B9945AD</paraID>
      <start>28</start>
      <end>29</end>
      <status>modified</status>
      <modifiedWord>）</modifiedWord>
      <trackRevisions>false</trackRevisions>
    </reviewItem>
    <reviewItem>
      <errorID>2ab4622f-cbd7-4537-8ca7-4fdb3ec0cf6a</errorID>
      <errorWord>)</errorWord>
      <group>L1_Format</group>
      <groupName>格式问题</groupName>
      <ability>L2_HalfPunc</ability>
      <abilityName>全半角检查</abilityName>
      <candidateList>
        <item>）</item>
      </candidateList>
      <explain>文本全半角错误。</explain>
      <paraID>32283A8E</paraID>
      <start>25</start>
      <end>26</end>
      <status>modified</status>
      <modifiedWord>）</modifiedWord>
      <trackRevisions>false</trackRevisions>
    </reviewItem>
    <reviewItem>
      <errorID>4aaf99ef-e03e-4cf1-9970-1a3f6657164e</errorID>
      <errorWord>)</errorWord>
      <group>L1_Format</group>
      <groupName>格式问题</groupName>
      <ability>L2_HalfPunc</ability>
      <abilityName>全半角检查</abilityName>
      <candidateList>
        <item>）</item>
      </candidateList>
      <explain>文本全半角错误。</explain>
      <paraID>7758B726</paraID>
      <start>27</start>
      <end>28</end>
      <status>modified</status>
      <modifiedWord>）</modifiedWord>
      <trackRevisions>false</trackRevisions>
    </reviewItem>
    <reviewItem>
      <errorID>cc82b1e9-206f-4eea-9434-8cf8cbb4d668</errorID>
      <errorWord>)</errorWord>
      <group>L1_Format</group>
      <groupName>格式问题</groupName>
      <ability>L2_HalfPunc</ability>
      <abilityName>全半角检查</abilityName>
      <candidateList>
        <item>）</item>
      </candidateList>
      <explain>文本全半角错误。</explain>
      <paraID>63601AC6</paraID>
      <start>29</start>
      <end>30</end>
      <status>modified</status>
      <modifiedWord>）</modifiedWord>
      <trackRevisions>false</trackRevisions>
    </reviewItem>
    <reviewItem>
      <errorID>051ef60c-15c9-41ae-8629-40cf71665e1f</errorID>
      <errorWord>)</errorWord>
      <group>L1_Format</group>
      <groupName>格式问题</groupName>
      <ability>L2_HalfPunc</ability>
      <abilityName>全半角检查</abilityName>
      <candidateList>
        <item>）</item>
      </candidateList>
      <explain>文本全半角错误。</explain>
      <paraID> 2D19DE8</paraID>
      <start>28</start>
      <end>29</end>
      <status>modified</status>
      <modifiedWord>）</modifiedWord>
      <trackRevisions>false</trackRevisions>
    </reviewItem>
    <reviewItem>
      <errorID>1f972bbb-a2bc-42e9-9ab9-cbd37f1496df</errorID>
      <errorWord>)</errorWord>
      <group>L1_Format</group>
      <groupName>格式问题</groupName>
      <ability>L2_HalfPunc</ability>
      <abilityName>全半角检查</abilityName>
      <candidateList>
        <item>）</item>
      </candidateList>
      <explain>文本全半角错误。</explain>
      <paraID>3057FD3B</paraID>
      <start>29</start>
      <end>30</end>
      <status>modified</status>
      <modifiedWord>）</modifiedWord>
      <trackRevisions>false</trackRevisions>
    </reviewItem>
    <reviewItem>
      <errorID>81f3afa9-2323-4738-b1f7-bc66f2d7e2aa</errorID>
      <errorWord>项</errorWord>
      <group>L1_Word</group>
      <groupName>字词问题</groupName>
      <ability>L2_Typo</ability>
      <abilityName>字词错误</abilityName>
      <candidateList>
        <item>项目</item>
      </candidateList>
      <explain>〈名〉事物分成的门类：服务～｜体育～｜建设～。</explain>
      <paraID>5A385005</paraID>
      <start>26</start>
      <end>27</end>
      <status>ignored</status>
      <modifiedWord/>
      <trackRevisions>false</trackRevisions>
    </reviewItem>
    <reviewItem>
      <errorID>ac525097-304f-4ea7-8576-0492b0229eb5</errorID>
      <errorWord>项</errorWord>
      <group>L1_Word</group>
      <groupName>字词问题</groupName>
      <ability>L2_Typo</ability>
      <abilityName>字词错误</abilityName>
      <candidateList>
        <item>项目</item>
      </candidateList>
      <explain>〈名〉事物分成的门类：服务～｜体育～｜建设～。</explain>
      <paraID>601B3659</paraID>
      <start>24</start>
      <end>25</end>
      <status>ignored</status>
      <modifiedWord/>
      <trackRevisions>false</trackRevisions>
    </reviewItem>
    <reviewItem>
      <errorID>f329fcb7-eb5a-414f-976e-bdf7092b7a5c</errorID>
      <errorWord>。</errorWord>
      <group>L1_Punc</group>
      <groupName>标点问题</groupName>
      <ability>L2_Punc</ability>
      <abilityName>标点符号检查</abilityName>
      <candidateList>
        <item/>
      </candidateList>
      <explain>标题文本后不使用标点符号。</explain>
      <paraID>4EBCEFAB</paraID>
      <start>42</start>
      <end>43</end>
      <status>ignored</status>
      <modifiedWord/>
      <trackRevisions>false</trackRevisions>
    </reviewItem>
    <reviewItem>
      <errorID>4c61618d-03c1-4608-930d-7702bdeab589</errorID>
      <errorWord>。</errorWord>
      <group>L1_Punc</group>
      <groupName>标点问题</groupName>
      <ability>L2_Punc</ability>
      <abilityName>标点符号检查</abilityName>
      <candidateList>
        <item/>
      </candidateList>
      <explain>标题文本后不使用标点符号。</explain>
      <paraID>6C621B7D</paraID>
      <start>38</start>
      <end>39</end>
      <status>ignored</status>
      <modifiedWord/>
      <trackRevisions>false</trackRevisions>
    </reviewItem>
    <reviewItem>
      <errorID>76f25aa7-e4e6-4837-90ef-3a8db6008ce0</errorID>
      <errorWord>。</errorWord>
      <group>L1_Punc</group>
      <groupName>标点问题</groupName>
      <ability>L2_Punc</ability>
      <abilityName>标点符号检查</abilityName>
      <candidateList>
        <item/>
      </candidateList>
      <explain>标题文本后不使用标点符号。</explain>
      <paraID>67A3C3AB</paraID>
      <start>31</start>
      <end>32</end>
      <status>ignored</status>
      <modifiedWord/>
      <trackRevisions>false</trackRevisions>
    </reviewItem>
    <reviewItem>
      <errorID>ac84da19-018d-4db0-b7e2-d0031d7e6475</errorID>
      <errorWord>。</errorWord>
      <group>L1_Punc</group>
      <groupName>标点问题</groupName>
      <ability>L2_Punc</ability>
      <abilityName>标点符号检查</abilityName>
      <candidateList>
        <item/>
      </candidateList>
      <explain>标题文本后不使用标点符号。</explain>
      <paraID>6704CF9C</paraID>
      <start>25</start>
      <end>26</end>
      <status>ignored</status>
      <modifiedWord/>
      <trackRevisions>false</trackRevisions>
    </reviewItem>
    <reviewItem>
      <errorID>d18cd58f-38a9-4f09-9dd9-efc65b24b101</errorID>
      <errorWord>。</errorWord>
      <group>L1_Punc</group>
      <groupName>标点问题</groupName>
      <ability>L2_Punc</ability>
      <abilityName>标点符号检查</abilityName>
      <candidateList>
        <item/>
      </candidateList>
      <explain>标题文本后不使用标点符号。</explain>
      <paraID>1F4F1CD3</paraID>
      <start>41</start>
      <end>42</end>
      <status>ignored</status>
      <modifiedWord/>
      <trackRevisions>false</trackRevisions>
    </reviewItem>
    <reviewItem>
      <errorID>f22a1cd9-76d1-401f-b756-2d0118c02600</errorID>
      <errorWord>。</errorWord>
      <group>L1_Punc</group>
      <groupName>标点问题</groupName>
      <ability>L2_Punc</ability>
      <abilityName>标点符号检查</abilityName>
      <candidateList>
        <item/>
      </candidateList>
      <explain>标题文本后不使用标点符号。</explain>
      <paraID>764FD7F4</paraID>
      <start>16</start>
      <end>17</end>
      <status>ignored</status>
      <modifiedWord/>
      <trackRevisions>false</trackRevisions>
    </reviewItem>
    <reviewItem>
      <errorID>8dad4bcc-9f88-4b88-a544-6c8dbd2d32da</errorID>
      <errorWord>。</errorWord>
      <group>L1_Punc</group>
      <groupName>标点问题</groupName>
      <ability>L2_Punc</ability>
      <abilityName>标点符号检查</abilityName>
      <candidateList>
        <item/>
      </candidateList>
      <explain>标题文本后不使用标点符号。</explain>
      <paraID>42E4CF21</paraID>
      <start>14</start>
      <end>15</end>
      <status>ignored</status>
      <modifiedWord/>
      <trackRevisions>false</trackRevisions>
    </reviewItem>
    <reviewItem>
      <errorID>4eda068b-8c79-41c6-b951-36d431ed1018</errorID>
      <errorWord>。</errorWord>
      <group>L1_Punc</group>
      <groupName>标点问题</groupName>
      <ability>L2_Punc</ability>
      <abilityName>标点符号检查</abilityName>
      <candidateList>
        <item/>
      </candidateList>
      <explain>标题文本后不使用标点符号。</explain>
      <paraID>5C283E57</paraID>
      <start>41</start>
      <end>42</end>
      <status>ignored</status>
      <modifiedWord/>
      <trackRevisions>false</trackRevisions>
    </reviewItem>
    <reviewItem>
      <errorID>efcdc893-a6da-4ca9-abc2-5bc06b1b5b8d</errorID>
      <errorWord>。</errorWord>
      <group>L1_Punc</group>
      <groupName>标点问题</groupName>
      <ability>L2_Punc</ability>
      <abilityName>标点符号检查</abilityName>
      <candidateList>
        <item/>
      </candidateList>
      <explain>标题文本后不使用标点符号。</explain>
      <paraID>48AA0856</paraID>
      <start>13</start>
      <end>14</end>
      <status>ignored</status>
      <modifiedWord/>
      <trackRevisions>false</trackRevisions>
    </reviewItem>
    <reviewItem>
      <errorID>344f58d3-9458-4051-9339-44394fe67f11</errorID>
      <errorWord>。</errorWord>
      <group>L1_Punc</group>
      <groupName>标点问题</groupName>
      <ability>L2_Punc</ability>
      <abilityName>标点符号检查</abilityName>
      <candidateList>
        <item/>
      </candidateList>
      <explain>标题文本后不使用标点符号。</explain>
      <paraID>30D577B8</paraID>
      <start>11</start>
      <end>12</end>
      <status>ignored</status>
      <modifiedWord/>
      <trackRevisions>false</trackRevisions>
    </reviewItem>
    <reviewItem>
      <errorID>9bdee4fa-f8b3-4a83-b7fd-eb951a0e5d7d</errorID>
      <errorWord>。</errorWord>
      <group>L1_Punc</group>
      <groupName>标点问题</groupName>
      <ability>L2_Punc</ability>
      <abilityName>标点符号检查</abilityName>
      <candidateList>
        <item/>
      </candidateList>
      <explain>标题文本后不使用标点符号。</explain>
      <paraID>30DED53E</paraID>
      <start>9</start>
      <end>10</end>
      <status>ignored</status>
      <modifiedWord/>
      <trackRevisions>false</trackRevisions>
    </reviewItem>
    <reviewItem>
      <errorID>be848a35-e597-4072-875d-353126425499</errorID>
      <errorWord>。</errorWord>
      <group>L1_Punc</group>
      <groupName>标点问题</groupName>
      <ability>L2_Punc</ability>
      <abilityName>标点符号检查</abilityName>
      <candidateList>
        <item/>
      </candidateList>
      <explain>标题文本后不使用标点符号。</explain>
      <paraID>43382B69</paraID>
      <start>14</start>
      <end>15</end>
      <status>ignored</status>
      <modifiedWord/>
      <trackRevisions>false</trackRevisions>
    </reviewItem>
    <reviewItem>
      <errorID>afba9244-48f6-43e7-8f0c-a22254368770</errorID>
      <errorWord>。</errorWord>
      <group>L1_Punc</group>
      <groupName>标点问题</groupName>
      <ability>L2_Punc</ability>
      <abilityName>标点符号检查</abilityName>
      <candidateList>
        <item/>
      </candidateList>
      <explain>标题文本后不使用标点符号。</explain>
      <paraID>53C4AAE9</paraID>
      <start>10</start>
      <end>11</end>
      <status>ignored</status>
      <modifiedWord/>
      <trackRevisions>false</trackRevisions>
    </reviewItem>
    <reviewItem>
      <errorID>f7642aaa-eb88-43c2-b630-9af881701ebd</errorID>
      <errorWord>。</errorWord>
      <group>L1_Punc</group>
      <groupName>标点问题</groupName>
      <ability>L2_Punc</ability>
      <abilityName>标点符号检查</abilityName>
      <candidateList>
        <item/>
      </candidateList>
      <explain>标题文本后不使用标点符号。</explain>
      <paraID>26D5A5C0</paraID>
      <start>11</start>
      <end>12</end>
      <status>ignored</status>
      <modifiedWord/>
      <trackRevisions>false</trackRevisions>
    </reviewItem>
    <reviewItem>
      <errorID>c6a24898-ae3c-4793-b35b-3f9aa9ff4172</errorID>
      <errorWord>。</errorWord>
      <group>L1_Punc</group>
      <groupName>标点问题</groupName>
      <ability>L2_Punc</ability>
      <abilityName>标点符号检查</abilityName>
      <candidateList>
        <item/>
      </candidateList>
      <explain>标题文本后不使用标点符号。</explain>
      <paraID> BB802AA</paraID>
      <start>18</start>
      <end>19</end>
      <status>ignored</status>
      <modifiedWord/>
      <trackRevisions>false</trackRevisions>
    </reviewItem>
    <reviewItem>
      <errorID>37522210-dbd5-4fdb-aa8c-258d0e647341</errorID>
      <errorWord>。</errorWord>
      <group>L1_Punc</group>
      <groupName>标点问题</groupName>
      <ability>L2_Punc</ability>
      <abilityName>标点符号检查</abilityName>
      <candidateList>
        <item/>
      </candidateList>
      <explain>标题文本后不使用标点符号。</explain>
      <paraID>168F78D8</paraID>
      <start>10</start>
      <end>11</end>
      <status>ignored</status>
      <modifiedWord/>
      <trackRevisions>false</trackRevisions>
    </reviewItem>
    <reviewItem>
      <errorID>ea91c537-3938-4af4-98bc-e4d3c22dec8c</errorID>
      <errorWord>。</errorWord>
      <group>L1_Punc</group>
      <groupName>标点问题</groupName>
      <ability>L2_Punc</ability>
      <abilityName>标点符号检查</abilityName>
      <candidateList>
        <item/>
      </candidateList>
      <explain>标题文本后不使用标点符号。</explain>
      <paraID>3F059E4D</paraID>
      <start>9</start>
      <end>10</end>
      <status>ignored</status>
      <modifiedWord/>
      <trackRevisions>false</trackRevisions>
    </reviewItem>
    <reviewItem>
      <errorID>83ddab26-57f0-4d68-a322-2bc8f3a560c1</errorID>
      <errorWord>。</errorWord>
      <group>L1_Punc</group>
      <groupName>标点问题</groupName>
      <ability>L2_Punc</ability>
      <abilityName>标点符号检查</abilityName>
      <candidateList>
        <item/>
      </candidateList>
      <explain>标题文本后不使用标点符号。</explain>
      <paraID>1923E4A7</paraID>
      <start>19</start>
      <end>20</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609315-d83e-400d-9245-f92602415704}">
  <ds:schemaRefs/>
</ds:datastoreItem>
</file>

<file path=docProps/app.xml><?xml version="1.0" encoding="utf-8"?>
<Properties xmlns="http://schemas.openxmlformats.org/officeDocument/2006/extended-properties" xmlns:vt="http://schemas.openxmlformats.org/officeDocument/2006/docPropsVTypes">
  <Template>Normal.dotm</Template>
  <Pages>84</Pages>
  <Words>6442</Words>
  <Characters>6985</Characters>
  <Lines>0</Lines>
  <Paragraphs>0</Paragraphs>
  <TotalTime>114</TotalTime>
  <ScaleCrop>false</ScaleCrop>
  <LinksUpToDate>false</LinksUpToDate>
  <CharactersWithSpaces>7366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2024-09-28T12:36:00Z</dcterms:created>
  <dc:creator>Administrator</dc:creator>
  <cp:lastModifiedBy>Chuy</cp:lastModifiedBy>
  <cp:lastPrinted>2025-12-19T07:54:05Z</cp:lastPrinted>
  <dcterms:modified xsi:type="dcterms:W3CDTF">2025-12-19T07:54:37Z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267C792D4E5140BEBA40346F804C14E8_13</vt:lpwstr>
  </property>
  <property fmtid="{D5CDD505-2E9C-101B-9397-08002B2CF9AE}" pid="4" name="KSOTemplateDocerSaveRecord">
    <vt:lpwstr>eyJoZGlkIjoiYzY5ZWI4MWQ1NGE5ZjFjNGJlNGMwODgyY2ZlZjNjZTAiLCJ1c2VySWQiOiIzMTQ1Mjc5MzUifQ==</vt:lpwstr>
  </property>
</Properties>
</file>