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2A538">
      <w:pPr>
        <w:tabs>
          <w:tab w:val="left" w:pos="900"/>
          <w:tab w:val="left" w:pos="1080"/>
        </w:tabs>
        <w:jc w:val="center"/>
        <w:rPr>
          <w:rFonts w:ascii="黑体" w:hAnsi="Times New Roman" w:eastAsia="黑体" w:cs="Times New Roman"/>
          <w:sz w:val="44"/>
          <w:szCs w:val="44"/>
        </w:rPr>
      </w:pPr>
      <w:r>
        <w:rPr>
          <w:rFonts w:hint="eastAsia" w:ascii="黑体" w:hAnsi="Times New Roman" w:eastAsia="黑体" w:cs="Times New Roman"/>
          <w:sz w:val="44"/>
          <w:szCs w:val="44"/>
        </w:rPr>
        <w:t>编 制 说 明</w:t>
      </w:r>
    </w:p>
    <w:p w14:paraId="25FDCABD">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一、</w:t>
      </w:r>
      <w:r>
        <w:rPr>
          <w:rFonts w:hint="eastAsia" w:ascii="宋体" w:hAnsi="宋体" w:eastAsia="宋体" w:cs="宋体"/>
          <w:b/>
          <w:bCs/>
          <w:color w:val="auto"/>
          <w:sz w:val="28"/>
          <w:szCs w:val="28"/>
          <w:highlight w:val="none"/>
        </w:rPr>
        <w:t>工程概况</w:t>
      </w:r>
    </w:p>
    <w:p w14:paraId="11AAC5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jc w:val="left"/>
        <w:textAlignment w:val="auto"/>
        <w:rPr>
          <w:rFonts w:hint="eastAsia" w:ascii="宋体" w:hAnsi="宋体" w:eastAsia="宋体" w:cs="宋体"/>
          <w:bCs/>
          <w:color w:val="auto"/>
          <w:kern w:val="2"/>
          <w:sz w:val="28"/>
          <w:szCs w:val="28"/>
          <w:highlight w:val="none"/>
          <w:lang w:val="en-US" w:eastAsia="zh-CN" w:bidi="ar-SA"/>
        </w:rPr>
      </w:pPr>
      <w:r>
        <w:rPr>
          <w:rFonts w:hint="eastAsia" w:ascii="宋体" w:hAnsi="宋体" w:eastAsia="宋体" w:cs="宋体"/>
          <w:bCs/>
          <w:color w:val="auto"/>
          <w:kern w:val="2"/>
          <w:sz w:val="28"/>
          <w:szCs w:val="28"/>
          <w:highlight w:val="none"/>
          <w:lang w:val="en-US" w:eastAsia="zh-CN" w:bidi="ar-SA"/>
        </w:rPr>
        <w:t>1、建设单位：南雄市全安镇人民政府；</w:t>
      </w:r>
    </w:p>
    <w:p w14:paraId="3170C1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jc w:val="left"/>
        <w:textAlignment w:val="auto"/>
        <w:rPr>
          <w:rFonts w:hint="default" w:ascii="宋体" w:hAnsi="宋体" w:eastAsia="宋体" w:cs="宋体"/>
          <w:bCs/>
          <w:color w:val="auto"/>
          <w:kern w:val="2"/>
          <w:sz w:val="28"/>
          <w:szCs w:val="28"/>
          <w:highlight w:val="none"/>
          <w:lang w:val="en-US" w:eastAsia="zh-CN" w:bidi="ar-SA"/>
        </w:rPr>
      </w:pPr>
      <w:r>
        <w:rPr>
          <w:rFonts w:hint="eastAsia" w:ascii="宋体" w:hAnsi="宋体" w:eastAsia="宋体" w:cs="宋体"/>
          <w:bCs/>
          <w:color w:val="auto"/>
          <w:kern w:val="2"/>
          <w:sz w:val="28"/>
          <w:szCs w:val="28"/>
          <w:highlight w:val="none"/>
          <w:lang w:val="en-US" w:eastAsia="zh-CN" w:bidi="ar-SA"/>
        </w:rPr>
        <w:t>2、工程建设地点：南雄市全安镇</w:t>
      </w:r>
    </w:p>
    <w:p w14:paraId="42A8FE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jc w:val="left"/>
        <w:textAlignment w:val="auto"/>
        <w:rPr>
          <w:rFonts w:hint="default" w:ascii="宋体" w:hAnsi="宋体" w:eastAsia="宋体" w:cs="宋体"/>
          <w:bCs/>
          <w:color w:val="auto"/>
          <w:kern w:val="2"/>
          <w:sz w:val="28"/>
          <w:szCs w:val="28"/>
          <w:highlight w:val="none"/>
          <w:lang w:val="en-US" w:eastAsia="zh-CN" w:bidi="ar-SA"/>
        </w:rPr>
      </w:pPr>
      <w:r>
        <w:rPr>
          <w:rFonts w:hint="eastAsia" w:ascii="宋体" w:hAnsi="宋体" w:eastAsia="宋体" w:cs="宋体"/>
          <w:bCs/>
          <w:color w:val="auto"/>
          <w:kern w:val="2"/>
          <w:sz w:val="28"/>
          <w:szCs w:val="28"/>
          <w:highlight w:val="none"/>
          <w:lang w:val="en-US" w:eastAsia="zh-CN" w:bidi="ar-SA"/>
        </w:rPr>
        <w:t>3、工程内容：主要建设内容为全安村、羊角村、杨沥村改造提升。全安村清表、水渠清淤、外墙及围墙粉刷、混凝土路面清理、沥青道路、混凝土路面修复、建设导视牌及艺术装置；羊角村场地清表、外墙及围墙粉刷、路面修复、排污整治、道路硬化、四小园砖墙、路牙石、围墙美化、广场铺装、树池坐凳、种植池、配置户外建设设施、建设导视牌及艺术装置；杨沥村场地清表、广场铺装、道路硬化、路牙石、沥青道路、木栈道、景墙、树池、配置户外建设设施、建设导视牌及艺术装置、垃圾收集点、地面装饰等。</w:t>
      </w:r>
    </w:p>
    <w:p w14:paraId="375BA959">
      <w:pPr>
        <w:spacing w:line="580" w:lineRule="exact"/>
        <w:ind w:right="69" w:rightChars="33" w:firstLine="562" w:firstLineChars="200"/>
        <w:outlineLvl w:val="0"/>
        <w:rPr>
          <w:rFonts w:hint="eastAsia" w:ascii="宋体" w:hAnsi="宋体" w:eastAsia="宋体" w:cs="宋体"/>
          <w:b/>
          <w:bCs/>
          <w:sz w:val="28"/>
          <w:szCs w:val="28"/>
        </w:rPr>
      </w:pPr>
      <w:r>
        <w:rPr>
          <w:rFonts w:hint="eastAsia" w:ascii="宋体" w:hAnsi="宋体" w:eastAsia="宋体" w:cs="宋体"/>
          <w:b/>
          <w:bCs/>
          <w:sz w:val="28"/>
          <w:szCs w:val="28"/>
        </w:rPr>
        <w:t>二、</w:t>
      </w:r>
      <w:r>
        <w:rPr>
          <w:rFonts w:hint="eastAsia" w:ascii="宋体" w:hAnsi="宋体" w:eastAsia="宋体" w:cs="宋体"/>
          <w:b/>
          <w:bCs/>
          <w:sz w:val="28"/>
          <w:szCs w:val="28"/>
          <w:lang w:val="en-US" w:eastAsia="zh-CN"/>
        </w:rPr>
        <w:t>编制</w:t>
      </w:r>
      <w:r>
        <w:rPr>
          <w:rFonts w:hint="eastAsia" w:ascii="宋体" w:hAnsi="宋体" w:eastAsia="宋体" w:cs="宋体"/>
          <w:b/>
          <w:bCs/>
          <w:sz w:val="28"/>
          <w:szCs w:val="28"/>
        </w:rPr>
        <w:t>依据</w:t>
      </w:r>
    </w:p>
    <w:p w14:paraId="06D27671">
      <w:pPr>
        <w:spacing w:line="580" w:lineRule="exact"/>
        <w:ind w:right="69" w:rightChars="33" w:firstLine="560" w:firstLineChars="200"/>
        <w:outlineLvl w:val="0"/>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rPr>
        <w:t>1、</w:t>
      </w:r>
      <w:r>
        <w:rPr>
          <w:rFonts w:hint="eastAsia" w:ascii="宋体" w:hAnsi="宋体" w:eastAsia="宋体" w:cs="宋体"/>
          <w:b w:val="0"/>
          <w:bCs w:val="0"/>
          <w:color w:val="auto"/>
          <w:sz w:val="28"/>
          <w:szCs w:val="28"/>
          <w:lang w:val="en-US" w:eastAsia="zh-CN"/>
        </w:rPr>
        <w:t>编制</w:t>
      </w:r>
      <w:r>
        <w:rPr>
          <w:rFonts w:hint="eastAsia" w:ascii="宋体" w:hAnsi="宋体" w:eastAsia="宋体" w:cs="宋体"/>
          <w:b w:val="0"/>
          <w:bCs w:val="0"/>
          <w:color w:val="auto"/>
          <w:sz w:val="28"/>
          <w:szCs w:val="28"/>
        </w:rPr>
        <w:t>资料：</w:t>
      </w:r>
    </w:p>
    <w:p w14:paraId="48ACF97C">
      <w:pPr>
        <w:spacing w:line="580" w:lineRule="exact"/>
        <w:ind w:right="69" w:rightChars="33" w:firstLine="560" w:firstLineChars="200"/>
        <w:outlineLvl w:val="0"/>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1.1、《南雄市“银杏染秋”乡村振兴示范带建设项目-南雄市全安镇典型村建设项目》施工设计图；</w:t>
      </w:r>
    </w:p>
    <w:p w14:paraId="5EE159AE">
      <w:pPr>
        <w:spacing w:line="580" w:lineRule="exact"/>
        <w:ind w:right="69" w:rightChars="33" w:firstLine="560" w:firstLineChars="200"/>
        <w:outlineLvl w:val="0"/>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1.2、送审预算编制报告、工程量清单及工程量计算书。</w:t>
      </w:r>
    </w:p>
    <w:p w14:paraId="0D14C6E9">
      <w:pPr>
        <w:spacing w:line="580" w:lineRule="exact"/>
        <w:ind w:right="69" w:rightChars="33" w:firstLine="560" w:firstLineChars="200"/>
        <w:outlineLvl w:val="0"/>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2、执行规范及定额：</w:t>
      </w:r>
    </w:p>
    <w:p w14:paraId="0BA6F2E0">
      <w:pPr>
        <w:spacing w:line="580" w:lineRule="exact"/>
        <w:ind w:left="559" w:leftChars="266" w:right="69" w:rightChars="33" w:firstLine="0" w:firstLineChars="0"/>
        <w:outlineLvl w:val="0"/>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2.1、《建设工程工程量清单计价规范》（GB50500-2024）；</w:t>
      </w:r>
      <w:r>
        <w:rPr>
          <w:rFonts w:hint="eastAsia" w:ascii="宋体" w:hAnsi="宋体" w:eastAsia="宋体" w:cs="宋体"/>
          <w:b w:val="0"/>
          <w:bCs w:val="0"/>
          <w:color w:val="auto"/>
          <w:sz w:val="28"/>
          <w:szCs w:val="28"/>
          <w:lang w:val="en-US" w:eastAsia="zh-CN"/>
        </w:rPr>
        <w:br w:type="textWrapping"/>
      </w:r>
      <w:r>
        <w:rPr>
          <w:rFonts w:hint="eastAsia" w:ascii="宋体" w:hAnsi="宋体" w:eastAsia="宋体" w:cs="宋体"/>
          <w:b w:val="0"/>
          <w:bCs w:val="0"/>
          <w:color w:val="auto"/>
          <w:sz w:val="28"/>
          <w:szCs w:val="28"/>
          <w:lang w:val="en-US" w:eastAsia="zh-CN"/>
        </w:rPr>
        <w:t>2.2、《房屋建筑与装饰工程工程量计算规范》（GB50854-2024）；</w:t>
      </w:r>
      <w:r>
        <w:rPr>
          <w:rFonts w:hint="eastAsia" w:ascii="宋体" w:hAnsi="宋体" w:eastAsia="宋体" w:cs="宋体"/>
          <w:b w:val="0"/>
          <w:bCs w:val="0"/>
          <w:color w:val="auto"/>
          <w:sz w:val="28"/>
          <w:szCs w:val="28"/>
          <w:lang w:val="en-US" w:eastAsia="zh-CN"/>
        </w:rPr>
        <w:br w:type="textWrapping"/>
      </w:r>
      <w:r>
        <w:rPr>
          <w:rFonts w:hint="eastAsia" w:ascii="宋体" w:hAnsi="宋体" w:eastAsia="宋体" w:cs="宋体"/>
          <w:b w:val="0"/>
          <w:bCs w:val="0"/>
          <w:color w:val="auto"/>
          <w:sz w:val="28"/>
          <w:szCs w:val="28"/>
          <w:lang w:val="en-US" w:eastAsia="zh-CN"/>
        </w:rPr>
        <w:t>2.3、《通用安装工程工程量计算规范》（GB50856-2024）；</w:t>
      </w:r>
      <w:r>
        <w:rPr>
          <w:rFonts w:hint="eastAsia" w:ascii="宋体" w:hAnsi="宋体" w:eastAsia="宋体" w:cs="宋体"/>
          <w:b w:val="0"/>
          <w:bCs w:val="0"/>
          <w:color w:val="auto"/>
          <w:sz w:val="28"/>
          <w:szCs w:val="28"/>
          <w:lang w:val="en-US" w:eastAsia="zh-CN"/>
        </w:rPr>
        <w:br w:type="textWrapping"/>
      </w:r>
      <w:r>
        <w:rPr>
          <w:rFonts w:hint="eastAsia" w:ascii="宋体" w:hAnsi="宋体" w:eastAsia="宋体" w:cs="宋体"/>
          <w:b w:val="0"/>
          <w:bCs w:val="0"/>
          <w:color w:val="auto"/>
          <w:sz w:val="28"/>
          <w:szCs w:val="28"/>
          <w:lang w:val="en-US" w:eastAsia="zh-CN"/>
        </w:rPr>
        <w:t>2.4、《市政工程工程量计算规范》（GB50857-2024）；</w:t>
      </w:r>
    </w:p>
    <w:p w14:paraId="69C118D7">
      <w:pPr>
        <w:spacing w:line="580" w:lineRule="exact"/>
        <w:ind w:right="69" w:rightChars="33" w:firstLine="560" w:firstLineChars="200"/>
        <w:outlineLvl w:val="0"/>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2.5、《园林绿化工程工程量计算规范》（GB50858-2024）；</w:t>
      </w:r>
    </w:p>
    <w:p w14:paraId="0C963CF2">
      <w:pPr>
        <w:spacing w:line="580" w:lineRule="exact"/>
        <w:ind w:right="69" w:rightChars="33" w:firstLine="560" w:firstLineChars="200"/>
        <w:outlineLvl w:val="0"/>
        <w:rPr>
          <w:rFonts w:hint="eastAsia" w:ascii="宋体" w:hAnsi="宋体" w:eastAsia="宋体" w:cs="宋体"/>
          <w:b/>
          <w:bCs/>
          <w:color w:val="auto"/>
          <w:sz w:val="28"/>
          <w:szCs w:val="28"/>
          <w:highlight w:val="none"/>
          <w:lang w:val="en-US" w:eastAsia="zh-CN"/>
        </w:rPr>
      </w:pPr>
      <w:r>
        <w:rPr>
          <w:rFonts w:hint="eastAsia" w:ascii="宋体" w:hAnsi="宋体" w:eastAsia="宋体" w:cs="宋体"/>
          <w:b w:val="0"/>
          <w:bCs w:val="0"/>
          <w:color w:val="auto"/>
          <w:sz w:val="28"/>
          <w:szCs w:val="28"/>
          <w:lang w:val="en-US" w:eastAsia="zh-CN"/>
        </w:rPr>
        <w:t>2.6、现行工程施工技术规范及工程施工验收规范。</w:t>
      </w:r>
    </w:p>
    <w:p w14:paraId="06AE93E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2" w:firstLineChars="150"/>
        <w:jc w:val="left"/>
        <w:textAlignment w:val="auto"/>
        <w:rPr>
          <w:rFonts w:hint="default"/>
          <w:color w:val="auto"/>
          <w:highlight w:val="none"/>
          <w:lang w:val="en-US" w:eastAsia="zh-CN"/>
        </w:rPr>
      </w:pPr>
      <w:r>
        <w:rPr>
          <w:rFonts w:hint="eastAsia" w:ascii="宋体" w:hAnsi="宋体" w:eastAsia="宋体" w:cs="宋体"/>
          <w:b/>
          <w:bCs/>
          <w:color w:val="auto"/>
          <w:sz w:val="28"/>
          <w:szCs w:val="28"/>
          <w:highlight w:val="none"/>
          <w:lang w:val="en-US" w:eastAsia="zh-CN"/>
        </w:rPr>
        <w:t>三、编制中需要说明的问题</w:t>
      </w:r>
    </w:p>
    <w:p w14:paraId="2F409A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1、运余土弃置按3km综合考虑，投标人自行考虑弃土运距。</w:t>
      </w:r>
    </w:p>
    <w:p w14:paraId="0A895B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2、暂列金额及暂估价</w:t>
      </w:r>
    </w:p>
    <w:p w14:paraId="54F652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暂列金额按分部分项的5%计算，并按现行税率计取相应税金。</w:t>
      </w:r>
    </w:p>
    <w:p w14:paraId="5E6088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暂列金额并不属于承包人所有，也不必然发生，只能按照发包人（建设单位）的指示使用，按招标文件、合同约定并根据业主及监理批复的实际完成工程量并提供相应的佐证资料进行结算。</w:t>
      </w:r>
    </w:p>
    <w:p w14:paraId="1D1AB3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暂估价主要包括：全安村全安村导视牌共16000.00元、艺术装置（便签墙）共41500.00元、艺术装置（彩色坐凳）共33000.00元、艺术装置（反光镜组合）共38000.00元、墙面装饰共55200.00元。羊角村墙面装饰（区域一）共15000.00元、候车站装置组合（区域一）共50000.00元、健身设施一（区域二）共1500.00元、健身设施二（区域二）共1500.00元、健身设施三（区域二）共1500.00元、健身设施四（区域二）共1500.00元、健身设施五（区域二）共1500.00元、橙色金属长凳（区域二）共2800.00元、户外座凳（区域二）共3000.00元、导视牌共136000.00元、定制艺术装置1共8000.00元、定制艺术装置2共9000.00元、定制艺术装置3共28000.00元、定制艺术装置4共40000.00元、定制艺术装置5共25000.00元、定制艺术装置6共15000.00元、定制艺术装置7共26000.00元、定制艺术装置8共43000.00元、定制艺术装置9共18000.00元、定制艺术装置10共28000.00元、定制艺术装置11共30000.00元、定制艺术装置12共12000.00元、定制艺术装置13共19800.00元、定制艺术装置14共32000.00元、定制艺术装置15共18000.00元、围墙装饰共100000.00元。杨沥村景墙一（区域一）共20000.00元、景墙二（区域一）共18000.00元、景墙三（区域三）共21000.00元、景墙四（区域三）共31000.00元、墙面装饰和彩绘一（区域一）共12000.00元、墙面装饰和彩绘二（区域一）共13500.00元、墙面装饰和彩绘三（区域一）共9500.00元、健身设施一（区域一）共1500.00元、健身设施二（区域一）共1500.00元、健身设施三（区域一）共1500.00元、健身设施四（区域一）共1500.00元、健身设施五（区域一）共1500.00元、墙面装饰（区域一）共18000.00元、导视牌共32000.00元、垃圾收集站（区域二）共15000.00元、地面浮雕（区域三）共30000.0</w:t>
      </w:r>
      <w:bookmarkStart w:id="0" w:name="_GoBack"/>
      <w:bookmarkEnd w:id="0"/>
      <w:r>
        <w:rPr>
          <w:rFonts w:hint="eastAsia" w:ascii="宋体" w:hAnsi="宋体" w:eastAsia="宋体" w:cs="宋体"/>
          <w:color w:val="auto"/>
          <w:kern w:val="2"/>
          <w:sz w:val="28"/>
          <w:szCs w:val="28"/>
          <w:highlight w:val="none"/>
          <w:lang w:val="en-US" w:eastAsia="zh-CN" w:bidi="ar-SA"/>
        </w:rPr>
        <w:t>0元、杨沥岩地面装饰（区域三）共24000.00元、健身设施一（区域三）共1500.00元、健身设施二（区域三）共1500.00元、健身设施三（区域三）共1500.00元、健身设施四（区域三）共1500.00元、健身设施五（区域三）共1500.00元、座凳组合一（区域一）共35000.00元、座凳组合二（区域三）共24000.00元。结算时依据合同及招标文件约定的条款进行结算。</w:t>
      </w:r>
    </w:p>
    <w:p w14:paraId="7810682B">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22" w:firstLineChars="150"/>
        <w:jc w:val="lef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四、未详尽说明项目按工程量清单规范（GB/T 50500-2024</w:t>
      </w:r>
      <w:r>
        <w:rPr>
          <w:rFonts w:hint="eastAsia" w:ascii="宋体" w:hAnsi="宋体" w:eastAsia="宋体" w:cs="宋体"/>
          <w:b/>
          <w:bCs/>
          <w:color w:val="auto"/>
          <w:sz w:val="28"/>
          <w:szCs w:val="28"/>
          <w:highlight w:val="none"/>
          <w:lang w:val="en-US" w:eastAsia="zh-CN"/>
        </w:rPr>
        <w:t>)、施工图纸及有关说明。</w:t>
      </w:r>
    </w:p>
    <w:p w14:paraId="2F9FC34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宋体" w:hAnsi="宋体" w:eastAsia="宋体" w:cs="宋体"/>
          <w:color w:val="auto"/>
          <w:sz w:val="28"/>
          <w:szCs w:val="28"/>
          <w:highlight w:val="none"/>
          <w:lang w:val="en-US" w:eastAsia="zh-CN"/>
        </w:rPr>
      </w:pPr>
    </w:p>
    <w:p w14:paraId="48C6646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imes New Roman"/>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WIzOGQxNDQyYzBkZjhmNmU2NDg2ZGQ0Y2Q4NWQzMmIifQ=="/>
  </w:docVars>
  <w:rsids>
    <w:rsidRoot w:val="713E16E8"/>
    <w:rsid w:val="001F303E"/>
    <w:rsid w:val="00625E51"/>
    <w:rsid w:val="007C05EF"/>
    <w:rsid w:val="00B948B3"/>
    <w:rsid w:val="01141165"/>
    <w:rsid w:val="01394138"/>
    <w:rsid w:val="01F27F23"/>
    <w:rsid w:val="024711DF"/>
    <w:rsid w:val="03824055"/>
    <w:rsid w:val="03C3286F"/>
    <w:rsid w:val="04137DFA"/>
    <w:rsid w:val="043E0342"/>
    <w:rsid w:val="04D017DE"/>
    <w:rsid w:val="05364E41"/>
    <w:rsid w:val="05C42018"/>
    <w:rsid w:val="05C45B60"/>
    <w:rsid w:val="07C845AA"/>
    <w:rsid w:val="09263E2D"/>
    <w:rsid w:val="09414650"/>
    <w:rsid w:val="0BEC343E"/>
    <w:rsid w:val="0CB82A52"/>
    <w:rsid w:val="0DA8159E"/>
    <w:rsid w:val="0E7D2A40"/>
    <w:rsid w:val="0F384BB8"/>
    <w:rsid w:val="10074FA7"/>
    <w:rsid w:val="1054157E"/>
    <w:rsid w:val="114C494B"/>
    <w:rsid w:val="117009AE"/>
    <w:rsid w:val="11A27393"/>
    <w:rsid w:val="13726D71"/>
    <w:rsid w:val="14876E6C"/>
    <w:rsid w:val="15120EDC"/>
    <w:rsid w:val="151B1C30"/>
    <w:rsid w:val="1529426A"/>
    <w:rsid w:val="17F43F68"/>
    <w:rsid w:val="18805A8F"/>
    <w:rsid w:val="1A0C2973"/>
    <w:rsid w:val="1A2F1A2E"/>
    <w:rsid w:val="1B5D6177"/>
    <w:rsid w:val="1B9A461E"/>
    <w:rsid w:val="1C8E7BC6"/>
    <w:rsid w:val="1E322872"/>
    <w:rsid w:val="1EE74C60"/>
    <w:rsid w:val="203E1903"/>
    <w:rsid w:val="20DB7AF0"/>
    <w:rsid w:val="21014325"/>
    <w:rsid w:val="21A820E9"/>
    <w:rsid w:val="21C60A5C"/>
    <w:rsid w:val="25A91F14"/>
    <w:rsid w:val="25E0500F"/>
    <w:rsid w:val="29446030"/>
    <w:rsid w:val="29C72969"/>
    <w:rsid w:val="2A2715DD"/>
    <w:rsid w:val="2B6C37C8"/>
    <w:rsid w:val="2BE44B3C"/>
    <w:rsid w:val="2C7F752B"/>
    <w:rsid w:val="2CA2633B"/>
    <w:rsid w:val="2CC36E16"/>
    <w:rsid w:val="2CC36E42"/>
    <w:rsid w:val="2D3866D5"/>
    <w:rsid w:val="2D480837"/>
    <w:rsid w:val="2D8D6895"/>
    <w:rsid w:val="2DA37DF5"/>
    <w:rsid w:val="2E1054B0"/>
    <w:rsid w:val="2E6C5B18"/>
    <w:rsid w:val="2ECF76CF"/>
    <w:rsid w:val="2F296C85"/>
    <w:rsid w:val="3030697B"/>
    <w:rsid w:val="307D0CDB"/>
    <w:rsid w:val="31220256"/>
    <w:rsid w:val="319E09A5"/>
    <w:rsid w:val="32F6606D"/>
    <w:rsid w:val="330870A4"/>
    <w:rsid w:val="348D0943"/>
    <w:rsid w:val="348F2DD7"/>
    <w:rsid w:val="349D1C71"/>
    <w:rsid w:val="352B46F4"/>
    <w:rsid w:val="356B41A8"/>
    <w:rsid w:val="358C6356"/>
    <w:rsid w:val="35F00533"/>
    <w:rsid w:val="35F41BFC"/>
    <w:rsid w:val="36A858D0"/>
    <w:rsid w:val="37CF76C8"/>
    <w:rsid w:val="39396CB4"/>
    <w:rsid w:val="398D0612"/>
    <w:rsid w:val="39E15381"/>
    <w:rsid w:val="3AFA683F"/>
    <w:rsid w:val="3B3E6803"/>
    <w:rsid w:val="3BA92C34"/>
    <w:rsid w:val="3C8E5086"/>
    <w:rsid w:val="3DA03F39"/>
    <w:rsid w:val="3F310B59"/>
    <w:rsid w:val="3F7A63C2"/>
    <w:rsid w:val="403651B0"/>
    <w:rsid w:val="41D374FE"/>
    <w:rsid w:val="43B94141"/>
    <w:rsid w:val="442F268D"/>
    <w:rsid w:val="46DC584E"/>
    <w:rsid w:val="47414799"/>
    <w:rsid w:val="47A53E92"/>
    <w:rsid w:val="484D0086"/>
    <w:rsid w:val="489E05F2"/>
    <w:rsid w:val="48C034A3"/>
    <w:rsid w:val="4977360C"/>
    <w:rsid w:val="49C36851"/>
    <w:rsid w:val="49D942C7"/>
    <w:rsid w:val="4AA406F0"/>
    <w:rsid w:val="4BA8188C"/>
    <w:rsid w:val="4D0B3AFD"/>
    <w:rsid w:val="4E48192A"/>
    <w:rsid w:val="4E481F89"/>
    <w:rsid w:val="4F29184C"/>
    <w:rsid w:val="4F77691C"/>
    <w:rsid w:val="4F875A19"/>
    <w:rsid w:val="4FF44C90"/>
    <w:rsid w:val="506F7733"/>
    <w:rsid w:val="514D4E3A"/>
    <w:rsid w:val="515733E7"/>
    <w:rsid w:val="54CC3F35"/>
    <w:rsid w:val="54D538DD"/>
    <w:rsid w:val="553E6087"/>
    <w:rsid w:val="55E126EE"/>
    <w:rsid w:val="56BF0F68"/>
    <w:rsid w:val="57030746"/>
    <w:rsid w:val="57D52599"/>
    <w:rsid w:val="581043D4"/>
    <w:rsid w:val="58292CB4"/>
    <w:rsid w:val="58896EB8"/>
    <w:rsid w:val="5A8A08F5"/>
    <w:rsid w:val="5AB87F28"/>
    <w:rsid w:val="5BF45FDC"/>
    <w:rsid w:val="5C393362"/>
    <w:rsid w:val="5D5A7075"/>
    <w:rsid w:val="5DAA666C"/>
    <w:rsid w:val="5E4C66DB"/>
    <w:rsid w:val="5EEB5943"/>
    <w:rsid w:val="5EF779BD"/>
    <w:rsid w:val="61640A02"/>
    <w:rsid w:val="62001E71"/>
    <w:rsid w:val="62CF5E0F"/>
    <w:rsid w:val="633D3BE3"/>
    <w:rsid w:val="639500A7"/>
    <w:rsid w:val="640C1262"/>
    <w:rsid w:val="6448234D"/>
    <w:rsid w:val="64B81251"/>
    <w:rsid w:val="676D68B5"/>
    <w:rsid w:val="680B4ECF"/>
    <w:rsid w:val="68125A04"/>
    <w:rsid w:val="684B23DC"/>
    <w:rsid w:val="686F0F70"/>
    <w:rsid w:val="68B536B2"/>
    <w:rsid w:val="69285A6D"/>
    <w:rsid w:val="698473D2"/>
    <w:rsid w:val="69DB153D"/>
    <w:rsid w:val="6B1922E9"/>
    <w:rsid w:val="6B656390"/>
    <w:rsid w:val="6D2344D2"/>
    <w:rsid w:val="6D461FF8"/>
    <w:rsid w:val="6F07576D"/>
    <w:rsid w:val="6F347726"/>
    <w:rsid w:val="6F600666"/>
    <w:rsid w:val="6F6614F5"/>
    <w:rsid w:val="6FE4229B"/>
    <w:rsid w:val="70A2025E"/>
    <w:rsid w:val="713E16E8"/>
    <w:rsid w:val="71866233"/>
    <w:rsid w:val="72A21D2E"/>
    <w:rsid w:val="72C5513F"/>
    <w:rsid w:val="72C830E4"/>
    <w:rsid w:val="72FF004B"/>
    <w:rsid w:val="73774085"/>
    <w:rsid w:val="7560328A"/>
    <w:rsid w:val="75606BF7"/>
    <w:rsid w:val="775546DD"/>
    <w:rsid w:val="77682AC6"/>
    <w:rsid w:val="78935C36"/>
    <w:rsid w:val="7984574E"/>
    <w:rsid w:val="79CA2E50"/>
    <w:rsid w:val="7A2D6CAB"/>
    <w:rsid w:val="7A4169D3"/>
    <w:rsid w:val="7A58338F"/>
    <w:rsid w:val="7A65732D"/>
    <w:rsid w:val="7AE53606"/>
    <w:rsid w:val="7C0C712A"/>
    <w:rsid w:val="7C0E08F5"/>
    <w:rsid w:val="7C2F1963"/>
    <w:rsid w:val="7CBF51D8"/>
    <w:rsid w:val="7CF131F1"/>
    <w:rsid w:val="7D53138D"/>
    <w:rsid w:val="7DAB6B5B"/>
    <w:rsid w:val="7DC720AD"/>
    <w:rsid w:val="7E2761AA"/>
    <w:rsid w:val="7F9D5D12"/>
    <w:rsid w:val="7FA05089"/>
    <w:rsid w:val="7FF51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widowControl w:val="0"/>
      <w:adjustRightInd w:val="0"/>
      <w:spacing w:line="360" w:lineRule="atLeast"/>
      <w:jc w:val="left"/>
      <w:textAlignment w:val="baseline"/>
    </w:pPr>
    <w:rPr>
      <w:rFonts w:ascii="宋体" w:hAnsi="Calibri" w:eastAsia="宋体" w:cs="Times New Roman"/>
      <w:kern w:val="0"/>
      <w:sz w:val="24"/>
      <w:szCs w:val="22"/>
      <w:lang w:val="en-US" w:eastAsia="zh-CN" w:bidi="ar-SA"/>
    </w:rPr>
  </w:style>
  <w:style w:type="paragraph" w:styleId="3">
    <w:name w:val="footer"/>
    <w:basedOn w:val="1"/>
    <w:link w:val="10"/>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 w:type="character" w:customStyle="1" w:styleId="9">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10">
    <w:name w:val="页脚 Char"/>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1416</Words>
  <Characters>1875</Characters>
  <Lines>8</Lines>
  <Paragraphs>2</Paragraphs>
  <TotalTime>0</TotalTime>
  <ScaleCrop>false</ScaleCrop>
  <LinksUpToDate>false</LinksUpToDate>
  <CharactersWithSpaces>1878</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2020-03-21T03:06:00Z</dcterms:created>
  <dc:creator>七苇。</dc:creator>
  <cp:lastModifiedBy>楓葉 ^O^蓉</cp:lastModifiedBy>
  <cp:lastPrinted>2026-08-07T03:00:00Z</cp:lastPrinted>
  <dcterms:modified xsi:type="dcterms:W3CDTF">2026-09-14T09:16:29Z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CD2048ACD32F47FF9B9E4C5CA4E9AA85</vt:lpwstr>
  </property>
  <property fmtid="{D5CDD505-2E9C-101B-9397-08002B2CF9AE}" pid="4" name="KSOTemplateDocerSaveRecord">
    <vt:lpwstr>eyJoZGlkIjoiODE3MmQ4MzQzZjU2MzY4OTQyNWEyZWYyN2I3MmNhODIiLCJ1c2VySWQiOiIzMzExODk2OTcifQ==</vt:lpwstr>
  </property>
</Properties>
</file>