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DD0E0E">
      <w:pPr>
        <w:rPr>
          <w:rFonts w:hint="eastAsia" w:ascii="宋体" w:hAnsi="宋体" w:eastAsia="宋体" w:cs="宋体"/>
          <w:lang w:val="en-US" w:eastAsia="zh-CN"/>
        </w:rPr>
      </w:pPr>
    </w:p>
    <w:p w14:paraId="0AB36F2C">
      <w:pPr>
        <w:rPr>
          <w:rFonts w:hint="eastAsia" w:ascii="宋体" w:hAnsi="宋体" w:eastAsia="宋体" w:cs="宋体"/>
          <w:lang w:eastAsia="zh-CN"/>
        </w:rPr>
      </w:pPr>
      <w:bookmarkStart w:id="361" w:name="_GoBack"/>
      <w:r>
        <w:rPr>
          <w:rFonts w:hint="eastAsia" w:ascii="宋体" w:hAnsi="宋体" w:eastAsia="宋体" w:cs="宋体"/>
          <w:lang w:eastAsia="zh-CN"/>
        </w:rPr>
        <w:drawing>
          <wp:inline distT="0" distB="0" distL="114300" distR="114300">
            <wp:extent cx="6114415" cy="8651240"/>
            <wp:effectExtent l="0" t="0" r="635" b="16510"/>
            <wp:docPr id="6" name="图片 6" descr="招标文件封面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招标文件封面_00"/>
                    <pic:cNvPicPr>
                      <a:picLocks noChangeAspect="1"/>
                    </pic:cNvPicPr>
                  </pic:nvPicPr>
                  <pic:blipFill>
                    <a:blip r:embed="rId6"/>
                    <a:stretch>
                      <a:fillRect/>
                    </a:stretch>
                  </pic:blipFill>
                  <pic:spPr>
                    <a:xfrm>
                      <a:off x="0" y="0"/>
                      <a:ext cx="6114415" cy="8651240"/>
                    </a:xfrm>
                    <a:prstGeom prst="rect">
                      <a:avLst/>
                    </a:prstGeom>
                  </pic:spPr>
                </pic:pic>
              </a:graphicData>
            </a:graphic>
          </wp:inline>
        </w:drawing>
      </w:r>
      <w:bookmarkEnd w:id="361"/>
    </w:p>
    <w:p w14:paraId="3EE40CB2">
      <w:pPr>
        <w:rPr>
          <w:rFonts w:hint="eastAsia" w:ascii="宋体" w:hAnsi="宋体" w:eastAsia="宋体" w:cs="宋体"/>
        </w:rPr>
      </w:pPr>
    </w:p>
    <w:p w14:paraId="563F8F74">
      <w:pPr>
        <w:spacing w:before="0" w:beforeLines="0" w:after="0" w:afterLines="0" w:line="360" w:lineRule="auto"/>
        <w:ind w:left="0" w:leftChars="0" w:right="0" w:rightChars="0" w:firstLine="0" w:firstLineChars="0"/>
        <w:jc w:val="center"/>
        <w:rPr>
          <w:rFonts w:hint="eastAsia" w:ascii="宋体" w:hAnsi="宋体" w:eastAsia="宋体" w:cs="宋体"/>
          <w:b/>
          <w:bCs/>
          <w:color w:val="auto"/>
          <w:sz w:val="30"/>
          <w:szCs w:val="30"/>
          <w:highlight w:val="none"/>
        </w:rPr>
        <w:sectPr>
          <w:headerReference r:id="rId3" w:type="default"/>
          <w:pgSz w:w="11906" w:h="16839"/>
          <w:pgMar w:top="1134" w:right="1134" w:bottom="1134" w:left="1134" w:header="850" w:footer="850" w:gutter="0"/>
          <w:pgBorders>
            <w:top w:val="none" w:sz="0" w:space="0"/>
            <w:left w:val="none" w:sz="0" w:space="0"/>
            <w:bottom w:val="none" w:sz="0" w:space="0"/>
            <w:right w:val="none" w:sz="0" w:space="0"/>
          </w:pgBorders>
          <w:pgNumType w:fmt="decimal"/>
          <w:cols w:space="0" w:num="1"/>
          <w:rtlGutter w:val="0"/>
          <w:docGrid w:linePitch="0" w:charSpace="0"/>
        </w:sectPr>
      </w:pPr>
    </w:p>
    <w:p w14:paraId="0B0E3D45">
      <w:pPr>
        <w:spacing w:before="0" w:beforeLines="0" w:after="0" w:afterLines="0" w:line="360" w:lineRule="auto"/>
        <w:ind w:left="0" w:leftChars="0" w:right="0" w:rightChars="0" w:firstLine="0" w:firstLineChars="0"/>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目</w:t>
      </w:r>
      <w:r>
        <w:rPr>
          <w:rFonts w:hint="eastAsia" w:ascii="宋体" w:hAnsi="宋体" w:eastAsia="宋体" w:cs="宋体"/>
          <w:b/>
          <w:bCs/>
          <w:color w:val="auto"/>
          <w:sz w:val="30"/>
          <w:szCs w:val="30"/>
          <w:highlight w:val="none"/>
          <w:lang w:val="en-US" w:eastAsia="zh-CN"/>
        </w:rPr>
        <w:t xml:space="preserve">  </w:t>
      </w:r>
      <w:r>
        <w:rPr>
          <w:rFonts w:hint="eastAsia" w:ascii="宋体" w:hAnsi="宋体" w:eastAsia="宋体" w:cs="宋体"/>
          <w:b/>
          <w:bCs/>
          <w:color w:val="auto"/>
          <w:sz w:val="30"/>
          <w:szCs w:val="30"/>
          <w:highlight w:val="none"/>
        </w:rPr>
        <w:t>录</w:t>
      </w:r>
    </w:p>
    <w:p w14:paraId="10F49B93">
      <w:pPr>
        <w:pStyle w:val="18"/>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"1-3"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_Toc19261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第一章</w:t>
      </w:r>
      <w:r>
        <w:rPr>
          <w:rFonts w:hint="eastAsia" w:ascii="宋体" w:hAnsi="宋体" w:eastAsia="宋体" w:cs="宋体"/>
          <w:spacing w:val="-3"/>
          <w:sz w:val="24"/>
          <w:szCs w:val="24"/>
          <w:highlight w:val="none"/>
          <w:lang w:val="en-US" w:eastAsia="zh-CN"/>
        </w:rPr>
        <w:t xml:space="preserve">   </w:t>
      </w:r>
      <w:r>
        <w:rPr>
          <w:rFonts w:hint="eastAsia" w:ascii="宋体" w:hAnsi="宋体" w:eastAsia="宋体" w:cs="宋体"/>
          <w:bCs/>
          <w:spacing w:val="-3"/>
          <w:sz w:val="24"/>
          <w:szCs w:val="24"/>
          <w:highlight w:val="none"/>
        </w:rPr>
        <w:t>投标人须知</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_Toc19261 \h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30076475">
      <w:pPr>
        <w:pStyle w:val="19"/>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_Toc24466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第一节</w:t>
      </w:r>
      <w:r>
        <w:rPr>
          <w:rFonts w:hint="eastAsia" w:ascii="宋体" w:hAnsi="宋体" w:eastAsia="宋体" w:cs="宋体"/>
          <w:spacing w:val="-3"/>
          <w:sz w:val="24"/>
          <w:szCs w:val="24"/>
          <w:highlight w:val="none"/>
          <w:lang w:val="en-US" w:eastAsia="zh-CN"/>
        </w:rPr>
        <w:t xml:space="preserve">   </w:t>
      </w:r>
      <w:r>
        <w:rPr>
          <w:rFonts w:hint="eastAsia" w:ascii="宋体" w:hAnsi="宋体" w:eastAsia="宋体" w:cs="宋体"/>
          <w:bCs/>
          <w:spacing w:val="-3"/>
          <w:sz w:val="24"/>
          <w:szCs w:val="24"/>
          <w:highlight w:val="none"/>
        </w:rPr>
        <w:t>投标人须知前附表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_Toc24466 \h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6BB77689">
      <w:pPr>
        <w:pStyle w:val="19"/>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_Toc18441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第二节</w:t>
      </w:r>
      <w:r>
        <w:rPr>
          <w:rFonts w:hint="eastAsia" w:ascii="宋体" w:hAnsi="宋体" w:eastAsia="宋体" w:cs="宋体"/>
          <w:bCs/>
          <w:spacing w:val="-3"/>
          <w:sz w:val="24"/>
          <w:szCs w:val="24"/>
          <w:highlight w:val="none"/>
          <w:lang w:val="en-US" w:eastAsia="zh-CN"/>
        </w:rPr>
        <w:t xml:space="preserve">   </w:t>
      </w:r>
      <w:r>
        <w:rPr>
          <w:rFonts w:hint="eastAsia" w:ascii="宋体" w:hAnsi="宋体" w:eastAsia="宋体" w:cs="宋体"/>
          <w:bCs/>
          <w:spacing w:val="-3"/>
          <w:sz w:val="24"/>
          <w:szCs w:val="24"/>
          <w:highlight w:val="none"/>
        </w:rPr>
        <w:t>重要事项时间地点一览表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_Toc18441 \h </w:instrText>
      </w:r>
      <w:r>
        <w:rPr>
          <w:rFonts w:hint="eastAsia" w:ascii="宋体" w:hAnsi="宋体" w:eastAsia="宋体" w:cs="宋体"/>
          <w:sz w:val="24"/>
          <w:szCs w:val="24"/>
        </w:rPr>
        <w:fldChar w:fldCharType="separate"/>
      </w:r>
      <w:r>
        <w:rPr>
          <w:rFonts w:hint="eastAsia" w:ascii="宋体" w:hAnsi="宋体" w:eastAsia="宋体" w:cs="宋体"/>
          <w:sz w:val="24"/>
          <w:szCs w:val="24"/>
        </w:rPr>
        <w:t>10</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57FEA640">
      <w:pPr>
        <w:pStyle w:val="19"/>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_Toc14940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第三节</w:t>
      </w:r>
      <w:r>
        <w:rPr>
          <w:rFonts w:hint="eastAsia" w:ascii="宋体" w:hAnsi="宋体" w:eastAsia="宋体" w:cs="宋体"/>
          <w:bCs/>
          <w:spacing w:val="-3"/>
          <w:sz w:val="24"/>
          <w:szCs w:val="24"/>
          <w:highlight w:val="none"/>
          <w:lang w:val="en-US" w:eastAsia="zh-CN"/>
        </w:rPr>
        <w:t xml:space="preserve">   </w:t>
      </w:r>
      <w:r>
        <w:rPr>
          <w:rFonts w:hint="eastAsia" w:ascii="宋体" w:hAnsi="宋体" w:eastAsia="宋体" w:cs="宋体"/>
          <w:bCs/>
          <w:spacing w:val="-3"/>
          <w:sz w:val="24"/>
          <w:szCs w:val="24"/>
          <w:highlight w:val="none"/>
        </w:rPr>
        <w:t>投标人须知正文</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_Toc14940 \h </w:instrText>
      </w:r>
      <w:r>
        <w:rPr>
          <w:rFonts w:hint="eastAsia" w:ascii="宋体" w:hAnsi="宋体" w:eastAsia="宋体" w:cs="宋体"/>
          <w:sz w:val="24"/>
          <w:szCs w:val="24"/>
        </w:rPr>
        <w:fldChar w:fldCharType="separate"/>
      </w:r>
      <w:r>
        <w:rPr>
          <w:rFonts w:hint="eastAsia" w:ascii="宋体" w:hAnsi="宋体" w:eastAsia="宋体" w:cs="宋体"/>
          <w:sz w:val="24"/>
          <w:szCs w:val="24"/>
        </w:rPr>
        <w:t>11</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67564841">
      <w:pPr>
        <w:pStyle w:val="13"/>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_Toc28909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1</w:t>
      </w:r>
      <w:r>
        <w:rPr>
          <w:rFonts w:hint="eastAsia" w:ascii="宋体" w:hAnsi="宋体" w:eastAsia="宋体" w:cs="宋体"/>
          <w:bCs/>
          <w:spacing w:val="-23"/>
          <w:sz w:val="24"/>
          <w:szCs w:val="24"/>
          <w:highlight w:val="none"/>
          <w:lang w:eastAsia="zh-CN"/>
        </w:rPr>
        <w:t>.</w:t>
      </w:r>
      <w:r>
        <w:rPr>
          <w:rFonts w:hint="eastAsia" w:ascii="宋体" w:hAnsi="宋体" w:eastAsia="宋体" w:cs="宋体"/>
          <w:bCs/>
          <w:spacing w:val="-4"/>
          <w:sz w:val="24"/>
          <w:szCs w:val="24"/>
          <w:highlight w:val="none"/>
        </w:rPr>
        <w:t>项目概况、招标范围和标段划分、投标费用等</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_Toc28909 \h </w:instrText>
      </w:r>
      <w:r>
        <w:rPr>
          <w:rFonts w:hint="eastAsia" w:ascii="宋体" w:hAnsi="宋体" w:eastAsia="宋体" w:cs="宋体"/>
          <w:sz w:val="24"/>
          <w:szCs w:val="24"/>
        </w:rPr>
        <w:fldChar w:fldCharType="separate"/>
      </w:r>
      <w:r>
        <w:rPr>
          <w:rFonts w:hint="eastAsia" w:ascii="宋体" w:hAnsi="宋体" w:eastAsia="宋体" w:cs="宋体"/>
          <w:sz w:val="24"/>
          <w:szCs w:val="24"/>
        </w:rPr>
        <w:t>11</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6171937F">
      <w:pPr>
        <w:pStyle w:val="13"/>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_Toc11595 </w:instrText>
      </w:r>
      <w:r>
        <w:rPr>
          <w:rFonts w:hint="eastAsia" w:ascii="宋体" w:hAnsi="宋体" w:eastAsia="宋体" w:cs="宋体"/>
          <w:sz w:val="24"/>
          <w:szCs w:val="24"/>
          <w:highlight w:val="none"/>
        </w:rPr>
        <w:fldChar w:fldCharType="separate"/>
      </w:r>
      <w:r>
        <w:rPr>
          <w:rFonts w:hint="eastAsia" w:ascii="宋体" w:hAnsi="宋体" w:eastAsia="宋体" w:cs="宋体"/>
          <w:bCs/>
          <w:sz w:val="24"/>
          <w:szCs w:val="24"/>
          <w:highlight w:val="none"/>
        </w:rPr>
        <w:t>2</w:t>
      </w:r>
      <w:r>
        <w:rPr>
          <w:rFonts w:hint="eastAsia" w:ascii="宋体" w:hAnsi="宋体" w:eastAsia="宋体" w:cs="宋体"/>
          <w:bCs/>
          <w:sz w:val="24"/>
          <w:szCs w:val="24"/>
          <w:highlight w:val="none"/>
          <w:lang w:val="en-US" w:eastAsia="zh-CN"/>
        </w:rPr>
        <w:t>.</w:t>
      </w:r>
      <w:r>
        <w:rPr>
          <w:rFonts w:hint="eastAsia" w:ascii="宋体" w:hAnsi="宋体" w:eastAsia="宋体" w:cs="宋体"/>
          <w:bCs/>
          <w:sz w:val="24"/>
          <w:szCs w:val="24"/>
          <w:highlight w:val="none"/>
          <w:lang w:eastAsia="zh-CN"/>
        </w:rPr>
        <w:t>投标人</w:t>
      </w:r>
      <w:r>
        <w:rPr>
          <w:rFonts w:hint="eastAsia" w:ascii="宋体" w:hAnsi="宋体" w:eastAsia="宋体" w:cs="宋体"/>
          <w:bCs/>
          <w:sz w:val="24"/>
          <w:szCs w:val="24"/>
          <w:highlight w:val="none"/>
        </w:rPr>
        <w:t>资质要求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_Toc11595 \h </w:instrText>
      </w:r>
      <w:r>
        <w:rPr>
          <w:rFonts w:hint="eastAsia" w:ascii="宋体" w:hAnsi="宋体" w:eastAsia="宋体" w:cs="宋体"/>
          <w:sz w:val="24"/>
          <w:szCs w:val="24"/>
        </w:rPr>
        <w:fldChar w:fldCharType="separate"/>
      </w:r>
      <w:r>
        <w:rPr>
          <w:rFonts w:hint="eastAsia" w:ascii="宋体" w:hAnsi="宋体" w:eastAsia="宋体" w:cs="宋体"/>
          <w:sz w:val="24"/>
          <w:szCs w:val="24"/>
        </w:rPr>
        <w:t>11</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5CE32396">
      <w:pPr>
        <w:pStyle w:val="13"/>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_Toc32239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3</w:t>
      </w:r>
      <w:r>
        <w:rPr>
          <w:rFonts w:hint="eastAsia" w:ascii="宋体" w:hAnsi="宋体" w:eastAsia="宋体" w:cs="宋体"/>
          <w:bCs/>
          <w:spacing w:val="-4"/>
          <w:sz w:val="24"/>
          <w:szCs w:val="24"/>
          <w:highlight w:val="none"/>
          <w:lang w:val="en-US" w:eastAsia="zh-CN"/>
        </w:rPr>
        <w:t>.</w:t>
      </w:r>
      <w:r>
        <w:rPr>
          <w:rFonts w:hint="eastAsia" w:ascii="宋体" w:hAnsi="宋体" w:eastAsia="宋体" w:cs="宋体"/>
          <w:bCs/>
          <w:spacing w:val="-4"/>
          <w:sz w:val="24"/>
          <w:szCs w:val="24"/>
          <w:highlight w:val="none"/>
        </w:rPr>
        <w:t>招标文件的获取</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_Toc32239 \h </w:instrText>
      </w:r>
      <w:r>
        <w:rPr>
          <w:rFonts w:hint="eastAsia" w:ascii="宋体" w:hAnsi="宋体" w:eastAsia="宋体" w:cs="宋体"/>
          <w:sz w:val="24"/>
          <w:szCs w:val="24"/>
        </w:rPr>
        <w:fldChar w:fldCharType="separate"/>
      </w:r>
      <w:r>
        <w:rPr>
          <w:rFonts w:hint="eastAsia" w:ascii="宋体" w:hAnsi="宋体" w:eastAsia="宋体" w:cs="宋体"/>
          <w:sz w:val="24"/>
          <w:szCs w:val="24"/>
        </w:rPr>
        <w:t>13</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3F71FAF5">
      <w:pPr>
        <w:pStyle w:val="13"/>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_Toc18681 </w:instrText>
      </w:r>
      <w:r>
        <w:rPr>
          <w:rFonts w:hint="eastAsia" w:ascii="宋体" w:hAnsi="宋体" w:eastAsia="宋体" w:cs="宋体"/>
          <w:sz w:val="24"/>
          <w:szCs w:val="24"/>
          <w:highlight w:val="none"/>
        </w:rPr>
        <w:fldChar w:fldCharType="separate"/>
      </w:r>
      <w:r>
        <w:rPr>
          <w:rFonts w:hint="eastAsia" w:ascii="宋体" w:hAnsi="宋体" w:eastAsia="宋体" w:cs="宋体"/>
          <w:bCs/>
          <w:spacing w:val="-8"/>
          <w:sz w:val="24"/>
          <w:szCs w:val="24"/>
          <w:highlight w:val="none"/>
        </w:rPr>
        <w:t>4</w:t>
      </w:r>
      <w:r>
        <w:rPr>
          <w:rFonts w:hint="eastAsia" w:ascii="宋体" w:hAnsi="宋体" w:eastAsia="宋体" w:cs="宋体"/>
          <w:bCs/>
          <w:spacing w:val="-27"/>
          <w:sz w:val="24"/>
          <w:szCs w:val="24"/>
          <w:highlight w:val="none"/>
          <w:lang w:eastAsia="zh-CN"/>
        </w:rPr>
        <w:t>.</w:t>
      </w:r>
      <w:r>
        <w:rPr>
          <w:rFonts w:hint="eastAsia" w:ascii="宋体" w:hAnsi="宋体" w:eastAsia="宋体" w:cs="宋体"/>
          <w:bCs/>
          <w:spacing w:val="-8"/>
          <w:sz w:val="24"/>
          <w:szCs w:val="24"/>
          <w:highlight w:val="none"/>
        </w:rPr>
        <w:t>工期要求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_Toc18681 \h </w:instrText>
      </w:r>
      <w:r>
        <w:rPr>
          <w:rFonts w:hint="eastAsia" w:ascii="宋体" w:hAnsi="宋体" w:eastAsia="宋体" w:cs="宋体"/>
          <w:sz w:val="24"/>
          <w:szCs w:val="24"/>
        </w:rPr>
        <w:fldChar w:fldCharType="separate"/>
      </w:r>
      <w:r>
        <w:rPr>
          <w:rFonts w:hint="eastAsia" w:ascii="宋体" w:hAnsi="宋体" w:eastAsia="宋体" w:cs="宋体"/>
          <w:sz w:val="24"/>
          <w:szCs w:val="24"/>
        </w:rPr>
        <w:t>15</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5B17242A">
      <w:pPr>
        <w:pStyle w:val="13"/>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_Toc1639 </w:instrText>
      </w:r>
      <w:r>
        <w:rPr>
          <w:rFonts w:hint="eastAsia" w:ascii="宋体" w:hAnsi="宋体" w:eastAsia="宋体" w:cs="宋体"/>
          <w:sz w:val="24"/>
          <w:szCs w:val="24"/>
          <w:highlight w:val="none"/>
        </w:rPr>
        <w:fldChar w:fldCharType="separate"/>
      </w:r>
      <w:r>
        <w:rPr>
          <w:rFonts w:hint="eastAsia" w:ascii="宋体" w:hAnsi="宋体" w:eastAsia="宋体" w:cs="宋体"/>
          <w:bCs/>
          <w:spacing w:val="-5"/>
          <w:sz w:val="24"/>
          <w:szCs w:val="24"/>
          <w:highlight w:val="none"/>
        </w:rPr>
        <w:t>5</w:t>
      </w:r>
      <w:r>
        <w:rPr>
          <w:rFonts w:hint="eastAsia" w:ascii="宋体" w:hAnsi="宋体" w:eastAsia="宋体" w:cs="宋体"/>
          <w:bCs/>
          <w:spacing w:val="-20"/>
          <w:sz w:val="24"/>
          <w:szCs w:val="24"/>
          <w:highlight w:val="none"/>
          <w:lang w:eastAsia="zh-CN"/>
        </w:rPr>
        <w:t>.</w:t>
      </w:r>
      <w:r>
        <w:rPr>
          <w:rFonts w:hint="eastAsia" w:ascii="宋体" w:hAnsi="宋体" w:eastAsia="宋体" w:cs="宋体"/>
          <w:bCs/>
          <w:spacing w:val="-5"/>
          <w:sz w:val="24"/>
          <w:szCs w:val="24"/>
          <w:highlight w:val="none"/>
        </w:rPr>
        <w:t>质量标准和材料、机械要求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_Toc1639 \h </w:instrText>
      </w:r>
      <w:r>
        <w:rPr>
          <w:rFonts w:hint="eastAsia" w:ascii="宋体" w:hAnsi="宋体" w:eastAsia="宋体" w:cs="宋体"/>
          <w:sz w:val="24"/>
          <w:szCs w:val="24"/>
        </w:rPr>
        <w:fldChar w:fldCharType="separate"/>
      </w:r>
      <w:r>
        <w:rPr>
          <w:rFonts w:hint="eastAsia" w:ascii="宋体" w:hAnsi="宋体" w:eastAsia="宋体" w:cs="宋体"/>
          <w:sz w:val="24"/>
          <w:szCs w:val="24"/>
        </w:rPr>
        <w:t>15</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4D9CA461">
      <w:pPr>
        <w:pStyle w:val="13"/>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_Toc12840 </w:instrText>
      </w:r>
      <w:r>
        <w:rPr>
          <w:rFonts w:hint="eastAsia" w:ascii="宋体" w:hAnsi="宋体" w:eastAsia="宋体" w:cs="宋体"/>
          <w:sz w:val="24"/>
          <w:szCs w:val="24"/>
          <w:highlight w:val="none"/>
        </w:rPr>
        <w:fldChar w:fldCharType="separate"/>
      </w:r>
      <w:r>
        <w:rPr>
          <w:rFonts w:hint="eastAsia" w:ascii="宋体" w:hAnsi="宋体" w:eastAsia="宋体" w:cs="宋体"/>
          <w:bCs/>
          <w:spacing w:val="-6"/>
          <w:sz w:val="24"/>
          <w:szCs w:val="24"/>
          <w:highlight w:val="none"/>
        </w:rPr>
        <w:t>6</w:t>
      </w:r>
      <w:r>
        <w:rPr>
          <w:rFonts w:hint="eastAsia" w:ascii="宋体" w:hAnsi="宋体" w:eastAsia="宋体" w:cs="宋体"/>
          <w:bCs/>
          <w:spacing w:val="-20"/>
          <w:sz w:val="24"/>
          <w:szCs w:val="24"/>
          <w:highlight w:val="none"/>
          <w:lang w:eastAsia="zh-CN"/>
        </w:rPr>
        <w:t>.</w:t>
      </w:r>
      <w:r>
        <w:rPr>
          <w:rFonts w:hint="eastAsia" w:ascii="宋体" w:hAnsi="宋体" w:eastAsia="宋体" w:cs="宋体"/>
          <w:bCs/>
          <w:spacing w:val="-6"/>
          <w:sz w:val="24"/>
          <w:szCs w:val="24"/>
          <w:highlight w:val="none"/>
        </w:rPr>
        <w:t>施工条件及现场踏勘</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_Toc12840 \h </w:instrText>
      </w:r>
      <w:r>
        <w:rPr>
          <w:rFonts w:hint="eastAsia" w:ascii="宋体" w:hAnsi="宋体" w:eastAsia="宋体" w:cs="宋体"/>
          <w:sz w:val="24"/>
          <w:szCs w:val="24"/>
        </w:rPr>
        <w:fldChar w:fldCharType="separate"/>
      </w:r>
      <w:r>
        <w:rPr>
          <w:rFonts w:hint="eastAsia" w:ascii="宋体" w:hAnsi="宋体" w:eastAsia="宋体" w:cs="宋体"/>
          <w:sz w:val="24"/>
          <w:szCs w:val="24"/>
        </w:rPr>
        <w:t>16</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68F06365">
      <w:pPr>
        <w:pStyle w:val="13"/>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_Toc947 </w:instrText>
      </w:r>
      <w:r>
        <w:rPr>
          <w:rFonts w:hint="eastAsia" w:ascii="宋体" w:hAnsi="宋体" w:eastAsia="宋体" w:cs="宋体"/>
          <w:sz w:val="24"/>
          <w:szCs w:val="24"/>
          <w:highlight w:val="none"/>
        </w:rPr>
        <w:fldChar w:fldCharType="separate"/>
      </w:r>
      <w:r>
        <w:rPr>
          <w:rFonts w:hint="eastAsia" w:ascii="宋体" w:hAnsi="宋体" w:eastAsia="宋体" w:cs="宋体"/>
          <w:bCs/>
          <w:spacing w:val="-5"/>
          <w:sz w:val="24"/>
          <w:szCs w:val="24"/>
          <w:highlight w:val="none"/>
        </w:rPr>
        <w:t>8</w:t>
      </w:r>
      <w:r>
        <w:rPr>
          <w:rFonts w:hint="eastAsia" w:ascii="宋体" w:hAnsi="宋体" w:eastAsia="宋体" w:cs="宋体"/>
          <w:bCs/>
          <w:spacing w:val="-23"/>
          <w:sz w:val="24"/>
          <w:szCs w:val="24"/>
          <w:highlight w:val="none"/>
          <w:lang w:eastAsia="zh-CN"/>
        </w:rPr>
        <w:t>.</w:t>
      </w:r>
      <w:r>
        <w:rPr>
          <w:rFonts w:hint="eastAsia" w:ascii="宋体" w:hAnsi="宋体" w:eastAsia="宋体" w:cs="宋体"/>
          <w:bCs/>
          <w:spacing w:val="-1"/>
          <w:sz w:val="24"/>
          <w:szCs w:val="24"/>
          <w:highlight w:val="none"/>
        </w:rPr>
        <w:t>最高投标限价</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_Toc947 \h </w:instrText>
      </w:r>
      <w:r>
        <w:rPr>
          <w:rFonts w:hint="eastAsia" w:ascii="宋体" w:hAnsi="宋体" w:eastAsia="宋体" w:cs="宋体"/>
          <w:sz w:val="24"/>
          <w:szCs w:val="24"/>
        </w:rPr>
        <w:fldChar w:fldCharType="separate"/>
      </w:r>
      <w:r>
        <w:rPr>
          <w:rFonts w:hint="eastAsia" w:ascii="宋体" w:hAnsi="宋体" w:eastAsia="宋体" w:cs="宋体"/>
          <w:sz w:val="24"/>
          <w:szCs w:val="24"/>
        </w:rPr>
        <w:t>17</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46AAFE57">
      <w:pPr>
        <w:pStyle w:val="13"/>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_Toc19930 </w:instrText>
      </w:r>
      <w:r>
        <w:rPr>
          <w:rFonts w:hint="eastAsia" w:ascii="宋体" w:hAnsi="宋体" w:eastAsia="宋体" w:cs="宋体"/>
          <w:sz w:val="24"/>
          <w:szCs w:val="24"/>
          <w:highlight w:val="none"/>
        </w:rPr>
        <w:fldChar w:fldCharType="separate"/>
      </w:r>
      <w:r>
        <w:rPr>
          <w:rFonts w:hint="eastAsia" w:ascii="宋体" w:hAnsi="宋体" w:eastAsia="宋体" w:cs="宋体"/>
          <w:bCs/>
          <w:spacing w:val="-8"/>
          <w:sz w:val="24"/>
          <w:szCs w:val="24"/>
          <w:highlight w:val="none"/>
        </w:rPr>
        <w:t>9</w:t>
      </w:r>
      <w:r>
        <w:rPr>
          <w:rFonts w:hint="eastAsia" w:ascii="宋体" w:hAnsi="宋体" w:eastAsia="宋体" w:cs="宋体"/>
          <w:bCs/>
          <w:spacing w:val="-29"/>
          <w:sz w:val="24"/>
          <w:szCs w:val="24"/>
          <w:highlight w:val="none"/>
          <w:lang w:eastAsia="zh-CN"/>
        </w:rPr>
        <w:t>.</w:t>
      </w:r>
      <w:r>
        <w:rPr>
          <w:rFonts w:hint="eastAsia" w:ascii="宋体" w:hAnsi="宋体" w:eastAsia="宋体" w:cs="宋体"/>
          <w:bCs/>
          <w:spacing w:val="-8"/>
          <w:sz w:val="24"/>
          <w:szCs w:val="24"/>
          <w:highlight w:val="none"/>
        </w:rPr>
        <w:t>投标报价</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_Toc19930 \h </w:instrText>
      </w:r>
      <w:r>
        <w:rPr>
          <w:rFonts w:hint="eastAsia" w:ascii="宋体" w:hAnsi="宋体" w:eastAsia="宋体" w:cs="宋体"/>
          <w:sz w:val="24"/>
          <w:szCs w:val="24"/>
        </w:rPr>
        <w:fldChar w:fldCharType="separate"/>
      </w:r>
      <w:r>
        <w:rPr>
          <w:rFonts w:hint="eastAsia" w:ascii="宋体" w:hAnsi="宋体" w:eastAsia="宋体" w:cs="宋体"/>
          <w:sz w:val="24"/>
          <w:szCs w:val="24"/>
        </w:rPr>
        <w:t>18</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50726211">
      <w:pPr>
        <w:pStyle w:val="13"/>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_Toc15232 </w:instrText>
      </w:r>
      <w:r>
        <w:rPr>
          <w:rFonts w:hint="eastAsia" w:ascii="宋体" w:hAnsi="宋体" w:eastAsia="宋体" w:cs="宋体"/>
          <w:sz w:val="24"/>
          <w:szCs w:val="24"/>
          <w:highlight w:val="none"/>
        </w:rPr>
        <w:fldChar w:fldCharType="separate"/>
      </w:r>
      <w:r>
        <w:rPr>
          <w:rFonts w:hint="eastAsia" w:ascii="宋体" w:hAnsi="宋体" w:eastAsia="宋体" w:cs="宋体"/>
          <w:bCs/>
          <w:spacing w:val="-6"/>
          <w:sz w:val="24"/>
          <w:szCs w:val="24"/>
          <w:highlight w:val="none"/>
        </w:rPr>
        <w:t>10</w:t>
      </w:r>
      <w:r>
        <w:rPr>
          <w:rFonts w:hint="eastAsia" w:ascii="宋体" w:hAnsi="宋体" w:eastAsia="宋体" w:cs="宋体"/>
          <w:bCs/>
          <w:spacing w:val="-21"/>
          <w:sz w:val="24"/>
          <w:szCs w:val="24"/>
          <w:highlight w:val="none"/>
          <w:lang w:eastAsia="zh-CN"/>
        </w:rPr>
        <w:t>.</w:t>
      </w:r>
      <w:r>
        <w:rPr>
          <w:rFonts w:hint="eastAsia" w:ascii="宋体" w:hAnsi="宋体" w:eastAsia="宋体" w:cs="宋体"/>
          <w:bCs/>
          <w:spacing w:val="-6"/>
          <w:sz w:val="24"/>
          <w:szCs w:val="24"/>
          <w:highlight w:val="none"/>
        </w:rPr>
        <w:t>投标文件的编制要求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_Toc15232 \h </w:instrText>
      </w:r>
      <w:r>
        <w:rPr>
          <w:rFonts w:hint="eastAsia" w:ascii="宋体" w:hAnsi="宋体" w:eastAsia="宋体" w:cs="宋体"/>
          <w:sz w:val="24"/>
          <w:szCs w:val="24"/>
        </w:rPr>
        <w:fldChar w:fldCharType="separate"/>
      </w:r>
      <w:r>
        <w:rPr>
          <w:rFonts w:hint="eastAsia" w:ascii="宋体" w:hAnsi="宋体" w:eastAsia="宋体" w:cs="宋体"/>
          <w:sz w:val="24"/>
          <w:szCs w:val="24"/>
        </w:rPr>
        <w:t>20</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22B65EEB">
      <w:pPr>
        <w:pStyle w:val="13"/>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_Toc13551 </w:instrText>
      </w:r>
      <w:r>
        <w:rPr>
          <w:rFonts w:hint="eastAsia" w:ascii="宋体" w:hAnsi="宋体" w:eastAsia="宋体" w:cs="宋体"/>
          <w:sz w:val="24"/>
          <w:szCs w:val="24"/>
          <w:highlight w:val="none"/>
        </w:rPr>
        <w:fldChar w:fldCharType="separate"/>
      </w:r>
      <w:r>
        <w:rPr>
          <w:rFonts w:hint="eastAsia" w:ascii="宋体" w:hAnsi="宋体" w:eastAsia="宋体" w:cs="宋体"/>
          <w:bCs/>
          <w:spacing w:val="-9"/>
          <w:sz w:val="24"/>
          <w:szCs w:val="24"/>
          <w:highlight w:val="none"/>
        </w:rPr>
        <w:t>11.电子投标</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_Toc13551 \h </w:instrText>
      </w:r>
      <w:r>
        <w:rPr>
          <w:rFonts w:hint="eastAsia" w:ascii="宋体" w:hAnsi="宋体" w:eastAsia="宋体" w:cs="宋体"/>
          <w:sz w:val="24"/>
          <w:szCs w:val="24"/>
        </w:rPr>
        <w:fldChar w:fldCharType="separate"/>
      </w:r>
      <w:r>
        <w:rPr>
          <w:rFonts w:hint="eastAsia" w:ascii="宋体" w:hAnsi="宋体" w:eastAsia="宋体" w:cs="宋体"/>
          <w:sz w:val="24"/>
          <w:szCs w:val="24"/>
        </w:rPr>
        <w:t>24</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3ECF40DD">
      <w:pPr>
        <w:pStyle w:val="13"/>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_Toc19819 </w:instrText>
      </w:r>
      <w:r>
        <w:rPr>
          <w:rFonts w:hint="eastAsia" w:ascii="宋体" w:hAnsi="宋体" w:eastAsia="宋体" w:cs="宋体"/>
          <w:sz w:val="24"/>
          <w:szCs w:val="24"/>
          <w:highlight w:val="none"/>
        </w:rPr>
        <w:fldChar w:fldCharType="separate"/>
      </w:r>
      <w:r>
        <w:rPr>
          <w:rFonts w:hint="eastAsia" w:ascii="宋体" w:hAnsi="宋体" w:eastAsia="宋体" w:cs="宋体"/>
          <w:bCs/>
          <w:spacing w:val="-9"/>
          <w:sz w:val="24"/>
          <w:szCs w:val="24"/>
          <w:highlight w:val="none"/>
          <w:lang w:val="en-US" w:eastAsia="zh-CN"/>
        </w:rPr>
        <w:t>12.</w:t>
      </w:r>
      <w:r>
        <w:rPr>
          <w:rFonts w:hint="eastAsia" w:ascii="宋体" w:hAnsi="宋体" w:eastAsia="宋体" w:cs="宋体"/>
          <w:bCs/>
          <w:spacing w:val="-9"/>
          <w:sz w:val="24"/>
          <w:szCs w:val="24"/>
          <w:highlight w:val="none"/>
        </w:rPr>
        <w:t>电子投标及投标解密失败及突发情况的补救方案</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_Toc19819 \h </w:instrText>
      </w:r>
      <w:r>
        <w:rPr>
          <w:rFonts w:hint="eastAsia" w:ascii="宋体" w:hAnsi="宋体" w:eastAsia="宋体" w:cs="宋体"/>
          <w:sz w:val="24"/>
          <w:szCs w:val="24"/>
        </w:rPr>
        <w:fldChar w:fldCharType="separate"/>
      </w:r>
      <w:r>
        <w:rPr>
          <w:rFonts w:hint="eastAsia" w:ascii="宋体" w:hAnsi="宋体" w:eastAsia="宋体" w:cs="宋体"/>
          <w:sz w:val="24"/>
          <w:szCs w:val="24"/>
        </w:rPr>
        <w:t>24</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57718D1C">
      <w:pPr>
        <w:pStyle w:val="13"/>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_Toc20940 </w:instrText>
      </w:r>
      <w:r>
        <w:rPr>
          <w:rFonts w:hint="eastAsia" w:ascii="宋体" w:hAnsi="宋体" w:eastAsia="宋体" w:cs="宋体"/>
          <w:sz w:val="24"/>
          <w:szCs w:val="24"/>
          <w:highlight w:val="none"/>
        </w:rPr>
        <w:fldChar w:fldCharType="separate"/>
      </w:r>
      <w:r>
        <w:rPr>
          <w:rFonts w:hint="eastAsia" w:ascii="宋体" w:hAnsi="宋体" w:eastAsia="宋体" w:cs="宋体"/>
          <w:bCs/>
          <w:spacing w:val="-7"/>
          <w:sz w:val="24"/>
          <w:szCs w:val="24"/>
          <w:highlight w:val="none"/>
        </w:rPr>
        <w:t>13</w:t>
      </w:r>
      <w:r>
        <w:rPr>
          <w:rFonts w:hint="eastAsia" w:ascii="宋体" w:hAnsi="宋体" w:eastAsia="宋体" w:cs="宋体"/>
          <w:bCs/>
          <w:spacing w:val="-23"/>
          <w:sz w:val="24"/>
          <w:szCs w:val="24"/>
          <w:highlight w:val="none"/>
          <w:lang w:eastAsia="zh-CN"/>
        </w:rPr>
        <w:t>.</w:t>
      </w:r>
      <w:r>
        <w:rPr>
          <w:rFonts w:hint="eastAsia" w:ascii="宋体" w:hAnsi="宋体" w:eastAsia="宋体" w:cs="宋体"/>
          <w:bCs/>
          <w:spacing w:val="-7"/>
          <w:sz w:val="24"/>
          <w:szCs w:val="24"/>
          <w:highlight w:val="none"/>
        </w:rPr>
        <w:t>投标文件的提交</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_Toc20940 \h </w:instrText>
      </w:r>
      <w:r>
        <w:rPr>
          <w:rFonts w:hint="eastAsia" w:ascii="宋体" w:hAnsi="宋体" w:eastAsia="宋体" w:cs="宋体"/>
          <w:sz w:val="24"/>
          <w:szCs w:val="24"/>
        </w:rPr>
        <w:fldChar w:fldCharType="separate"/>
      </w:r>
      <w:r>
        <w:rPr>
          <w:rFonts w:hint="eastAsia" w:ascii="宋体" w:hAnsi="宋体" w:eastAsia="宋体" w:cs="宋体"/>
          <w:sz w:val="24"/>
          <w:szCs w:val="24"/>
        </w:rPr>
        <w:t>25</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171ED5A5">
      <w:pPr>
        <w:pStyle w:val="13"/>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_Toc1693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1"/>
          <w:sz w:val="24"/>
          <w:szCs w:val="24"/>
          <w:highlight w:val="none"/>
        </w:rPr>
        <w:t>14</w:t>
      </w:r>
      <w:r>
        <w:rPr>
          <w:rFonts w:hint="eastAsia" w:ascii="宋体" w:hAnsi="宋体" w:eastAsia="宋体" w:cs="宋体"/>
          <w:bCs/>
          <w:spacing w:val="-28"/>
          <w:sz w:val="24"/>
          <w:szCs w:val="24"/>
          <w:highlight w:val="none"/>
          <w:lang w:eastAsia="zh-CN"/>
        </w:rPr>
        <w:t>.</w:t>
      </w:r>
      <w:r>
        <w:rPr>
          <w:rFonts w:hint="eastAsia" w:ascii="宋体" w:hAnsi="宋体" w:eastAsia="宋体" w:cs="宋体"/>
          <w:bCs/>
          <w:spacing w:val="-11"/>
          <w:sz w:val="24"/>
          <w:szCs w:val="24"/>
          <w:highlight w:val="none"/>
        </w:rPr>
        <w:t>开标</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_Toc1693 \h </w:instrText>
      </w:r>
      <w:r>
        <w:rPr>
          <w:rFonts w:hint="eastAsia" w:ascii="宋体" w:hAnsi="宋体" w:eastAsia="宋体" w:cs="宋体"/>
          <w:sz w:val="24"/>
          <w:szCs w:val="24"/>
        </w:rPr>
        <w:fldChar w:fldCharType="separate"/>
      </w:r>
      <w:r>
        <w:rPr>
          <w:rFonts w:hint="eastAsia" w:ascii="宋体" w:hAnsi="宋体" w:eastAsia="宋体" w:cs="宋体"/>
          <w:sz w:val="24"/>
          <w:szCs w:val="24"/>
        </w:rPr>
        <w:t>25</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5CF923C3">
      <w:pPr>
        <w:pStyle w:val="13"/>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_Toc24574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1"/>
          <w:sz w:val="24"/>
          <w:szCs w:val="24"/>
          <w:highlight w:val="none"/>
        </w:rPr>
        <w:t>15</w:t>
      </w:r>
      <w:r>
        <w:rPr>
          <w:rFonts w:hint="eastAsia" w:ascii="宋体" w:hAnsi="宋体" w:eastAsia="宋体" w:cs="宋体"/>
          <w:bCs/>
          <w:spacing w:val="-11"/>
          <w:sz w:val="24"/>
          <w:szCs w:val="24"/>
          <w:highlight w:val="none"/>
          <w:lang w:val="en-US" w:eastAsia="zh-CN"/>
        </w:rPr>
        <w:t>.</w:t>
      </w:r>
      <w:r>
        <w:rPr>
          <w:rFonts w:hint="eastAsia" w:ascii="宋体" w:hAnsi="宋体" w:eastAsia="宋体" w:cs="宋体"/>
          <w:bCs/>
          <w:spacing w:val="-11"/>
          <w:sz w:val="24"/>
          <w:szCs w:val="24"/>
          <w:highlight w:val="none"/>
        </w:rPr>
        <w:t>评标</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_Toc24574 \h </w:instrText>
      </w:r>
      <w:r>
        <w:rPr>
          <w:rFonts w:hint="eastAsia" w:ascii="宋体" w:hAnsi="宋体" w:eastAsia="宋体" w:cs="宋体"/>
          <w:sz w:val="24"/>
          <w:szCs w:val="24"/>
        </w:rPr>
        <w:fldChar w:fldCharType="separate"/>
      </w:r>
      <w:r>
        <w:rPr>
          <w:rFonts w:hint="eastAsia" w:ascii="宋体" w:hAnsi="宋体" w:eastAsia="宋体" w:cs="宋体"/>
          <w:sz w:val="24"/>
          <w:szCs w:val="24"/>
        </w:rPr>
        <w:t>26</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0299DB48">
      <w:pPr>
        <w:pStyle w:val="13"/>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_Toc29518 </w:instrText>
      </w:r>
      <w:r>
        <w:rPr>
          <w:rFonts w:hint="eastAsia" w:ascii="宋体" w:hAnsi="宋体" w:eastAsia="宋体" w:cs="宋体"/>
          <w:sz w:val="24"/>
          <w:szCs w:val="24"/>
          <w:highlight w:val="none"/>
        </w:rPr>
        <w:fldChar w:fldCharType="separate"/>
      </w:r>
      <w:r>
        <w:rPr>
          <w:rFonts w:hint="eastAsia" w:ascii="宋体" w:hAnsi="宋体" w:eastAsia="宋体" w:cs="宋体"/>
          <w:bCs/>
          <w:spacing w:val="-7"/>
          <w:sz w:val="24"/>
          <w:szCs w:val="24"/>
          <w:highlight w:val="none"/>
        </w:rPr>
        <w:t>16</w:t>
      </w:r>
      <w:r>
        <w:rPr>
          <w:rFonts w:hint="eastAsia" w:ascii="宋体" w:hAnsi="宋体" w:eastAsia="宋体" w:cs="宋体"/>
          <w:bCs/>
          <w:spacing w:val="-20"/>
          <w:sz w:val="24"/>
          <w:szCs w:val="24"/>
          <w:highlight w:val="none"/>
          <w:lang w:eastAsia="zh-CN"/>
        </w:rPr>
        <w:t>.</w:t>
      </w:r>
      <w:r>
        <w:rPr>
          <w:rFonts w:hint="eastAsia" w:ascii="宋体" w:hAnsi="宋体" w:eastAsia="宋体" w:cs="宋体"/>
          <w:bCs/>
          <w:spacing w:val="-7"/>
          <w:sz w:val="24"/>
          <w:szCs w:val="24"/>
          <w:highlight w:val="none"/>
        </w:rPr>
        <w:t>中标候选人公示</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_Toc29518 \h </w:instrText>
      </w:r>
      <w:r>
        <w:rPr>
          <w:rFonts w:hint="eastAsia" w:ascii="宋体" w:hAnsi="宋体" w:eastAsia="宋体" w:cs="宋体"/>
          <w:sz w:val="24"/>
          <w:szCs w:val="24"/>
        </w:rPr>
        <w:fldChar w:fldCharType="separate"/>
      </w:r>
      <w:r>
        <w:rPr>
          <w:rFonts w:hint="eastAsia" w:ascii="宋体" w:hAnsi="宋体" w:eastAsia="宋体" w:cs="宋体"/>
          <w:sz w:val="24"/>
          <w:szCs w:val="24"/>
        </w:rPr>
        <w:t>39</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133CDDE0">
      <w:pPr>
        <w:pStyle w:val="19"/>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_Toc1593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第四节</w:t>
      </w:r>
      <w:r>
        <w:rPr>
          <w:rFonts w:hint="eastAsia" w:ascii="宋体" w:hAnsi="宋体" w:eastAsia="宋体" w:cs="宋体"/>
          <w:bCs/>
          <w:spacing w:val="-3"/>
          <w:sz w:val="24"/>
          <w:szCs w:val="24"/>
          <w:highlight w:val="none"/>
          <w:lang w:val="en-US" w:eastAsia="zh-CN"/>
        </w:rPr>
        <w:t xml:space="preserve">   </w:t>
      </w:r>
      <w:r>
        <w:rPr>
          <w:rFonts w:hint="eastAsia" w:ascii="宋体" w:hAnsi="宋体" w:eastAsia="宋体" w:cs="宋体"/>
          <w:bCs/>
          <w:spacing w:val="-3"/>
          <w:sz w:val="24"/>
          <w:szCs w:val="24"/>
          <w:highlight w:val="none"/>
        </w:rPr>
        <w:t>否决投标条件</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_Toc1593 \h </w:instrText>
      </w:r>
      <w:r>
        <w:rPr>
          <w:rFonts w:hint="eastAsia" w:ascii="宋体" w:hAnsi="宋体" w:eastAsia="宋体" w:cs="宋体"/>
          <w:sz w:val="24"/>
          <w:szCs w:val="24"/>
        </w:rPr>
        <w:fldChar w:fldCharType="separate"/>
      </w:r>
      <w:r>
        <w:rPr>
          <w:rFonts w:hint="eastAsia" w:ascii="宋体" w:hAnsi="宋体" w:eastAsia="宋体" w:cs="宋体"/>
          <w:sz w:val="24"/>
          <w:szCs w:val="24"/>
        </w:rPr>
        <w:t>39</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34C155EB">
      <w:pPr>
        <w:pStyle w:val="13"/>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_Toc9553 </w:instrText>
      </w:r>
      <w:r>
        <w:rPr>
          <w:rFonts w:hint="eastAsia" w:ascii="宋体" w:hAnsi="宋体" w:eastAsia="宋体" w:cs="宋体"/>
          <w:sz w:val="24"/>
          <w:szCs w:val="24"/>
          <w:highlight w:val="none"/>
        </w:rPr>
        <w:fldChar w:fldCharType="separate"/>
      </w:r>
      <w:r>
        <w:rPr>
          <w:rFonts w:hint="eastAsia" w:ascii="宋体" w:hAnsi="宋体" w:eastAsia="宋体" w:cs="宋体"/>
          <w:bCs/>
          <w:spacing w:val="-8"/>
          <w:sz w:val="24"/>
          <w:szCs w:val="24"/>
          <w:highlight w:val="none"/>
        </w:rPr>
        <w:t>1</w:t>
      </w:r>
      <w:r>
        <w:rPr>
          <w:rFonts w:hint="eastAsia" w:ascii="宋体" w:hAnsi="宋体" w:eastAsia="宋体" w:cs="宋体"/>
          <w:bCs/>
          <w:spacing w:val="-26"/>
          <w:sz w:val="24"/>
          <w:szCs w:val="24"/>
          <w:highlight w:val="none"/>
          <w:lang w:eastAsia="zh-CN"/>
        </w:rPr>
        <w:t>.</w:t>
      </w:r>
      <w:r>
        <w:rPr>
          <w:rFonts w:hint="eastAsia" w:ascii="宋体" w:hAnsi="宋体" w:eastAsia="宋体" w:cs="宋体"/>
          <w:bCs/>
          <w:spacing w:val="-8"/>
          <w:sz w:val="24"/>
          <w:szCs w:val="24"/>
          <w:highlight w:val="none"/>
        </w:rPr>
        <w:t>资格评审环节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_Toc9553 \h </w:instrText>
      </w:r>
      <w:r>
        <w:rPr>
          <w:rFonts w:hint="eastAsia" w:ascii="宋体" w:hAnsi="宋体" w:eastAsia="宋体" w:cs="宋体"/>
          <w:sz w:val="24"/>
          <w:szCs w:val="24"/>
        </w:rPr>
        <w:fldChar w:fldCharType="separate"/>
      </w:r>
      <w:r>
        <w:rPr>
          <w:rFonts w:hint="eastAsia" w:ascii="宋体" w:hAnsi="宋体" w:eastAsia="宋体" w:cs="宋体"/>
          <w:sz w:val="24"/>
          <w:szCs w:val="24"/>
        </w:rPr>
        <w:t>40</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442F5032">
      <w:pPr>
        <w:pStyle w:val="13"/>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_Toc17711 </w:instrText>
      </w:r>
      <w:r>
        <w:rPr>
          <w:rFonts w:hint="eastAsia" w:ascii="宋体" w:hAnsi="宋体" w:eastAsia="宋体" w:cs="宋体"/>
          <w:sz w:val="24"/>
          <w:szCs w:val="24"/>
          <w:highlight w:val="none"/>
        </w:rPr>
        <w:fldChar w:fldCharType="separate"/>
      </w:r>
      <w:r>
        <w:rPr>
          <w:rFonts w:hint="eastAsia" w:ascii="宋体" w:hAnsi="宋体" w:eastAsia="宋体" w:cs="宋体"/>
          <w:bCs/>
          <w:spacing w:val="-7"/>
          <w:sz w:val="24"/>
          <w:szCs w:val="24"/>
          <w:highlight w:val="none"/>
        </w:rPr>
        <w:t>2</w:t>
      </w:r>
      <w:r>
        <w:rPr>
          <w:rFonts w:hint="eastAsia" w:ascii="宋体" w:hAnsi="宋体" w:eastAsia="宋体" w:cs="宋体"/>
          <w:bCs/>
          <w:spacing w:val="-24"/>
          <w:sz w:val="24"/>
          <w:szCs w:val="24"/>
          <w:highlight w:val="none"/>
          <w:lang w:eastAsia="zh-CN"/>
        </w:rPr>
        <w:t>.</w:t>
      </w:r>
      <w:r>
        <w:rPr>
          <w:rFonts w:hint="eastAsia" w:ascii="宋体" w:hAnsi="宋体" w:eastAsia="宋体" w:cs="宋体"/>
          <w:bCs/>
          <w:spacing w:val="-7"/>
          <w:sz w:val="24"/>
          <w:szCs w:val="24"/>
          <w:highlight w:val="none"/>
        </w:rPr>
        <w:t>形式评审环节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_Toc17711 \h </w:instrText>
      </w:r>
      <w:r>
        <w:rPr>
          <w:rFonts w:hint="eastAsia" w:ascii="宋体" w:hAnsi="宋体" w:eastAsia="宋体" w:cs="宋体"/>
          <w:sz w:val="24"/>
          <w:szCs w:val="24"/>
        </w:rPr>
        <w:fldChar w:fldCharType="separate"/>
      </w:r>
      <w:r>
        <w:rPr>
          <w:rFonts w:hint="eastAsia" w:ascii="宋体" w:hAnsi="宋体" w:eastAsia="宋体" w:cs="宋体"/>
          <w:sz w:val="24"/>
          <w:szCs w:val="24"/>
        </w:rPr>
        <w:t>41</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111BF1F9">
      <w:pPr>
        <w:pStyle w:val="13"/>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_Toc8217 </w:instrText>
      </w:r>
      <w:r>
        <w:rPr>
          <w:rFonts w:hint="eastAsia" w:ascii="宋体" w:hAnsi="宋体" w:eastAsia="宋体" w:cs="宋体"/>
          <w:sz w:val="24"/>
          <w:szCs w:val="24"/>
          <w:highlight w:val="none"/>
        </w:rPr>
        <w:fldChar w:fldCharType="separate"/>
      </w:r>
      <w:r>
        <w:rPr>
          <w:rFonts w:hint="eastAsia" w:ascii="宋体" w:hAnsi="宋体" w:eastAsia="宋体" w:cs="宋体"/>
          <w:bCs/>
          <w:spacing w:val="-6"/>
          <w:sz w:val="24"/>
          <w:szCs w:val="24"/>
          <w:highlight w:val="none"/>
        </w:rPr>
        <w:t>3</w:t>
      </w:r>
      <w:r>
        <w:rPr>
          <w:rFonts w:hint="eastAsia" w:ascii="宋体" w:hAnsi="宋体" w:eastAsia="宋体" w:cs="宋体"/>
          <w:bCs/>
          <w:spacing w:val="-24"/>
          <w:sz w:val="24"/>
          <w:szCs w:val="24"/>
          <w:highlight w:val="none"/>
          <w:lang w:eastAsia="zh-CN"/>
        </w:rPr>
        <w:t>.</w:t>
      </w:r>
      <w:r>
        <w:rPr>
          <w:rFonts w:hint="eastAsia" w:ascii="宋体" w:hAnsi="宋体" w:eastAsia="宋体" w:cs="宋体"/>
          <w:bCs/>
          <w:spacing w:val="-6"/>
          <w:sz w:val="24"/>
          <w:szCs w:val="24"/>
          <w:highlight w:val="none"/>
        </w:rPr>
        <w:t>响应性评审环节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_Toc8217 \h </w:instrText>
      </w:r>
      <w:r>
        <w:rPr>
          <w:rFonts w:hint="eastAsia" w:ascii="宋体" w:hAnsi="宋体" w:eastAsia="宋体" w:cs="宋体"/>
          <w:sz w:val="24"/>
          <w:szCs w:val="24"/>
        </w:rPr>
        <w:fldChar w:fldCharType="separate"/>
      </w:r>
      <w:r>
        <w:rPr>
          <w:rFonts w:hint="eastAsia" w:ascii="宋体" w:hAnsi="宋体" w:eastAsia="宋体" w:cs="宋体"/>
          <w:sz w:val="24"/>
          <w:szCs w:val="24"/>
        </w:rPr>
        <w:t>41</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27100AA8">
      <w:pPr>
        <w:pStyle w:val="13"/>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_Toc2557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1"/>
          <w:sz w:val="24"/>
          <w:szCs w:val="24"/>
          <w:highlight w:val="none"/>
        </w:rPr>
        <w:t>4</w:t>
      </w:r>
      <w:r>
        <w:rPr>
          <w:rFonts w:hint="eastAsia" w:ascii="宋体" w:hAnsi="宋体" w:eastAsia="宋体" w:cs="宋体"/>
          <w:bCs/>
          <w:spacing w:val="-29"/>
          <w:sz w:val="24"/>
          <w:szCs w:val="24"/>
          <w:highlight w:val="none"/>
          <w:lang w:eastAsia="zh-CN"/>
        </w:rPr>
        <w:t>.</w:t>
      </w:r>
      <w:r>
        <w:rPr>
          <w:rFonts w:hint="eastAsia" w:ascii="宋体" w:hAnsi="宋体" w:eastAsia="宋体" w:cs="宋体"/>
          <w:bCs/>
          <w:spacing w:val="-11"/>
          <w:sz w:val="24"/>
          <w:szCs w:val="24"/>
          <w:highlight w:val="none"/>
        </w:rPr>
        <w:t>其他</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_Toc2557 \h </w:instrText>
      </w:r>
      <w:r>
        <w:rPr>
          <w:rFonts w:hint="eastAsia" w:ascii="宋体" w:hAnsi="宋体" w:eastAsia="宋体" w:cs="宋体"/>
          <w:sz w:val="24"/>
          <w:szCs w:val="24"/>
        </w:rPr>
        <w:fldChar w:fldCharType="separate"/>
      </w:r>
      <w:r>
        <w:rPr>
          <w:rFonts w:hint="eastAsia" w:ascii="宋体" w:hAnsi="宋体" w:eastAsia="宋体" w:cs="宋体"/>
          <w:sz w:val="24"/>
          <w:szCs w:val="24"/>
        </w:rPr>
        <w:t>42</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6799AFBE">
      <w:pPr>
        <w:pStyle w:val="18"/>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_Toc7642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第二章</w:t>
      </w:r>
      <w:r>
        <w:rPr>
          <w:rFonts w:hint="eastAsia" w:ascii="宋体" w:hAnsi="宋体" w:eastAsia="宋体" w:cs="宋体"/>
          <w:bCs/>
          <w:spacing w:val="-3"/>
          <w:sz w:val="24"/>
          <w:szCs w:val="24"/>
          <w:highlight w:val="none"/>
          <w:lang w:val="en-US" w:eastAsia="zh-CN"/>
        </w:rPr>
        <w:t xml:space="preserve">   </w:t>
      </w:r>
      <w:r>
        <w:rPr>
          <w:rFonts w:hint="eastAsia" w:ascii="宋体" w:hAnsi="宋体" w:eastAsia="宋体" w:cs="宋体"/>
          <w:bCs/>
          <w:spacing w:val="-3"/>
          <w:sz w:val="24"/>
          <w:szCs w:val="24"/>
          <w:highlight w:val="none"/>
        </w:rPr>
        <w:t>中标人须知</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_Toc7642 \h </w:instrText>
      </w:r>
      <w:r>
        <w:rPr>
          <w:rFonts w:hint="eastAsia" w:ascii="宋体" w:hAnsi="宋体" w:eastAsia="宋体" w:cs="宋体"/>
          <w:sz w:val="24"/>
          <w:szCs w:val="24"/>
        </w:rPr>
        <w:fldChar w:fldCharType="separate"/>
      </w:r>
      <w:r>
        <w:rPr>
          <w:rFonts w:hint="eastAsia" w:ascii="宋体" w:hAnsi="宋体" w:eastAsia="宋体" w:cs="宋体"/>
          <w:sz w:val="24"/>
          <w:szCs w:val="24"/>
        </w:rPr>
        <w:t>43</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12F343AC">
      <w:pPr>
        <w:pStyle w:val="13"/>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_Toc26962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1"/>
          <w:sz w:val="24"/>
          <w:szCs w:val="24"/>
          <w:highlight w:val="none"/>
        </w:rPr>
        <w:t>1</w:t>
      </w:r>
      <w:r>
        <w:rPr>
          <w:rFonts w:hint="eastAsia" w:ascii="宋体" w:hAnsi="宋体" w:eastAsia="宋体" w:cs="宋体"/>
          <w:bCs/>
          <w:spacing w:val="-11"/>
          <w:sz w:val="24"/>
          <w:szCs w:val="24"/>
          <w:highlight w:val="none"/>
          <w:lang w:eastAsia="zh-CN"/>
        </w:rPr>
        <w:t>.</w:t>
      </w:r>
      <w:r>
        <w:rPr>
          <w:rFonts w:hint="eastAsia" w:ascii="宋体" w:hAnsi="宋体" w:eastAsia="宋体" w:cs="宋体"/>
          <w:bCs/>
          <w:spacing w:val="-11"/>
          <w:sz w:val="24"/>
          <w:szCs w:val="24"/>
          <w:highlight w:val="none"/>
        </w:rPr>
        <w:t>中标通知书</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_Toc26962 \h </w:instrText>
      </w:r>
      <w:r>
        <w:rPr>
          <w:rFonts w:hint="eastAsia" w:ascii="宋体" w:hAnsi="宋体" w:eastAsia="宋体" w:cs="宋体"/>
          <w:sz w:val="24"/>
          <w:szCs w:val="24"/>
        </w:rPr>
        <w:fldChar w:fldCharType="separate"/>
      </w:r>
      <w:r>
        <w:rPr>
          <w:rFonts w:hint="eastAsia" w:ascii="宋体" w:hAnsi="宋体" w:eastAsia="宋体" w:cs="宋体"/>
          <w:sz w:val="24"/>
          <w:szCs w:val="24"/>
        </w:rPr>
        <w:t>43</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0D32EFC6">
      <w:pPr>
        <w:pStyle w:val="13"/>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_Toc16049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1"/>
          <w:sz w:val="24"/>
          <w:szCs w:val="24"/>
          <w:highlight w:val="none"/>
        </w:rPr>
        <w:t>2</w:t>
      </w:r>
      <w:r>
        <w:rPr>
          <w:rFonts w:hint="eastAsia" w:ascii="宋体" w:hAnsi="宋体" w:eastAsia="宋体" w:cs="宋体"/>
          <w:bCs/>
          <w:spacing w:val="-11"/>
          <w:sz w:val="24"/>
          <w:szCs w:val="24"/>
          <w:highlight w:val="none"/>
          <w:lang w:eastAsia="zh-CN"/>
        </w:rPr>
        <w:t>.</w:t>
      </w:r>
      <w:r>
        <w:rPr>
          <w:rFonts w:hint="eastAsia" w:ascii="宋体" w:hAnsi="宋体" w:eastAsia="宋体" w:cs="宋体"/>
          <w:bCs/>
          <w:spacing w:val="-11"/>
          <w:sz w:val="24"/>
          <w:szCs w:val="24"/>
          <w:highlight w:val="none"/>
        </w:rPr>
        <w:t>中标结果公示</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_Toc16049 \h </w:instrText>
      </w:r>
      <w:r>
        <w:rPr>
          <w:rFonts w:hint="eastAsia" w:ascii="宋体" w:hAnsi="宋体" w:eastAsia="宋体" w:cs="宋体"/>
          <w:sz w:val="24"/>
          <w:szCs w:val="24"/>
        </w:rPr>
        <w:fldChar w:fldCharType="separate"/>
      </w:r>
      <w:r>
        <w:rPr>
          <w:rFonts w:hint="eastAsia" w:ascii="宋体" w:hAnsi="宋体" w:eastAsia="宋体" w:cs="宋体"/>
          <w:sz w:val="24"/>
          <w:szCs w:val="24"/>
        </w:rPr>
        <w:t>43</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2EDE4010">
      <w:pPr>
        <w:pStyle w:val="13"/>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_Toc28790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1"/>
          <w:sz w:val="24"/>
          <w:szCs w:val="24"/>
          <w:highlight w:val="none"/>
        </w:rPr>
        <w:t>3</w:t>
      </w:r>
      <w:r>
        <w:rPr>
          <w:rFonts w:hint="eastAsia" w:ascii="宋体" w:hAnsi="宋体" w:eastAsia="宋体" w:cs="宋体"/>
          <w:bCs/>
          <w:spacing w:val="-11"/>
          <w:sz w:val="24"/>
          <w:szCs w:val="24"/>
          <w:highlight w:val="none"/>
          <w:lang w:eastAsia="zh-CN"/>
        </w:rPr>
        <w:t>.</w:t>
      </w:r>
      <w:r>
        <w:rPr>
          <w:rFonts w:hint="eastAsia" w:ascii="宋体" w:hAnsi="宋体" w:eastAsia="宋体" w:cs="宋体"/>
          <w:bCs/>
          <w:spacing w:val="-11"/>
          <w:sz w:val="24"/>
          <w:szCs w:val="24"/>
          <w:highlight w:val="none"/>
        </w:rPr>
        <w:t>履约保证</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_Toc28790 \h </w:instrText>
      </w:r>
      <w:r>
        <w:rPr>
          <w:rFonts w:hint="eastAsia" w:ascii="宋体" w:hAnsi="宋体" w:eastAsia="宋体" w:cs="宋体"/>
          <w:sz w:val="24"/>
          <w:szCs w:val="24"/>
        </w:rPr>
        <w:fldChar w:fldCharType="separate"/>
      </w:r>
      <w:r>
        <w:rPr>
          <w:rFonts w:hint="eastAsia" w:ascii="宋体" w:hAnsi="宋体" w:eastAsia="宋体" w:cs="宋体"/>
          <w:sz w:val="24"/>
          <w:szCs w:val="24"/>
        </w:rPr>
        <w:t>43</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594D82EF">
      <w:pPr>
        <w:pStyle w:val="13"/>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_Toc31215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1"/>
          <w:sz w:val="24"/>
          <w:szCs w:val="24"/>
          <w:highlight w:val="none"/>
        </w:rPr>
        <w:t>4</w:t>
      </w:r>
      <w:r>
        <w:rPr>
          <w:rFonts w:hint="eastAsia" w:ascii="宋体" w:hAnsi="宋体" w:eastAsia="宋体" w:cs="宋体"/>
          <w:bCs/>
          <w:spacing w:val="-11"/>
          <w:sz w:val="24"/>
          <w:szCs w:val="24"/>
          <w:highlight w:val="none"/>
          <w:lang w:eastAsia="zh-CN"/>
        </w:rPr>
        <w:t>.</w:t>
      </w:r>
      <w:r>
        <w:rPr>
          <w:rFonts w:hint="eastAsia" w:ascii="宋体" w:hAnsi="宋体" w:eastAsia="宋体" w:cs="宋体"/>
          <w:bCs/>
          <w:spacing w:val="-11"/>
          <w:sz w:val="24"/>
          <w:szCs w:val="24"/>
          <w:highlight w:val="none"/>
        </w:rPr>
        <w:t>合同订立</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_Toc31215 \h </w:instrText>
      </w:r>
      <w:r>
        <w:rPr>
          <w:rFonts w:hint="eastAsia" w:ascii="宋体" w:hAnsi="宋体" w:eastAsia="宋体" w:cs="宋体"/>
          <w:sz w:val="24"/>
          <w:szCs w:val="24"/>
        </w:rPr>
        <w:fldChar w:fldCharType="separate"/>
      </w:r>
      <w:r>
        <w:rPr>
          <w:rFonts w:hint="eastAsia" w:ascii="宋体" w:hAnsi="宋体" w:eastAsia="宋体" w:cs="宋体"/>
          <w:sz w:val="24"/>
          <w:szCs w:val="24"/>
        </w:rPr>
        <w:t>44</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1D119C74">
      <w:pPr>
        <w:pStyle w:val="13"/>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_Toc9178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1"/>
          <w:sz w:val="24"/>
          <w:szCs w:val="24"/>
          <w:highlight w:val="none"/>
        </w:rPr>
        <w:t>5</w:t>
      </w:r>
      <w:r>
        <w:rPr>
          <w:rFonts w:hint="eastAsia" w:ascii="宋体" w:hAnsi="宋体" w:eastAsia="宋体" w:cs="宋体"/>
          <w:bCs/>
          <w:spacing w:val="-11"/>
          <w:sz w:val="24"/>
          <w:szCs w:val="24"/>
          <w:highlight w:val="none"/>
          <w:lang w:eastAsia="zh-CN"/>
        </w:rPr>
        <w:t>.</w:t>
      </w:r>
      <w:r>
        <w:rPr>
          <w:rFonts w:hint="eastAsia" w:ascii="宋体" w:hAnsi="宋体" w:eastAsia="宋体" w:cs="宋体"/>
          <w:bCs/>
          <w:spacing w:val="-11"/>
          <w:sz w:val="24"/>
          <w:szCs w:val="24"/>
          <w:highlight w:val="none"/>
        </w:rPr>
        <w:t>放弃中标的处理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_Toc9178 \h </w:instrText>
      </w:r>
      <w:r>
        <w:rPr>
          <w:rFonts w:hint="eastAsia" w:ascii="宋体" w:hAnsi="宋体" w:eastAsia="宋体" w:cs="宋体"/>
          <w:sz w:val="24"/>
          <w:szCs w:val="24"/>
        </w:rPr>
        <w:fldChar w:fldCharType="separate"/>
      </w:r>
      <w:r>
        <w:rPr>
          <w:rFonts w:hint="eastAsia" w:ascii="宋体" w:hAnsi="宋体" w:eastAsia="宋体" w:cs="宋体"/>
          <w:sz w:val="24"/>
          <w:szCs w:val="24"/>
        </w:rPr>
        <w:t>45</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2264CD67">
      <w:pPr>
        <w:pStyle w:val="13"/>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_Toc11017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1"/>
          <w:sz w:val="24"/>
          <w:szCs w:val="24"/>
          <w:highlight w:val="none"/>
          <w:lang w:val="en-US" w:eastAsia="zh-CN"/>
        </w:rPr>
        <w:t>6.</w:t>
      </w:r>
      <w:r>
        <w:rPr>
          <w:rFonts w:hint="eastAsia" w:ascii="宋体" w:hAnsi="宋体" w:eastAsia="宋体" w:cs="宋体"/>
          <w:bCs/>
          <w:spacing w:val="-11"/>
          <w:sz w:val="24"/>
          <w:szCs w:val="24"/>
          <w:highlight w:val="none"/>
        </w:rPr>
        <w:t>中标项目纳入百千万工程，按照市百千万工程关于配建定比例公益项目的政策落实相关工作，中标后在签订施工合同时明确捐建比例</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_Toc11017 \h </w:instrText>
      </w:r>
      <w:r>
        <w:rPr>
          <w:rFonts w:hint="eastAsia" w:ascii="宋体" w:hAnsi="宋体" w:eastAsia="宋体" w:cs="宋体"/>
          <w:sz w:val="24"/>
          <w:szCs w:val="24"/>
        </w:rPr>
        <w:fldChar w:fldCharType="separate"/>
      </w:r>
      <w:r>
        <w:rPr>
          <w:rFonts w:hint="eastAsia" w:ascii="宋体" w:hAnsi="宋体" w:eastAsia="宋体" w:cs="宋体"/>
          <w:sz w:val="24"/>
          <w:szCs w:val="24"/>
        </w:rPr>
        <w:t>45</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57A83641">
      <w:pPr>
        <w:pStyle w:val="13"/>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_Toc16090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1"/>
          <w:sz w:val="24"/>
          <w:szCs w:val="24"/>
          <w:highlight w:val="none"/>
          <w:lang w:val="en-US" w:eastAsia="zh-CN"/>
        </w:rPr>
        <w:t>7.违约责任条款</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_Toc16090 \h </w:instrText>
      </w:r>
      <w:r>
        <w:rPr>
          <w:rFonts w:hint="eastAsia" w:ascii="宋体" w:hAnsi="宋体" w:eastAsia="宋体" w:cs="宋体"/>
          <w:sz w:val="24"/>
          <w:szCs w:val="24"/>
        </w:rPr>
        <w:fldChar w:fldCharType="separate"/>
      </w:r>
      <w:r>
        <w:rPr>
          <w:rFonts w:hint="eastAsia" w:ascii="宋体" w:hAnsi="宋体" w:eastAsia="宋体" w:cs="宋体"/>
          <w:sz w:val="24"/>
          <w:szCs w:val="24"/>
        </w:rPr>
        <w:t>45</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290A80B7">
      <w:pPr>
        <w:pStyle w:val="18"/>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_Toc7865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第三章</w:t>
      </w:r>
      <w:r>
        <w:rPr>
          <w:rFonts w:hint="eastAsia" w:ascii="宋体" w:hAnsi="宋体" w:eastAsia="宋体" w:cs="宋体"/>
          <w:spacing w:val="-3"/>
          <w:sz w:val="24"/>
          <w:szCs w:val="24"/>
          <w:highlight w:val="none"/>
          <w:lang w:val="en-US" w:eastAsia="zh-CN"/>
        </w:rPr>
        <w:t xml:space="preserve">   </w:t>
      </w:r>
      <w:r>
        <w:rPr>
          <w:rFonts w:hint="eastAsia" w:ascii="宋体" w:hAnsi="宋体" w:eastAsia="宋体" w:cs="宋体"/>
          <w:bCs/>
          <w:spacing w:val="-3"/>
          <w:sz w:val="24"/>
          <w:szCs w:val="24"/>
          <w:highlight w:val="none"/>
        </w:rPr>
        <w:t>拟签订合同的主要条款</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_Toc7865 \h </w:instrText>
      </w:r>
      <w:r>
        <w:rPr>
          <w:rFonts w:hint="eastAsia" w:ascii="宋体" w:hAnsi="宋体" w:eastAsia="宋体" w:cs="宋体"/>
          <w:sz w:val="24"/>
          <w:szCs w:val="24"/>
        </w:rPr>
        <w:fldChar w:fldCharType="separate"/>
      </w:r>
      <w:r>
        <w:rPr>
          <w:rFonts w:hint="eastAsia" w:ascii="宋体" w:hAnsi="宋体" w:eastAsia="宋体" w:cs="宋体"/>
          <w:sz w:val="24"/>
          <w:szCs w:val="24"/>
        </w:rPr>
        <w:t>47</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580F3755">
      <w:pPr>
        <w:pStyle w:val="13"/>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_Toc9942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1"/>
          <w:sz w:val="24"/>
          <w:szCs w:val="24"/>
          <w:highlight w:val="none"/>
        </w:rPr>
        <w:t>1</w:t>
      </w:r>
      <w:r>
        <w:rPr>
          <w:rFonts w:hint="eastAsia" w:ascii="宋体" w:hAnsi="宋体" w:eastAsia="宋体" w:cs="宋体"/>
          <w:bCs/>
          <w:spacing w:val="-11"/>
          <w:sz w:val="24"/>
          <w:szCs w:val="24"/>
          <w:highlight w:val="none"/>
          <w:lang w:eastAsia="zh-CN"/>
        </w:rPr>
        <w:t>.</w:t>
      </w:r>
      <w:r>
        <w:rPr>
          <w:rFonts w:hint="eastAsia" w:ascii="宋体" w:hAnsi="宋体" w:eastAsia="宋体" w:cs="宋体"/>
          <w:bCs/>
          <w:spacing w:val="-11"/>
          <w:sz w:val="24"/>
          <w:szCs w:val="24"/>
          <w:highlight w:val="none"/>
        </w:rPr>
        <w:t>工程承包方式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_Toc9942 \h </w:instrText>
      </w:r>
      <w:r>
        <w:rPr>
          <w:rFonts w:hint="eastAsia" w:ascii="宋体" w:hAnsi="宋体" w:eastAsia="宋体" w:cs="宋体"/>
          <w:sz w:val="24"/>
          <w:szCs w:val="24"/>
        </w:rPr>
        <w:fldChar w:fldCharType="separate"/>
      </w:r>
      <w:r>
        <w:rPr>
          <w:rFonts w:hint="eastAsia" w:ascii="宋体" w:hAnsi="宋体" w:eastAsia="宋体" w:cs="宋体"/>
          <w:sz w:val="24"/>
          <w:szCs w:val="24"/>
        </w:rPr>
        <w:t>47</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565277C0">
      <w:pPr>
        <w:pStyle w:val="13"/>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_Toc27206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1"/>
          <w:sz w:val="24"/>
          <w:szCs w:val="24"/>
          <w:highlight w:val="none"/>
        </w:rPr>
        <w:t>2</w:t>
      </w:r>
      <w:r>
        <w:rPr>
          <w:rFonts w:hint="eastAsia" w:ascii="宋体" w:hAnsi="宋体" w:eastAsia="宋体" w:cs="宋体"/>
          <w:bCs/>
          <w:spacing w:val="-11"/>
          <w:sz w:val="24"/>
          <w:szCs w:val="24"/>
          <w:highlight w:val="none"/>
          <w:lang w:eastAsia="zh-CN"/>
        </w:rPr>
        <w:t>.</w:t>
      </w:r>
      <w:r>
        <w:rPr>
          <w:rFonts w:hint="eastAsia" w:ascii="宋体" w:hAnsi="宋体" w:eastAsia="宋体" w:cs="宋体"/>
          <w:bCs/>
          <w:spacing w:val="-11"/>
          <w:sz w:val="24"/>
          <w:szCs w:val="24"/>
          <w:highlight w:val="none"/>
        </w:rPr>
        <w:t>工程结算原则</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_Toc27206 \h </w:instrText>
      </w:r>
      <w:r>
        <w:rPr>
          <w:rFonts w:hint="eastAsia" w:ascii="宋体" w:hAnsi="宋体" w:eastAsia="宋体" w:cs="宋体"/>
          <w:sz w:val="24"/>
          <w:szCs w:val="24"/>
        </w:rPr>
        <w:fldChar w:fldCharType="separate"/>
      </w:r>
      <w:r>
        <w:rPr>
          <w:rFonts w:hint="eastAsia" w:ascii="宋体" w:hAnsi="宋体" w:eastAsia="宋体" w:cs="宋体"/>
          <w:sz w:val="24"/>
          <w:szCs w:val="24"/>
        </w:rPr>
        <w:t>47</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17EEFCBE">
      <w:pPr>
        <w:pStyle w:val="13"/>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_Toc21454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1"/>
          <w:sz w:val="24"/>
          <w:szCs w:val="24"/>
          <w:highlight w:val="none"/>
        </w:rPr>
        <w:t>3. 工程付款办法</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_Toc21454 \h </w:instrText>
      </w:r>
      <w:r>
        <w:rPr>
          <w:rFonts w:hint="eastAsia" w:ascii="宋体" w:hAnsi="宋体" w:eastAsia="宋体" w:cs="宋体"/>
          <w:sz w:val="24"/>
          <w:szCs w:val="24"/>
        </w:rPr>
        <w:fldChar w:fldCharType="separate"/>
      </w:r>
      <w:r>
        <w:rPr>
          <w:rFonts w:hint="eastAsia" w:ascii="宋体" w:hAnsi="宋体" w:eastAsia="宋体" w:cs="宋体"/>
          <w:sz w:val="24"/>
          <w:szCs w:val="24"/>
        </w:rPr>
        <w:t>53</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080EACE7">
      <w:pPr>
        <w:pStyle w:val="13"/>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_Toc26143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1"/>
          <w:sz w:val="24"/>
          <w:szCs w:val="24"/>
          <w:highlight w:val="none"/>
        </w:rPr>
        <w:t>4</w:t>
      </w:r>
      <w:r>
        <w:rPr>
          <w:rFonts w:hint="eastAsia" w:ascii="宋体" w:hAnsi="宋体" w:eastAsia="宋体" w:cs="宋体"/>
          <w:bCs/>
          <w:spacing w:val="-11"/>
          <w:sz w:val="24"/>
          <w:szCs w:val="24"/>
          <w:highlight w:val="none"/>
          <w:lang w:eastAsia="zh-CN"/>
        </w:rPr>
        <w:t>.</w:t>
      </w:r>
      <w:r>
        <w:rPr>
          <w:rFonts w:hint="eastAsia" w:ascii="宋体" w:hAnsi="宋体" w:eastAsia="宋体" w:cs="宋体"/>
          <w:bCs/>
          <w:spacing w:val="-11"/>
          <w:sz w:val="24"/>
          <w:szCs w:val="24"/>
          <w:highlight w:val="none"/>
        </w:rPr>
        <w:t>其他专用合同条款</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_Toc26143 \h </w:instrText>
      </w:r>
      <w:r>
        <w:rPr>
          <w:rFonts w:hint="eastAsia" w:ascii="宋体" w:hAnsi="宋体" w:eastAsia="宋体" w:cs="宋体"/>
          <w:sz w:val="24"/>
          <w:szCs w:val="24"/>
        </w:rPr>
        <w:fldChar w:fldCharType="separate"/>
      </w:r>
      <w:r>
        <w:rPr>
          <w:rFonts w:hint="eastAsia" w:ascii="宋体" w:hAnsi="宋体" w:eastAsia="宋体" w:cs="宋体"/>
          <w:sz w:val="24"/>
          <w:szCs w:val="24"/>
        </w:rPr>
        <w:t>53</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2435D3D3">
      <w:pPr>
        <w:pStyle w:val="13"/>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_Toc17187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1"/>
          <w:sz w:val="24"/>
          <w:szCs w:val="24"/>
          <w:highlight w:val="none"/>
          <w:lang w:val="en-US" w:eastAsia="zh-CN"/>
        </w:rPr>
        <w:t>5.</w:t>
      </w:r>
      <w:r>
        <w:rPr>
          <w:rFonts w:hint="eastAsia" w:ascii="宋体" w:hAnsi="宋体" w:eastAsia="宋体" w:cs="宋体"/>
          <w:bCs/>
          <w:spacing w:val="-11"/>
          <w:sz w:val="24"/>
          <w:szCs w:val="24"/>
          <w:highlight w:val="none"/>
        </w:rPr>
        <w:t>工期进度</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_Toc17187 \h </w:instrText>
      </w:r>
      <w:r>
        <w:rPr>
          <w:rFonts w:hint="eastAsia" w:ascii="宋体" w:hAnsi="宋体" w:eastAsia="宋体" w:cs="宋体"/>
          <w:sz w:val="24"/>
          <w:szCs w:val="24"/>
        </w:rPr>
        <w:fldChar w:fldCharType="separate"/>
      </w:r>
      <w:r>
        <w:rPr>
          <w:rFonts w:hint="eastAsia" w:ascii="宋体" w:hAnsi="宋体" w:eastAsia="宋体" w:cs="宋体"/>
          <w:sz w:val="24"/>
          <w:szCs w:val="24"/>
        </w:rPr>
        <w:t>56</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2D5FE806">
      <w:pPr>
        <w:pStyle w:val="13"/>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_Toc11809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1"/>
          <w:sz w:val="24"/>
          <w:szCs w:val="24"/>
          <w:highlight w:val="none"/>
          <w:lang w:val="en-US" w:eastAsia="zh-CN"/>
        </w:rPr>
        <w:t>6.项目管理机构</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_Toc11809 \h </w:instrText>
      </w:r>
      <w:r>
        <w:rPr>
          <w:rFonts w:hint="eastAsia" w:ascii="宋体" w:hAnsi="宋体" w:eastAsia="宋体" w:cs="宋体"/>
          <w:sz w:val="24"/>
          <w:szCs w:val="24"/>
        </w:rPr>
        <w:fldChar w:fldCharType="separate"/>
      </w:r>
      <w:r>
        <w:rPr>
          <w:rFonts w:hint="eastAsia" w:ascii="宋体" w:hAnsi="宋体" w:eastAsia="宋体" w:cs="宋体"/>
          <w:sz w:val="24"/>
          <w:szCs w:val="24"/>
        </w:rPr>
        <w:t>57</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16716D0F">
      <w:pPr>
        <w:pStyle w:val="13"/>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_Toc27956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1"/>
          <w:sz w:val="24"/>
          <w:szCs w:val="24"/>
          <w:highlight w:val="none"/>
          <w:lang w:val="en-US" w:eastAsia="zh-CN"/>
        </w:rPr>
        <w:t>7.现场管理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_Toc27956 \h </w:instrText>
      </w:r>
      <w:r>
        <w:rPr>
          <w:rFonts w:hint="eastAsia" w:ascii="宋体" w:hAnsi="宋体" w:eastAsia="宋体" w:cs="宋体"/>
          <w:sz w:val="24"/>
          <w:szCs w:val="24"/>
        </w:rPr>
        <w:fldChar w:fldCharType="separate"/>
      </w:r>
      <w:r>
        <w:rPr>
          <w:rFonts w:hint="eastAsia" w:ascii="宋体" w:hAnsi="宋体" w:eastAsia="宋体" w:cs="宋体"/>
          <w:sz w:val="24"/>
          <w:szCs w:val="24"/>
        </w:rPr>
        <w:t>57</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7CC6AF1A">
      <w:pPr>
        <w:pStyle w:val="13"/>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_Toc23878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1"/>
          <w:sz w:val="24"/>
          <w:szCs w:val="24"/>
          <w:highlight w:val="none"/>
          <w:lang w:val="en-US" w:eastAsia="zh-CN"/>
        </w:rPr>
        <w:t>8.监督实施</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_Toc23878 \h </w:instrText>
      </w:r>
      <w:r>
        <w:rPr>
          <w:rFonts w:hint="eastAsia" w:ascii="宋体" w:hAnsi="宋体" w:eastAsia="宋体" w:cs="宋体"/>
          <w:sz w:val="24"/>
          <w:szCs w:val="24"/>
        </w:rPr>
        <w:fldChar w:fldCharType="separate"/>
      </w:r>
      <w:r>
        <w:rPr>
          <w:rFonts w:hint="eastAsia" w:ascii="宋体" w:hAnsi="宋体" w:eastAsia="宋体" w:cs="宋体"/>
          <w:sz w:val="24"/>
          <w:szCs w:val="24"/>
        </w:rPr>
        <w:t>57</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0FDC2C75">
      <w:pPr>
        <w:pStyle w:val="13"/>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_Toc15584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1"/>
          <w:sz w:val="24"/>
          <w:szCs w:val="24"/>
          <w:highlight w:val="none"/>
          <w:lang w:val="en-US" w:eastAsia="zh-CN"/>
        </w:rPr>
        <w:t>9.主材的采购和使用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_Toc15584 \h </w:instrText>
      </w:r>
      <w:r>
        <w:rPr>
          <w:rFonts w:hint="eastAsia" w:ascii="宋体" w:hAnsi="宋体" w:eastAsia="宋体" w:cs="宋体"/>
          <w:sz w:val="24"/>
          <w:szCs w:val="24"/>
        </w:rPr>
        <w:fldChar w:fldCharType="separate"/>
      </w:r>
      <w:r>
        <w:rPr>
          <w:rFonts w:hint="eastAsia" w:ascii="宋体" w:hAnsi="宋体" w:eastAsia="宋体" w:cs="宋体"/>
          <w:sz w:val="24"/>
          <w:szCs w:val="24"/>
        </w:rPr>
        <w:t>57</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1B3BE983">
      <w:pPr>
        <w:pStyle w:val="13"/>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_Toc10125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1"/>
          <w:sz w:val="24"/>
          <w:szCs w:val="24"/>
          <w:highlight w:val="none"/>
          <w:lang w:val="en-US" w:eastAsia="zh-CN"/>
        </w:rPr>
        <w:t>10.竣工资料移交</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_Toc10125 \h </w:instrText>
      </w:r>
      <w:r>
        <w:rPr>
          <w:rFonts w:hint="eastAsia" w:ascii="宋体" w:hAnsi="宋体" w:eastAsia="宋体" w:cs="宋体"/>
          <w:sz w:val="24"/>
          <w:szCs w:val="24"/>
        </w:rPr>
        <w:fldChar w:fldCharType="separate"/>
      </w:r>
      <w:r>
        <w:rPr>
          <w:rFonts w:hint="eastAsia" w:ascii="宋体" w:hAnsi="宋体" w:eastAsia="宋体" w:cs="宋体"/>
          <w:sz w:val="24"/>
          <w:szCs w:val="24"/>
        </w:rPr>
        <w:t>58</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2D368160">
      <w:pPr>
        <w:pStyle w:val="13"/>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_Toc16452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1"/>
          <w:sz w:val="24"/>
          <w:szCs w:val="24"/>
          <w:highlight w:val="none"/>
          <w:lang w:val="en-US" w:eastAsia="zh-CN"/>
        </w:rPr>
        <w:t>11.质量保证</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_Toc16452 \h </w:instrText>
      </w:r>
      <w:r>
        <w:rPr>
          <w:rFonts w:hint="eastAsia" w:ascii="宋体" w:hAnsi="宋体" w:eastAsia="宋体" w:cs="宋体"/>
          <w:sz w:val="24"/>
          <w:szCs w:val="24"/>
        </w:rPr>
        <w:fldChar w:fldCharType="separate"/>
      </w:r>
      <w:r>
        <w:rPr>
          <w:rFonts w:hint="eastAsia" w:ascii="宋体" w:hAnsi="宋体" w:eastAsia="宋体" w:cs="宋体"/>
          <w:sz w:val="24"/>
          <w:szCs w:val="24"/>
        </w:rPr>
        <w:t>58</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57E8DFB3">
      <w:pPr>
        <w:pStyle w:val="13"/>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_Toc19544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1"/>
          <w:sz w:val="24"/>
          <w:szCs w:val="24"/>
          <w:highlight w:val="none"/>
          <w:lang w:val="en-US" w:eastAsia="zh-CN"/>
        </w:rPr>
        <w:t>12.不良行为处理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_Toc19544 \h </w:instrText>
      </w:r>
      <w:r>
        <w:rPr>
          <w:rFonts w:hint="eastAsia" w:ascii="宋体" w:hAnsi="宋体" w:eastAsia="宋体" w:cs="宋体"/>
          <w:sz w:val="24"/>
          <w:szCs w:val="24"/>
        </w:rPr>
        <w:fldChar w:fldCharType="separate"/>
      </w:r>
      <w:r>
        <w:rPr>
          <w:rFonts w:hint="eastAsia" w:ascii="宋体" w:hAnsi="宋体" w:eastAsia="宋体" w:cs="宋体"/>
          <w:sz w:val="24"/>
          <w:szCs w:val="24"/>
        </w:rPr>
        <w:t>58</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043FA59F">
      <w:pPr>
        <w:pStyle w:val="13"/>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_Toc17443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1"/>
          <w:sz w:val="24"/>
          <w:szCs w:val="24"/>
          <w:highlight w:val="none"/>
          <w:lang w:val="en-US" w:eastAsia="zh-CN"/>
        </w:rPr>
        <w:t>13.信用评价条款内容</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_Toc17443 \h </w:instrText>
      </w:r>
      <w:r>
        <w:rPr>
          <w:rFonts w:hint="eastAsia" w:ascii="宋体" w:hAnsi="宋体" w:eastAsia="宋体" w:cs="宋体"/>
          <w:sz w:val="24"/>
          <w:szCs w:val="24"/>
        </w:rPr>
        <w:fldChar w:fldCharType="separate"/>
      </w:r>
      <w:r>
        <w:rPr>
          <w:rFonts w:hint="eastAsia" w:ascii="宋体" w:hAnsi="宋体" w:eastAsia="宋体" w:cs="宋体"/>
          <w:sz w:val="24"/>
          <w:szCs w:val="24"/>
        </w:rPr>
        <w:t>59</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2CAA99AB">
      <w:pPr>
        <w:pStyle w:val="13"/>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_Toc27802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1"/>
          <w:sz w:val="24"/>
          <w:szCs w:val="24"/>
          <w:highlight w:val="none"/>
          <w:lang w:val="en-US" w:eastAsia="zh-CN"/>
        </w:rPr>
        <w:t>14.其他事项</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_Toc27802 \h </w:instrText>
      </w:r>
      <w:r>
        <w:rPr>
          <w:rFonts w:hint="eastAsia" w:ascii="宋体" w:hAnsi="宋体" w:eastAsia="宋体" w:cs="宋体"/>
          <w:sz w:val="24"/>
          <w:szCs w:val="24"/>
        </w:rPr>
        <w:fldChar w:fldCharType="separate"/>
      </w:r>
      <w:r>
        <w:rPr>
          <w:rFonts w:hint="eastAsia" w:ascii="宋体" w:hAnsi="宋体" w:eastAsia="宋体" w:cs="宋体"/>
          <w:sz w:val="24"/>
          <w:szCs w:val="24"/>
        </w:rPr>
        <w:t>59</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78B4BDF7">
      <w:pPr>
        <w:pStyle w:val="13"/>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_Toc22494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1"/>
          <w:sz w:val="24"/>
          <w:szCs w:val="24"/>
          <w:highlight w:val="none"/>
          <w:lang w:val="en-US" w:eastAsia="zh-CN"/>
        </w:rPr>
        <w:t>15.违约及质量保证条款</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_Toc22494 \h </w:instrText>
      </w:r>
      <w:r>
        <w:rPr>
          <w:rFonts w:hint="eastAsia" w:ascii="宋体" w:hAnsi="宋体" w:eastAsia="宋体" w:cs="宋体"/>
          <w:sz w:val="24"/>
          <w:szCs w:val="24"/>
        </w:rPr>
        <w:fldChar w:fldCharType="separate"/>
      </w:r>
      <w:r>
        <w:rPr>
          <w:rFonts w:hint="eastAsia" w:ascii="宋体" w:hAnsi="宋体" w:eastAsia="宋体" w:cs="宋体"/>
          <w:sz w:val="24"/>
          <w:szCs w:val="24"/>
        </w:rPr>
        <w:t>66</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3B2F5694">
      <w:pPr>
        <w:pStyle w:val="18"/>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_Toc27525 </w:instrText>
      </w:r>
      <w:r>
        <w:rPr>
          <w:rFonts w:hint="eastAsia" w:ascii="宋体" w:hAnsi="宋体" w:eastAsia="宋体" w:cs="宋体"/>
          <w:sz w:val="24"/>
          <w:szCs w:val="24"/>
          <w:highlight w:val="none"/>
        </w:rPr>
        <w:fldChar w:fldCharType="separate"/>
      </w:r>
      <w:r>
        <w:rPr>
          <w:rFonts w:hint="eastAsia" w:ascii="宋体" w:hAnsi="宋体" w:eastAsia="宋体" w:cs="宋体"/>
          <w:snapToGrid w:val="0"/>
          <w:sz w:val="24"/>
          <w:szCs w:val="24"/>
          <w:highlight w:val="none"/>
        </w:rPr>
        <w:t>第四章</w:t>
      </w:r>
      <w:r>
        <w:rPr>
          <w:rFonts w:hint="eastAsia" w:ascii="宋体" w:hAnsi="宋体" w:eastAsia="宋体" w:cs="宋体"/>
          <w:snapToGrid w:val="0"/>
          <w:sz w:val="24"/>
          <w:szCs w:val="24"/>
          <w:highlight w:val="none"/>
          <w:lang w:val="en-US" w:eastAsia="zh-CN"/>
        </w:rPr>
        <w:t xml:space="preserve">   </w:t>
      </w:r>
      <w:r>
        <w:rPr>
          <w:rFonts w:hint="eastAsia" w:ascii="宋体" w:hAnsi="宋体" w:eastAsia="宋体" w:cs="宋体"/>
          <w:snapToGrid w:val="0"/>
          <w:sz w:val="24"/>
          <w:szCs w:val="24"/>
          <w:highlight w:val="none"/>
        </w:rPr>
        <w:t>技术要求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_Toc27525 \h </w:instrText>
      </w:r>
      <w:r>
        <w:rPr>
          <w:rFonts w:hint="eastAsia" w:ascii="宋体" w:hAnsi="宋体" w:eastAsia="宋体" w:cs="宋体"/>
          <w:sz w:val="24"/>
          <w:szCs w:val="24"/>
        </w:rPr>
        <w:fldChar w:fldCharType="separate"/>
      </w:r>
      <w:r>
        <w:rPr>
          <w:rFonts w:hint="eastAsia" w:ascii="宋体" w:hAnsi="宋体" w:eastAsia="宋体" w:cs="宋体"/>
          <w:sz w:val="24"/>
          <w:szCs w:val="24"/>
        </w:rPr>
        <w:t>71</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33F8E46D">
      <w:pPr>
        <w:pStyle w:val="13"/>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_Toc26090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1"/>
          <w:sz w:val="24"/>
          <w:szCs w:val="24"/>
          <w:highlight w:val="none"/>
          <w:lang w:val="en-US" w:eastAsia="zh-CN"/>
        </w:rPr>
        <w:t>1.房屋建筑工程建设项目</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_Toc26090 \h </w:instrText>
      </w:r>
      <w:r>
        <w:rPr>
          <w:rFonts w:hint="eastAsia" w:ascii="宋体" w:hAnsi="宋体" w:eastAsia="宋体" w:cs="宋体"/>
          <w:sz w:val="24"/>
          <w:szCs w:val="24"/>
        </w:rPr>
        <w:fldChar w:fldCharType="separate"/>
      </w:r>
      <w:r>
        <w:rPr>
          <w:rFonts w:hint="eastAsia" w:ascii="宋体" w:hAnsi="宋体" w:eastAsia="宋体" w:cs="宋体"/>
          <w:sz w:val="24"/>
          <w:szCs w:val="24"/>
        </w:rPr>
        <w:t>71</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193270D4">
      <w:pPr>
        <w:pStyle w:val="13"/>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_Toc30106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1"/>
          <w:sz w:val="24"/>
          <w:szCs w:val="24"/>
          <w:highlight w:val="none"/>
          <w:lang w:val="en-US" w:eastAsia="zh-CN"/>
        </w:rPr>
        <w:t>2.市政基础设施工程建设项目</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_Toc30106 \h </w:instrText>
      </w:r>
      <w:r>
        <w:rPr>
          <w:rFonts w:hint="eastAsia" w:ascii="宋体" w:hAnsi="宋体" w:eastAsia="宋体" w:cs="宋体"/>
          <w:sz w:val="24"/>
          <w:szCs w:val="24"/>
        </w:rPr>
        <w:fldChar w:fldCharType="separate"/>
      </w:r>
      <w:r>
        <w:rPr>
          <w:rFonts w:hint="eastAsia" w:ascii="宋体" w:hAnsi="宋体" w:eastAsia="宋体" w:cs="宋体"/>
          <w:sz w:val="24"/>
          <w:szCs w:val="24"/>
        </w:rPr>
        <w:t>71</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3D49CE73">
      <w:pPr>
        <w:pStyle w:val="13"/>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_Toc11550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1"/>
          <w:sz w:val="24"/>
          <w:szCs w:val="24"/>
          <w:highlight w:val="none"/>
          <w:lang w:val="en-US" w:eastAsia="zh-CN"/>
        </w:rPr>
        <w:t>3.备查要求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_Toc11550 \h </w:instrText>
      </w:r>
      <w:r>
        <w:rPr>
          <w:rFonts w:hint="eastAsia" w:ascii="宋体" w:hAnsi="宋体" w:eastAsia="宋体" w:cs="宋体"/>
          <w:sz w:val="24"/>
          <w:szCs w:val="24"/>
        </w:rPr>
        <w:fldChar w:fldCharType="separate"/>
      </w:r>
      <w:r>
        <w:rPr>
          <w:rFonts w:hint="eastAsia" w:ascii="宋体" w:hAnsi="宋体" w:eastAsia="宋体" w:cs="宋体"/>
          <w:sz w:val="24"/>
          <w:szCs w:val="24"/>
        </w:rPr>
        <w:t>72</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42F95DB7">
      <w:pPr>
        <w:pStyle w:val="18"/>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_Toc26952 </w:instrText>
      </w:r>
      <w:r>
        <w:rPr>
          <w:rFonts w:hint="eastAsia" w:ascii="宋体" w:hAnsi="宋体" w:eastAsia="宋体" w:cs="宋体"/>
          <w:sz w:val="24"/>
          <w:szCs w:val="24"/>
          <w:highlight w:val="none"/>
        </w:rPr>
        <w:fldChar w:fldCharType="separate"/>
      </w:r>
      <w:r>
        <w:rPr>
          <w:rFonts w:hint="eastAsia" w:ascii="宋体" w:hAnsi="宋体" w:eastAsia="宋体" w:cs="宋体"/>
          <w:snapToGrid w:val="0"/>
          <w:sz w:val="24"/>
          <w:szCs w:val="24"/>
          <w:highlight w:val="none"/>
        </w:rPr>
        <w:t>第五章</w:t>
      </w:r>
      <w:r>
        <w:rPr>
          <w:rFonts w:hint="eastAsia" w:ascii="宋体" w:hAnsi="宋体" w:eastAsia="宋体" w:cs="宋体"/>
          <w:snapToGrid w:val="0"/>
          <w:sz w:val="24"/>
          <w:szCs w:val="24"/>
          <w:highlight w:val="none"/>
          <w:lang w:val="en-US" w:eastAsia="zh-CN"/>
        </w:rPr>
        <w:t xml:space="preserve">   </w:t>
      </w:r>
      <w:r>
        <w:rPr>
          <w:rFonts w:hint="eastAsia" w:ascii="宋体" w:hAnsi="宋体" w:eastAsia="宋体" w:cs="宋体"/>
          <w:snapToGrid w:val="0"/>
          <w:sz w:val="24"/>
          <w:szCs w:val="24"/>
          <w:highlight w:val="none"/>
        </w:rPr>
        <w:t>图纸和招标工程量清单</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_Toc26952 \h </w:instrText>
      </w:r>
      <w:r>
        <w:rPr>
          <w:rFonts w:hint="eastAsia" w:ascii="宋体" w:hAnsi="宋体" w:eastAsia="宋体" w:cs="宋体"/>
          <w:sz w:val="24"/>
          <w:szCs w:val="24"/>
        </w:rPr>
        <w:fldChar w:fldCharType="separate"/>
      </w:r>
      <w:r>
        <w:rPr>
          <w:rFonts w:hint="eastAsia" w:ascii="宋体" w:hAnsi="宋体" w:eastAsia="宋体" w:cs="宋体"/>
          <w:sz w:val="24"/>
          <w:szCs w:val="24"/>
        </w:rPr>
        <w:t>73</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7258833A">
      <w:pPr>
        <w:pStyle w:val="13"/>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_Toc2389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1"/>
          <w:sz w:val="24"/>
          <w:szCs w:val="24"/>
          <w:highlight w:val="none"/>
          <w:lang w:val="en-US" w:eastAsia="zh-CN"/>
        </w:rPr>
        <w:t>1.图纸</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_Toc2389 \h </w:instrText>
      </w:r>
      <w:r>
        <w:rPr>
          <w:rFonts w:hint="eastAsia" w:ascii="宋体" w:hAnsi="宋体" w:eastAsia="宋体" w:cs="宋体"/>
          <w:sz w:val="24"/>
          <w:szCs w:val="24"/>
        </w:rPr>
        <w:fldChar w:fldCharType="separate"/>
      </w:r>
      <w:r>
        <w:rPr>
          <w:rFonts w:hint="eastAsia" w:ascii="宋体" w:hAnsi="宋体" w:eastAsia="宋体" w:cs="宋体"/>
          <w:sz w:val="24"/>
          <w:szCs w:val="24"/>
        </w:rPr>
        <w:t>73</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6838804E">
      <w:pPr>
        <w:pStyle w:val="13"/>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_Toc30082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1"/>
          <w:sz w:val="24"/>
          <w:szCs w:val="24"/>
          <w:highlight w:val="none"/>
          <w:lang w:val="en-US" w:eastAsia="zh-CN"/>
        </w:rPr>
        <w:t>2.招标工程量清单</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_Toc30082 \h </w:instrText>
      </w:r>
      <w:r>
        <w:rPr>
          <w:rFonts w:hint="eastAsia" w:ascii="宋体" w:hAnsi="宋体" w:eastAsia="宋体" w:cs="宋体"/>
          <w:sz w:val="24"/>
          <w:szCs w:val="24"/>
        </w:rPr>
        <w:fldChar w:fldCharType="separate"/>
      </w:r>
      <w:r>
        <w:rPr>
          <w:rFonts w:hint="eastAsia" w:ascii="宋体" w:hAnsi="宋体" w:eastAsia="宋体" w:cs="宋体"/>
          <w:sz w:val="24"/>
          <w:szCs w:val="24"/>
        </w:rPr>
        <w:t>73</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044AEF16">
      <w:pPr>
        <w:pStyle w:val="18"/>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_Toc11826 </w:instrText>
      </w:r>
      <w:r>
        <w:rPr>
          <w:rFonts w:hint="eastAsia" w:ascii="宋体" w:hAnsi="宋体" w:eastAsia="宋体" w:cs="宋体"/>
          <w:sz w:val="24"/>
          <w:szCs w:val="24"/>
          <w:highlight w:val="none"/>
        </w:rPr>
        <w:fldChar w:fldCharType="separate"/>
      </w:r>
      <w:r>
        <w:rPr>
          <w:rFonts w:hint="eastAsia" w:ascii="宋体" w:hAnsi="宋体" w:eastAsia="宋体" w:cs="宋体"/>
          <w:snapToGrid w:val="0"/>
          <w:sz w:val="24"/>
          <w:szCs w:val="24"/>
          <w:highlight w:val="none"/>
        </w:rPr>
        <w:t>第六章</w:t>
      </w:r>
      <w:r>
        <w:rPr>
          <w:rFonts w:hint="eastAsia" w:ascii="宋体" w:hAnsi="宋体" w:eastAsia="宋体" w:cs="宋体"/>
          <w:snapToGrid w:val="0"/>
          <w:sz w:val="24"/>
          <w:szCs w:val="24"/>
          <w:highlight w:val="none"/>
          <w:lang w:val="en-US" w:eastAsia="zh-CN"/>
        </w:rPr>
        <w:t xml:space="preserve">   </w:t>
      </w:r>
      <w:r>
        <w:rPr>
          <w:rFonts w:hint="eastAsia" w:ascii="宋体" w:hAnsi="宋体" w:eastAsia="宋体" w:cs="宋体"/>
          <w:snapToGrid w:val="0"/>
          <w:sz w:val="24"/>
          <w:szCs w:val="24"/>
          <w:highlight w:val="none"/>
        </w:rPr>
        <w:t>投标文件格式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_Toc11826 \h </w:instrText>
      </w:r>
      <w:r>
        <w:rPr>
          <w:rFonts w:hint="eastAsia" w:ascii="宋体" w:hAnsi="宋体" w:eastAsia="宋体" w:cs="宋体"/>
          <w:sz w:val="24"/>
          <w:szCs w:val="24"/>
        </w:rPr>
        <w:fldChar w:fldCharType="separate"/>
      </w:r>
      <w:r>
        <w:rPr>
          <w:rFonts w:hint="eastAsia" w:ascii="宋体" w:hAnsi="宋体" w:eastAsia="宋体" w:cs="宋体"/>
          <w:sz w:val="24"/>
          <w:szCs w:val="24"/>
        </w:rPr>
        <w:t>74</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40D08625">
      <w:pPr>
        <w:pStyle w:val="13"/>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_Toc9708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1"/>
          <w:sz w:val="24"/>
          <w:szCs w:val="24"/>
          <w:highlight w:val="none"/>
          <w:lang w:val="en-US" w:eastAsia="zh-CN"/>
        </w:rPr>
        <w:t>格式一   封面</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_Toc9708 \h </w:instrText>
      </w:r>
      <w:r>
        <w:rPr>
          <w:rFonts w:hint="eastAsia" w:ascii="宋体" w:hAnsi="宋体" w:eastAsia="宋体" w:cs="宋体"/>
          <w:sz w:val="24"/>
          <w:szCs w:val="24"/>
        </w:rPr>
        <w:fldChar w:fldCharType="separate"/>
      </w:r>
      <w:r>
        <w:rPr>
          <w:rFonts w:hint="eastAsia" w:ascii="宋体" w:hAnsi="宋体" w:eastAsia="宋体" w:cs="宋体"/>
          <w:sz w:val="24"/>
          <w:szCs w:val="24"/>
        </w:rPr>
        <w:t>74</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5F9D2130">
      <w:pPr>
        <w:pStyle w:val="13"/>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_Toc19730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1"/>
          <w:sz w:val="24"/>
          <w:szCs w:val="24"/>
          <w:highlight w:val="none"/>
          <w:lang w:val="en-US" w:eastAsia="zh-CN"/>
        </w:rPr>
        <w:t>格式二   投标函</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_Toc19730 \h </w:instrText>
      </w:r>
      <w:r>
        <w:rPr>
          <w:rFonts w:hint="eastAsia" w:ascii="宋体" w:hAnsi="宋体" w:eastAsia="宋体" w:cs="宋体"/>
          <w:sz w:val="24"/>
          <w:szCs w:val="24"/>
        </w:rPr>
        <w:fldChar w:fldCharType="separate"/>
      </w:r>
      <w:r>
        <w:rPr>
          <w:rFonts w:hint="eastAsia" w:ascii="宋体" w:hAnsi="宋体" w:eastAsia="宋体" w:cs="宋体"/>
          <w:sz w:val="24"/>
          <w:szCs w:val="24"/>
        </w:rPr>
        <w:t>75</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42CFE8A5">
      <w:pPr>
        <w:pStyle w:val="13"/>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_Toc4499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1"/>
          <w:sz w:val="24"/>
          <w:szCs w:val="24"/>
          <w:highlight w:val="none"/>
          <w:lang w:val="en-US" w:eastAsia="zh-CN"/>
        </w:rPr>
        <w:t>格式三   各项承诺一览表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_Toc4499 \h </w:instrText>
      </w:r>
      <w:r>
        <w:rPr>
          <w:rFonts w:hint="eastAsia" w:ascii="宋体" w:hAnsi="宋体" w:eastAsia="宋体" w:cs="宋体"/>
          <w:sz w:val="24"/>
          <w:szCs w:val="24"/>
        </w:rPr>
        <w:fldChar w:fldCharType="separate"/>
      </w:r>
      <w:r>
        <w:rPr>
          <w:rFonts w:hint="eastAsia" w:ascii="宋体" w:hAnsi="宋体" w:eastAsia="宋体" w:cs="宋体"/>
          <w:sz w:val="24"/>
          <w:szCs w:val="24"/>
        </w:rPr>
        <w:t>76</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7942AE88">
      <w:pPr>
        <w:pStyle w:val="13"/>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_Toc10088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1"/>
          <w:sz w:val="24"/>
          <w:szCs w:val="24"/>
          <w:highlight w:val="none"/>
          <w:lang w:val="en-US" w:eastAsia="zh-CN"/>
        </w:rPr>
        <w:t>格式四   授权委托书</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_Toc10088 \h </w:instrText>
      </w:r>
      <w:r>
        <w:rPr>
          <w:rFonts w:hint="eastAsia" w:ascii="宋体" w:hAnsi="宋体" w:eastAsia="宋体" w:cs="宋体"/>
          <w:sz w:val="24"/>
          <w:szCs w:val="24"/>
        </w:rPr>
        <w:fldChar w:fldCharType="separate"/>
      </w:r>
      <w:r>
        <w:rPr>
          <w:rFonts w:hint="eastAsia" w:ascii="宋体" w:hAnsi="宋体" w:eastAsia="宋体" w:cs="宋体"/>
          <w:sz w:val="24"/>
          <w:szCs w:val="24"/>
        </w:rPr>
        <w:t>78</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00153A87">
      <w:pPr>
        <w:pStyle w:val="13"/>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_Toc18510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1"/>
          <w:sz w:val="24"/>
          <w:szCs w:val="24"/>
          <w:highlight w:val="none"/>
          <w:lang w:val="en-US" w:eastAsia="zh-CN"/>
        </w:rPr>
        <w:t>格式五   法定代表人身份证明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_Toc18510 \h </w:instrText>
      </w:r>
      <w:r>
        <w:rPr>
          <w:rFonts w:hint="eastAsia" w:ascii="宋体" w:hAnsi="宋体" w:eastAsia="宋体" w:cs="宋体"/>
          <w:sz w:val="24"/>
          <w:szCs w:val="24"/>
        </w:rPr>
        <w:fldChar w:fldCharType="separate"/>
      </w:r>
      <w:r>
        <w:rPr>
          <w:rFonts w:hint="eastAsia" w:ascii="宋体" w:hAnsi="宋体" w:eastAsia="宋体" w:cs="宋体"/>
          <w:sz w:val="24"/>
          <w:szCs w:val="24"/>
        </w:rPr>
        <w:t>79</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2FEF0268">
      <w:pPr>
        <w:pStyle w:val="13"/>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_Toc22808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1"/>
          <w:sz w:val="24"/>
          <w:szCs w:val="24"/>
          <w:highlight w:val="none"/>
          <w:lang w:val="en-US" w:eastAsia="zh-CN"/>
        </w:rPr>
        <w:t>格式六    投标人基本情况表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_Toc22808 \h </w:instrText>
      </w:r>
      <w:r>
        <w:rPr>
          <w:rFonts w:hint="eastAsia" w:ascii="宋体" w:hAnsi="宋体" w:eastAsia="宋体" w:cs="宋体"/>
          <w:sz w:val="24"/>
          <w:szCs w:val="24"/>
        </w:rPr>
        <w:fldChar w:fldCharType="separate"/>
      </w:r>
      <w:r>
        <w:rPr>
          <w:rFonts w:hint="eastAsia" w:ascii="宋体" w:hAnsi="宋体" w:eastAsia="宋体" w:cs="宋体"/>
          <w:sz w:val="24"/>
          <w:szCs w:val="24"/>
        </w:rPr>
        <w:t>80</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326D6B92">
      <w:pPr>
        <w:pStyle w:val="13"/>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_Toc15417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1"/>
          <w:sz w:val="24"/>
          <w:szCs w:val="24"/>
          <w:highlight w:val="none"/>
          <w:lang w:val="en-US" w:eastAsia="zh-CN"/>
        </w:rPr>
        <w:t>格式七   项目经理简历表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_Toc15417 \h </w:instrText>
      </w:r>
      <w:r>
        <w:rPr>
          <w:rFonts w:hint="eastAsia" w:ascii="宋体" w:hAnsi="宋体" w:eastAsia="宋体" w:cs="宋体"/>
          <w:sz w:val="24"/>
          <w:szCs w:val="24"/>
        </w:rPr>
        <w:fldChar w:fldCharType="separate"/>
      </w:r>
      <w:r>
        <w:rPr>
          <w:rFonts w:hint="eastAsia" w:ascii="宋体" w:hAnsi="宋体" w:eastAsia="宋体" w:cs="宋体"/>
          <w:sz w:val="24"/>
          <w:szCs w:val="24"/>
        </w:rPr>
        <w:t>81</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214734F9">
      <w:pPr>
        <w:pStyle w:val="13"/>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_Toc17035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1"/>
          <w:sz w:val="24"/>
          <w:szCs w:val="24"/>
          <w:highlight w:val="none"/>
          <w:lang w:val="en-US" w:eastAsia="zh-CN"/>
        </w:rPr>
        <w:t>格式八   项目经理任职声明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_Toc17035 \h </w:instrText>
      </w:r>
      <w:r>
        <w:rPr>
          <w:rFonts w:hint="eastAsia" w:ascii="宋体" w:hAnsi="宋体" w:eastAsia="宋体" w:cs="宋体"/>
          <w:sz w:val="24"/>
          <w:szCs w:val="24"/>
        </w:rPr>
        <w:fldChar w:fldCharType="separate"/>
      </w:r>
      <w:r>
        <w:rPr>
          <w:rFonts w:hint="eastAsia" w:ascii="宋体" w:hAnsi="宋体" w:eastAsia="宋体" w:cs="宋体"/>
          <w:sz w:val="24"/>
          <w:szCs w:val="24"/>
        </w:rPr>
        <w:t>82</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72C3378C">
      <w:pPr>
        <w:pStyle w:val="13"/>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_Toc4068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1"/>
          <w:sz w:val="24"/>
          <w:szCs w:val="24"/>
          <w:highlight w:val="none"/>
          <w:lang w:val="en-US" w:eastAsia="zh-CN"/>
        </w:rPr>
        <w:t>格式九   项目技术负责人简历表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_Toc4068 \h </w:instrText>
      </w:r>
      <w:r>
        <w:rPr>
          <w:rFonts w:hint="eastAsia" w:ascii="宋体" w:hAnsi="宋体" w:eastAsia="宋体" w:cs="宋体"/>
          <w:sz w:val="24"/>
          <w:szCs w:val="24"/>
        </w:rPr>
        <w:fldChar w:fldCharType="separate"/>
      </w:r>
      <w:r>
        <w:rPr>
          <w:rFonts w:hint="eastAsia" w:ascii="宋体" w:hAnsi="宋体" w:eastAsia="宋体" w:cs="宋体"/>
          <w:sz w:val="24"/>
          <w:szCs w:val="24"/>
        </w:rPr>
        <w:t>83</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2E20A178">
      <w:pPr>
        <w:pStyle w:val="13"/>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_Toc30872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1"/>
          <w:sz w:val="24"/>
          <w:szCs w:val="24"/>
          <w:highlight w:val="none"/>
          <w:lang w:val="en-US" w:eastAsia="zh-CN"/>
        </w:rPr>
        <w:t>格式十   项目管理机构组成表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_Toc30872 \h </w:instrText>
      </w:r>
      <w:r>
        <w:rPr>
          <w:rFonts w:hint="eastAsia" w:ascii="宋体" w:hAnsi="宋体" w:eastAsia="宋体" w:cs="宋体"/>
          <w:sz w:val="24"/>
          <w:szCs w:val="24"/>
        </w:rPr>
        <w:fldChar w:fldCharType="separate"/>
      </w:r>
      <w:r>
        <w:rPr>
          <w:rFonts w:hint="eastAsia" w:ascii="宋体" w:hAnsi="宋体" w:eastAsia="宋体" w:cs="宋体"/>
          <w:sz w:val="24"/>
          <w:szCs w:val="24"/>
        </w:rPr>
        <w:t>84</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44A819F5">
      <w:pPr>
        <w:pStyle w:val="13"/>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_Toc14131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1"/>
          <w:sz w:val="24"/>
          <w:szCs w:val="24"/>
          <w:highlight w:val="none"/>
          <w:lang w:val="en-US" w:eastAsia="zh-CN"/>
        </w:rPr>
        <w:t>格式十一   建造师查询页（有效期+建造师签字）</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_Toc14131 \h </w:instrText>
      </w:r>
      <w:r>
        <w:rPr>
          <w:rFonts w:hint="eastAsia" w:ascii="宋体" w:hAnsi="宋体" w:eastAsia="宋体" w:cs="宋体"/>
          <w:sz w:val="24"/>
          <w:szCs w:val="24"/>
        </w:rPr>
        <w:fldChar w:fldCharType="separate"/>
      </w:r>
      <w:r>
        <w:rPr>
          <w:rFonts w:hint="eastAsia" w:ascii="宋体" w:hAnsi="宋体" w:eastAsia="宋体" w:cs="宋体"/>
          <w:sz w:val="24"/>
          <w:szCs w:val="24"/>
        </w:rPr>
        <w:t>85</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6F063370">
      <w:pPr>
        <w:pStyle w:val="13"/>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_Toc4208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1"/>
          <w:sz w:val="24"/>
          <w:szCs w:val="24"/>
          <w:highlight w:val="none"/>
          <w:lang w:val="en-US" w:eastAsia="zh-CN"/>
        </w:rPr>
        <w:t>格式十二   危险性较大的分部分项工程清单及超过一定规模的危险性较大的分部分项工程清单</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_Toc4208 \h </w:instrText>
      </w:r>
      <w:r>
        <w:rPr>
          <w:rFonts w:hint="eastAsia" w:ascii="宋体" w:hAnsi="宋体" w:eastAsia="宋体" w:cs="宋体"/>
          <w:sz w:val="24"/>
          <w:szCs w:val="24"/>
        </w:rPr>
        <w:fldChar w:fldCharType="separate"/>
      </w:r>
      <w:r>
        <w:rPr>
          <w:rFonts w:hint="eastAsia" w:ascii="宋体" w:hAnsi="宋体" w:eastAsia="宋体" w:cs="宋体"/>
          <w:sz w:val="24"/>
          <w:szCs w:val="24"/>
        </w:rPr>
        <w:t>87</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2D024E06">
      <w:pPr>
        <w:pStyle w:val="13"/>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_Toc2046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1"/>
          <w:sz w:val="24"/>
          <w:szCs w:val="24"/>
          <w:highlight w:val="none"/>
          <w:lang w:val="en-US" w:eastAsia="zh-CN"/>
        </w:rPr>
        <w:t>格式十三   投标保证金信用承诺函</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_Toc2046 \h </w:instrText>
      </w:r>
      <w:r>
        <w:rPr>
          <w:rFonts w:hint="eastAsia" w:ascii="宋体" w:hAnsi="宋体" w:eastAsia="宋体" w:cs="宋体"/>
          <w:sz w:val="24"/>
          <w:szCs w:val="24"/>
        </w:rPr>
        <w:fldChar w:fldCharType="separate"/>
      </w:r>
      <w:r>
        <w:rPr>
          <w:rFonts w:hint="eastAsia" w:ascii="宋体" w:hAnsi="宋体" w:eastAsia="宋体" w:cs="宋体"/>
          <w:sz w:val="24"/>
          <w:szCs w:val="24"/>
        </w:rPr>
        <w:t>88</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2056DAA4">
      <w:pPr>
        <w:pStyle w:val="13"/>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_Toc4144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1"/>
          <w:sz w:val="24"/>
          <w:szCs w:val="24"/>
          <w:highlight w:val="none"/>
          <w:lang w:val="en-US" w:eastAsia="zh-CN"/>
        </w:rPr>
        <w:t>格式十四   原件一览表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_Toc4144 \h </w:instrText>
      </w:r>
      <w:r>
        <w:rPr>
          <w:rFonts w:hint="eastAsia" w:ascii="宋体" w:hAnsi="宋体" w:eastAsia="宋体" w:cs="宋体"/>
          <w:sz w:val="24"/>
          <w:szCs w:val="24"/>
        </w:rPr>
        <w:fldChar w:fldCharType="separate"/>
      </w:r>
      <w:r>
        <w:rPr>
          <w:rFonts w:hint="eastAsia" w:ascii="宋体" w:hAnsi="宋体" w:eastAsia="宋体" w:cs="宋体"/>
          <w:sz w:val="24"/>
          <w:szCs w:val="24"/>
        </w:rPr>
        <w:t>89</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3EEC2B1C">
      <w:pPr>
        <w:pStyle w:val="18"/>
        <w:tabs>
          <w:tab w:val="right" w:leader="dot" w:pos="9638"/>
        </w:tabs>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_Toc244 </w:instrText>
      </w:r>
      <w:r>
        <w:rPr>
          <w:rFonts w:hint="eastAsia" w:ascii="宋体" w:hAnsi="宋体" w:eastAsia="宋体" w:cs="宋体"/>
          <w:sz w:val="24"/>
          <w:szCs w:val="24"/>
          <w:highlight w:val="none"/>
        </w:rPr>
        <w:fldChar w:fldCharType="separate"/>
      </w:r>
      <w:r>
        <w:rPr>
          <w:rFonts w:hint="eastAsia" w:ascii="宋体" w:hAnsi="宋体" w:eastAsia="宋体" w:cs="宋体"/>
          <w:snapToGrid w:val="0"/>
          <w:sz w:val="24"/>
          <w:szCs w:val="24"/>
          <w:highlight w:val="none"/>
        </w:rPr>
        <w:t>第七章</w:t>
      </w:r>
      <w:r>
        <w:rPr>
          <w:rFonts w:hint="eastAsia" w:ascii="宋体" w:hAnsi="宋体" w:eastAsia="宋体" w:cs="宋体"/>
          <w:snapToGrid w:val="0"/>
          <w:sz w:val="24"/>
          <w:szCs w:val="24"/>
          <w:highlight w:val="none"/>
          <w:lang w:val="en-US" w:eastAsia="zh-CN"/>
        </w:rPr>
        <w:t xml:space="preserve">   </w:t>
      </w:r>
      <w:r>
        <w:rPr>
          <w:rFonts w:hint="eastAsia" w:ascii="宋体" w:hAnsi="宋体" w:eastAsia="宋体" w:cs="宋体"/>
          <w:snapToGrid w:val="0"/>
          <w:sz w:val="24"/>
          <w:szCs w:val="24"/>
          <w:highlight w:val="none"/>
        </w:rPr>
        <w:t>建设工程施工合同</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_Toc244 \h </w:instrText>
      </w:r>
      <w:r>
        <w:rPr>
          <w:rFonts w:hint="eastAsia" w:ascii="宋体" w:hAnsi="宋体" w:eastAsia="宋体" w:cs="宋体"/>
          <w:sz w:val="24"/>
          <w:szCs w:val="24"/>
        </w:rPr>
        <w:fldChar w:fldCharType="separate"/>
      </w:r>
      <w:r>
        <w:rPr>
          <w:rFonts w:hint="eastAsia" w:ascii="宋体" w:hAnsi="宋体" w:eastAsia="宋体" w:cs="宋体"/>
          <w:sz w:val="24"/>
          <w:szCs w:val="24"/>
        </w:rPr>
        <w:t>90</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44F9C4B2">
      <w:pPr>
        <w:spacing w:line="240" w:lineRule="auto"/>
        <w:rPr>
          <w:rFonts w:hint="eastAsia" w:ascii="宋体" w:hAnsi="宋体" w:eastAsia="宋体" w:cs="宋体"/>
        </w:rPr>
      </w:pPr>
      <w:r>
        <w:rPr>
          <w:rFonts w:hint="eastAsia" w:ascii="宋体" w:hAnsi="宋体" w:eastAsia="宋体" w:cs="宋体"/>
          <w:color w:val="auto"/>
          <w:sz w:val="24"/>
          <w:szCs w:val="24"/>
          <w:highlight w:val="none"/>
        </w:rPr>
        <w:fldChar w:fldCharType="end"/>
      </w:r>
    </w:p>
    <w:p w14:paraId="38EAEBA2">
      <w:pPr>
        <w:rPr>
          <w:rFonts w:hint="eastAsia" w:ascii="宋体" w:hAnsi="宋体" w:eastAsia="宋体" w:cs="宋体"/>
        </w:rPr>
      </w:pPr>
    </w:p>
    <w:p w14:paraId="4288CBFB">
      <w:pPr>
        <w:rPr>
          <w:rFonts w:hint="eastAsia" w:ascii="宋体" w:hAnsi="宋体" w:eastAsia="宋体" w:cs="宋体"/>
        </w:rPr>
      </w:pPr>
    </w:p>
    <w:p w14:paraId="1F4E4B74">
      <w:pPr>
        <w:rPr>
          <w:rFonts w:hint="eastAsia" w:ascii="宋体" w:hAnsi="宋体" w:eastAsia="宋体" w:cs="宋体"/>
        </w:rPr>
      </w:pPr>
    </w:p>
    <w:p w14:paraId="2737AC15">
      <w:pPr>
        <w:rPr>
          <w:rFonts w:hint="eastAsia" w:ascii="宋体" w:hAnsi="宋体" w:eastAsia="宋体" w:cs="宋体"/>
        </w:rPr>
      </w:pPr>
    </w:p>
    <w:p w14:paraId="0F5BFBC3">
      <w:pPr>
        <w:rPr>
          <w:rFonts w:hint="eastAsia" w:ascii="宋体" w:hAnsi="宋体" w:eastAsia="宋体" w:cs="宋体"/>
        </w:rPr>
      </w:pPr>
    </w:p>
    <w:p w14:paraId="685587E3">
      <w:pPr>
        <w:rPr>
          <w:rFonts w:hint="eastAsia" w:ascii="宋体" w:hAnsi="宋体" w:eastAsia="宋体" w:cs="宋体"/>
        </w:rPr>
      </w:pPr>
    </w:p>
    <w:p w14:paraId="0AE3EDFE">
      <w:pPr>
        <w:rPr>
          <w:rFonts w:hint="eastAsia" w:ascii="宋体" w:hAnsi="宋体" w:eastAsia="宋体" w:cs="宋体"/>
        </w:rPr>
      </w:pPr>
    </w:p>
    <w:p w14:paraId="47E1B3C6">
      <w:pPr>
        <w:rPr>
          <w:rFonts w:hint="eastAsia" w:ascii="宋体" w:hAnsi="宋体" w:eastAsia="宋体" w:cs="宋体"/>
        </w:rPr>
      </w:pPr>
    </w:p>
    <w:p w14:paraId="5AD090C2">
      <w:pPr>
        <w:rPr>
          <w:rFonts w:hint="eastAsia" w:ascii="宋体" w:hAnsi="宋体" w:eastAsia="宋体" w:cs="宋体"/>
        </w:rPr>
      </w:pPr>
    </w:p>
    <w:p w14:paraId="4B611946">
      <w:pPr>
        <w:rPr>
          <w:rFonts w:hint="eastAsia" w:ascii="宋体" w:hAnsi="宋体" w:eastAsia="宋体" w:cs="宋体"/>
        </w:rPr>
      </w:pPr>
    </w:p>
    <w:p w14:paraId="1812CF06">
      <w:pPr>
        <w:rPr>
          <w:rFonts w:hint="eastAsia" w:ascii="宋体" w:hAnsi="宋体" w:eastAsia="宋体" w:cs="宋体"/>
        </w:rPr>
      </w:pPr>
    </w:p>
    <w:p w14:paraId="0F865B08">
      <w:pPr>
        <w:rPr>
          <w:rFonts w:hint="eastAsia" w:ascii="宋体" w:hAnsi="宋体" w:eastAsia="宋体" w:cs="宋体"/>
        </w:rPr>
      </w:pPr>
    </w:p>
    <w:p w14:paraId="1D521498">
      <w:pPr>
        <w:rPr>
          <w:rFonts w:hint="eastAsia" w:ascii="宋体" w:hAnsi="宋体" w:eastAsia="宋体" w:cs="宋体"/>
        </w:rPr>
      </w:pPr>
    </w:p>
    <w:p w14:paraId="749C5641">
      <w:pPr>
        <w:rPr>
          <w:rFonts w:hint="eastAsia" w:ascii="宋体" w:hAnsi="宋体" w:eastAsia="宋体" w:cs="宋体"/>
        </w:rPr>
      </w:pPr>
    </w:p>
    <w:p w14:paraId="18E797F7">
      <w:pPr>
        <w:rPr>
          <w:rFonts w:hint="eastAsia" w:ascii="宋体" w:hAnsi="宋体" w:eastAsia="宋体" w:cs="宋体"/>
        </w:rPr>
      </w:pPr>
    </w:p>
    <w:p w14:paraId="111E9636">
      <w:pPr>
        <w:rPr>
          <w:rFonts w:hint="eastAsia" w:ascii="宋体" w:hAnsi="宋体" w:eastAsia="宋体" w:cs="宋体"/>
        </w:rPr>
      </w:pPr>
    </w:p>
    <w:p w14:paraId="220DACF8">
      <w:pPr>
        <w:rPr>
          <w:rFonts w:hint="eastAsia" w:ascii="宋体" w:hAnsi="宋体" w:eastAsia="宋体" w:cs="宋体"/>
        </w:rPr>
      </w:pPr>
    </w:p>
    <w:p w14:paraId="03E6E150">
      <w:pPr>
        <w:rPr>
          <w:rFonts w:hint="eastAsia" w:ascii="宋体" w:hAnsi="宋体" w:eastAsia="宋体" w:cs="宋体"/>
        </w:rPr>
      </w:pPr>
    </w:p>
    <w:p w14:paraId="1FF4BC8C">
      <w:pPr>
        <w:rPr>
          <w:rFonts w:hint="eastAsia" w:ascii="宋体" w:hAnsi="宋体" w:eastAsia="宋体" w:cs="宋体"/>
        </w:rPr>
      </w:pPr>
    </w:p>
    <w:p w14:paraId="659E5FA8">
      <w:pPr>
        <w:spacing w:before="78" w:line="360" w:lineRule="auto"/>
        <w:jc w:val="center"/>
        <w:outlineLvl w:val="0"/>
        <w:rPr>
          <w:rFonts w:hint="eastAsia" w:ascii="宋体" w:hAnsi="宋体" w:eastAsia="宋体" w:cs="宋体"/>
          <w:color w:val="auto"/>
          <w:sz w:val="24"/>
          <w:szCs w:val="24"/>
          <w:highlight w:val="none"/>
        </w:rPr>
      </w:pPr>
      <w:bookmarkStart w:id="0" w:name="bookmark1"/>
      <w:bookmarkEnd w:id="0"/>
      <w:bookmarkStart w:id="1" w:name="_Toc19872"/>
      <w:bookmarkStart w:id="2" w:name="_Toc19261"/>
      <w:r>
        <w:rPr>
          <w:rFonts w:hint="eastAsia" w:ascii="宋体" w:hAnsi="宋体" w:eastAsia="宋体" w:cs="宋体"/>
          <w:b/>
          <w:bCs/>
          <w:color w:val="auto"/>
          <w:spacing w:val="-3"/>
          <w:sz w:val="24"/>
          <w:szCs w:val="24"/>
          <w:highlight w:val="none"/>
        </w:rPr>
        <w:t>第一章</w:t>
      </w:r>
      <w:r>
        <w:rPr>
          <w:rFonts w:hint="eastAsia" w:ascii="宋体" w:hAnsi="宋体" w:eastAsia="宋体" w:cs="宋体"/>
          <w:color w:val="auto"/>
          <w:spacing w:val="-3"/>
          <w:sz w:val="24"/>
          <w:szCs w:val="24"/>
          <w:highlight w:val="none"/>
          <w:lang w:val="en-US" w:eastAsia="zh-CN"/>
        </w:rPr>
        <w:t xml:space="preserve">   </w:t>
      </w:r>
      <w:r>
        <w:rPr>
          <w:rFonts w:hint="eastAsia" w:ascii="宋体" w:hAnsi="宋体" w:eastAsia="宋体" w:cs="宋体"/>
          <w:b/>
          <w:bCs/>
          <w:color w:val="auto"/>
          <w:spacing w:val="-3"/>
          <w:sz w:val="24"/>
          <w:szCs w:val="24"/>
          <w:highlight w:val="none"/>
        </w:rPr>
        <w:t>投标人须知</w:t>
      </w:r>
      <w:bookmarkEnd w:id="1"/>
      <w:bookmarkEnd w:id="2"/>
    </w:p>
    <w:p w14:paraId="30EA1A18">
      <w:pPr>
        <w:spacing w:before="156" w:line="360" w:lineRule="auto"/>
        <w:ind w:left="17"/>
        <w:outlineLvl w:val="1"/>
        <w:rPr>
          <w:rFonts w:hint="eastAsia" w:ascii="宋体" w:hAnsi="宋体" w:eastAsia="宋体" w:cs="宋体"/>
          <w:b/>
          <w:bCs/>
          <w:color w:val="auto"/>
          <w:spacing w:val="-3"/>
          <w:sz w:val="24"/>
          <w:szCs w:val="24"/>
          <w:highlight w:val="none"/>
        </w:rPr>
      </w:pPr>
      <w:bookmarkStart w:id="3" w:name="bookmark3"/>
      <w:bookmarkEnd w:id="3"/>
      <w:bookmarkStart w:id="4" w:name="_Toc23115"/>
      <w:bookmarkStart w:id="5" w:name="_Toc24466"/>
      <w:r>
        <w:rPr>
          <w:rFonts w:hint="eastAsia" w:ascii="宋体" w:hAnsi="宋体" w:eastAsia="宋体" w:cs="宋体"/>
          <w:b/>
          <w:bCs/>
          <w:color w:val="auto"/>
          <w:spacing w:val="-3"/>
          <w:sz w:val="24"/>
          <w:szCs w:val="24"/>
          <w:highlight w:val="none"/>
        </w:rPr>
        <w:t>第一节</w:t>
      </w:r>
      <w:r>
        <w:rPr>
          <w:rFonts w:hint="eastAsia" w:ascii="宋体" w:hAnsi="宋体" w:eastAsia="宋体" w:cs="宋体"/>
          <w:color w:val="auto"/>
          <w:spacing w:val="-3"/>
          <w:sz w:val="24"/>
          <w:szCs w:val="24"/>
          <w:highlight w:val="none"/>
          <w:lang w:val="en-US" w:eastAsia="zh-CN"/>
        </w:rPr>
        <w:t xml:space="preserve">   </w:t>
      </w:r>
      <w:r>
        <w:rPr>
          <w:rFonts w:hint="eastAsia" w:ascii="宋体" w:hAnsi="宋体" w:eastAsia="宋体" w:cs="宋体"/>
          <w:b/>
          <w:bCs/>
          <w:color w:val="auto"/>
          <w:spacing w:val="-3"/>
          <w:sz w:val="24"/>
          <w:szCs w:val="24"/>
          <w:highlight w:val="none"/>
        </w:rPr>
        <w:t>投标人须知前附表</w:t>
      </w:r>
      <w:bookmarkEnd w:id="4"/>
      <w:bookmarkEnd w:id="5"/>
    </w:p>
    <w:tbl>
      <w:tblPr>
        <w:tblStyle w:val="25"/>
        <w:tblW w:w="10066" w:type="dxa"/>
        <w:tblInd w:w="-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3"/>
        <w:gridCol w:w="2433"/>
        <w:gridCol w:w="6900"/>
      </w:tblGrid>
      <w:tr w14:paraId="44D57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shd w:val="clear" w:color="auto" w:fill="auto"/>
            <w:vAlign w:val="top"/>
          </w:tcPr>
          <w:p w14:paraId="7B2D9F2A">
            <w:pPr>
              <w:widowControl w:val="0"/>
              <w:spacing w:line="240" w:lineRule="auto"/>
              <w:jc w:val="center"/>
              <w:rPr>
                <w:rFonts w:hint="eastAsia" w:ascii="宋体" w:hAnsi="宋体" w:eastAsia="宋体" w:cs="宋体"/>
                <w:sz w:val="24"/>
                <w:szCs w:val="24"/>
                <w:lang w:val="en-US" w:eastAsia="en-US"/>
              </w:rPr>
            </w:pPr>
            <w:r>
              <w:rPr>
                <w:rFonts w:hint="eastAsia" w:ascii="宋体" w:hAnsi="宋体" w:eastAsia="宋体" w:cs="宋体"/>
                <w:sz w:val="24"/>
                <w:szCs w:val="24"/>
              </w:rPr>
              <w:t>序号</w:t>
            </w:r>
          </w:p>
        </w:tc>
        <w:tc>
          <w:tcPr>
            <w:tcW w:w="2433" w:type="dxa"/>
            <w:shd w:val="clear" w:color="auto" w:fill="auto"/>
            <w:vAlign w:val="top"/>
          </w:tcPr>
          <w:p w14:paraId="59ADCDC3">
            <w:pPr>
              <w:widowControl w:val="0"/>
              <w:spacing w:line="240" w:lineRule="auto"/>
              <w:jc w:val="center"/>
              <w:rPr>
                <w:rFonts w:hint="eastAsia" w:ascii="宋体" w:hAnsi="宋体" w:eastAsia="宋体" w:cs="宋体"/>
                <w:sz w:val="24"/>
                <w:szCs w:val="24"/>
                <w:lang w:val="en-US" w:eastAsia="en-US"/>
              </w:rPr>
            </w:pPr>
            <w:r>
              <w:rPr>
                <w:rFonts w:hint="eastAsia" w:ascii="宋体" w:hAnsi="宋体" w:eastAsia="宋体" w:cs="宋体"/>
                <w:sz w:val="24"/>
                <w:szCs w:val="24"/>
              </w:rPr>
              <w:t>内容</w:t>
            </w:r>
          </w:p>
        </w:tc>
        <w:tc>
          <w:tcPr>
            <w:tcW w:w="6900" w:type="dxa"/>
            <w:shd w:val="clear" w:color="auto" w:fill="auto"/>
            <w:vAlign w:val="top"/>
          </w:tcPr>
          <w:p w14:paraId="0BF5224D">
            <w:pPr>
              <w:widowControl w:val="0"/>
              <w:spacing w:line="240" w:lineRule="auto"/>
              <w:jc w:val="center"/>
              <w:rPr>
                <w:rFonts w:hint="eastAsia" w:ascii="宋体" w:hAnsi="宋体" w:eastAsia="宋体" w:cs="宋体"/>
                <w:sz w:val="24"/>
                <w:szCs w:val="24"/>
                <w:lang w:val="en-US" w:eastAsia="en-US"/>
              </w:rPr>
            </w:pPr>
            <w:r>
              <w:rPr>
                <w:rFonts w:hint="eastAsia" w:ascii="宋体" w:hAnsi="宋体" w:eastAsia="宋体" w:cs="宋体"/>
                <w:sz w:val="24"/>
                <w:szCs w:val="24"/>
              </w:rPr>
              <w:t>说明与要求</w:t>
            </w:r>
          </w:p>
        </w:tc>
      </w:tr>
      <w:tr w14:paraId="59929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shd w:val="clear" w:color="auto" w:fill="auto"/>
            <w:vAlign w:val="center"/>
          </w:tcPr>
          <w:p w14:paraId="12F05F58">
            <w:pPr>
              <w:widowControl w:val="0"/>
              <w:spacing w:line="360" w:lineRule="auto"/>
              <w:jc w:val="center"/>
              <w:rPr>
                <w:rFonts w:hint="eastAsia" w:ascii="宋体" w:hAnsi="宋体" w:eastAsia="宋体" w:cs="宋体"/>
                <w:sz w:val="24"/>
                <w:szCs w:val="24"/>
                <w:lang w:val="en-US" w:eastAsia="en-US"/>
              </w:rPr>
            </w:pPr>
            <w:r>
              <w:rPr>
                <w:rFonts w:hint="eastAsia" w:ascii="宋体" w:hAnsi="宋体" w:eastAsia="宋体" w:cs="宋体"/>
                <w:sz w:val="24"/>
                <w:szCs w:val="24"/>
              </w:rPr>
              <w:t>1</w:t>
            </w:r>
          </w:p>
        </w:tc>
        <w:tc>
          <w:tcPr>
            <w:tcW w:w="2433" w:type="dxa"/>
            <w:shd w:val="clear" w:color="auto" w:fill="auto"/>
            <w:vAlign w:val="center"/>
          </w:tcPr>
          <w:p w14:paraId="43BE10D1">
            <w:pPr>
              <w:widowControl w:val="0"/>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项目名称</w:t>
            </w:r>
          </w:p>
        </w:tc>
        <w:tc>
          <w:tcPr>
            <w:tcW w:w="6900" w:type="dxa"/>
            <w:shd w:val="clear" w:color="auto" w:fill="auto"/>
            <w:vAlign w:val="center"/>
          </w:tcPr>
          <w:p w14:paraId="105699CE">
            <w:pPr>
              <w:widowControl w:val="0"/>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武江区重阳镇水口及大夫前村农产业示范带配套基础设施提升项目施工</w:t>
            </w:r>
          </w:p>
        </w:tc>
      </w:tr>
      <w:tr w14:paraId="4F4E7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shd w:val="clear" w:color="auto" w:fill="auto"/>
            <w:vAlign w:val="center"/>
          </w:tcPr>
          <w:p w14:paraId="5321AAAE">
            <w:pPr>
              <w:widowControl w:val="0"/>
              <w:spacing w:line="360" w:lineRule="auto"/>
              <w:jc w:val="center"/>
              <w:rPr>
                <w:rFonts w:hint="eastAsia" w:ascii="宋体" w:hAnsi="宋体" w:eastAsia="宋体" w:cs="宋体"/>
                <w:sz w:val="24"/>
                <w:szCs w:val="24"/>
                <w:lang w:val="en-US" w:eastAsia="en-US"/>
              </w:rPr>
            </w:pPr>
            <w:r>
              <w:rPr>
                <w:rFonts w:hint="eastAsia" w:ascii="宋体" w:hAnsi="宋体" w:eastAsia="宋体" w:cs="宋体"/>
                <w:sz w:val="24"/>
                <w:szCs w:val="24"/>
              </w:rPr>
              <w:t>2</w:t>
            </w:r>
          </w:p>
        </w:tc>
        <w:tc>
          <w:tcPr>
            <w:tcW w:w="2433" w:type="dxa"/>
            <w:shd w:val="clear" w:color="auto" w:fill="auto"/>
            <w:vAlign w:val="center"/>
          </w:tcPr>
          <w:p w14:paraId="53876A3C">
            <w:pPr>
              <w:widowControl w:val="0"/>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项目业主</w:t>
            </w:r>
          </w:p>
        </w:tc>
        <w:tc>
          <w:tcPr>
            <w:tcW w:w="6900" w:type="dxa"/>
            <w:shd w:val="clear" w:color="auto" w:fill="auto"/>
            <w:vAlign w:val="center"/>
          </w:tcPr>
          <w:p w14:paraId="30040E99">
            <w:pPr>
              <w:widowControl w:val="0"/>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韶关市武江区重阳镇人民政府</w:t>
            </w:r>
          </w:p>
        </w:tc>
      </w:tr>
      <w:tr w14:paraId="60080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shd w:val="clear" w:color="auto" w:fill="auto"/>
            <w:vAlign w:val="center"/>
          </w:tcPr>
          <w:p w14:paraId="19F3CC81">
            <w:pPr>
              <w:widowControl w:val="0"/>
              <w:spacing w:line="360" w:lineRule="auto"/>
              <w:jc w:val="center"/>
              <w:rPr>
                <w:rFonts w:hint="eastAsia" w:ascii="宋体" w:hAnsi="宋体" w:eastAsia="宋体" w:cs="宋体"/>
                <w:sz w:val="24"/>
                <w:szCs w:val="24"/>
                <w:lang w:val="en-US" w:eastAsia="en-US"/>
              </w:rPr>
            </w:pPr>
            <w:r>
              <w:rPr>
                <w:rFonts w:hint="eastAsia" w:ascii="宋体" w:hAnsi="宋体" w:eastAsia="宋体" w:cs="宋体"/>
                <w:sz w:val="24"/>
                <w:szCs w:val="24"/>
              </w:rPr>
              <w:t>3</w:t>
            </w:r>
          </w:p>
        </w:tc>
        <w:tc>
          <w:tcPr>
            <w:tcW w:w="2433" w:type="dxa"/>
            <w:shd w:val="clear" w:color="auto" w:fill="auto"/>
            <w:vAlign w:val="center"/>
          </w:tcPr>
          <w:p w14:paraId="55EDB83D">
            <w:pPr>
              <w:widowControl w:val="0"/>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项目批准部门及项目批准文号</w:t>
            </w:r>
          </w:p>
        </w:tc>
        <w:tc>
          <w:tcPr>
            <w:tcW w:w="6900" w:type="dxa"/>
            <w:shd w:val="clear" w:color="auto" w:fill="auto"/>
            <w:vAlign w:val="center"/>
          </w:tcPr>
          <w:p w14:paraId="56FAEB61">
            <w:pPr>
              <w:widowControl w:val="0"/>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eastAsia="zh-CN"/>
              </w:rPr>
              <w:t>韶关市武江区发展和改革局、韶武发改投审[2023]79号、韶武发改投审[2024]22号</w:t>
            </w:r>
          </w:p>
        </w:tc>
      </w:tr>
      <w:tr w14:paraId="54911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shd w:val="clear" w:color="auto" w:fill="auto"/>
            <w:vAlign w:val="center"/>
          </w:tcPr>
          <w:p w14:paraId="3DF3EAE8">
            <w:pPr>
              <w:widowControl w:val="0"/>
              <w:spacing w:line="360" w:lineRule="auto"/>
              <w:jc w:val="center"/>
              <w:rPr>
                <w:rFonts w:hint="eastAsia" w:ascii="宋体" w:hAnsi="宋体" w:eastAsia="宋体" w:cs="宋体"/>
                <w:sz w:val="24"/>
                <w:szCs w:val="24"/>
                <w:lang w:val="en-US" w:eastAsia="en-US"/>
              </w:rPr>
            </w:pPr>
            <w:r>
              <w:rPr>
                <w:rFonts w:hint="eastAsia" w:ascii="宋体" w:hAnsi="宋体" w:eastAsia="宋体" w:cs="宋体"/>
                <w:sz w:val="24"/>
                <w:szCs w:val="24"/>
              </w:rPr>
              <w:t>4</w:t>
            </w:r>
          </w:p>
        </w:tc>
        <w:tc>
          <w:tcPr>
            <w:tcW w:w="2433" w:type="dxa"/>
            <w:shd w:val="clear" w:color="auto" w:fill="auto"/>
            <w:vAlign w:val="center"/>
          </w:tcPr>
          <w:p w14:paraId="3642BB67">
            <w:pPr>
              <w:widowControl w:val="0"/>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建设地点</w:t>
            </w:r>
          </w:p>
        </w:tc>
        <w:tc>
          <w:tcPr>
            <w:tcW w:w="6900" w:type="dxa"/>
            <w:shd w:val="clear" w:color="auto" w:fill="auto"/>
            <w:vAlign w:val="center"/>
          </w:tcPr>
          <w:p w14:paraId="365D85BC">
            <w:pPr>
              <w:widowControl w:val="0"/>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韶关市武江区重阳镇</w:t>
            </w:r>
          </w:p>
        </w:tc>
      </w:tr>
      <w:tr w14:paraId="31E50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shd w:val="clear" w:color="auto" w:fill="auto"/>
            <w:vAlign w:val="center"/>
          </w:tcPr>
          <w:p w14:paraId="44D2BDBA">
            <w:pPr>
              <w:widowControl w:val="0"/>
              <w:spacing w:line="360" w:lineRule="auto"/>
              <w:jc w:val="center"/>
              <w:rPr>
                <w:rFonts w:hint="eastAsia" w:ascii="宋体" w:hAnsi="宋体" w:eastAsia="宋体" w:cs="宋体"/>
                <w:sz w:val="24"/>
                <w:szCs w:val="24"/>
                <w:lang w:val="en-US" w:eastAsia="en-US"/>
              </w:rPr>
            </w:pPr>
            <w:r>
              <w:rPr>
                <w:rFonts w:hint="eastAsia" w:ascii="宋体" w:hAnsi="宋体" w:eastAsia="宋体" w:cs="宋体"/>
                <w:sz w:val="24"/>
                <w:szCs w:val="24"/>
              </w:rPr>
              <w:t>5</w:t>
            </w:r>
          </w:p>
        </w:tc>
        <w:tc>
          <w:tcPr>
            <w:tcW w:w="2433" w:type="dxa"/>
            <w:shd w:val="clear" w:color="auto" w:fill="auto"/>
            <w:vAlign w:val="center"/>
          </w:tcPr>
          <w:p w14:paraId="4B1C4E29">
            <w:pPr>
              <w:widowControl w:val="0"/>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项目代码</w:t>
            </w:r>
          </w:p>
        </w:tc>
        <w:tc>
          <w:tcPr>
            <w:tcW w:w="6900" w:type="dxa"/>
            <w:shd w:val="clear" w:color="auto" w:fill="auto"/>
            <w:vAlign w:val="center"/>
          </w:tcPr>
          <w:p w14:paraId="4122AAF2">
            <w:pPr>
              <w:widowControl w:val="0"/>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2309-440203-20-01-828782</w:t>
            </w:r>
          </w:p>
        </w:tc>
      </w:tr>
      <w:tr w14:paraId="0CBE8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shd w:val="clear" w:color="auto" w:fill="auto"/>
            <w:vAlign w:val="center"/>
          </w:tcPr>
          <w:p w14:paraId="03F1187C">
            <w:pPr>
              <w:widowControl w:val="0"/>
              <w:spacing w:line="360" w:lineRule="auto"/>
              <w:jc w:val="center"/>
              <w:rPr>
                <w:rFonts w:hint="eastAsia" w:ascii="宋体" w:hAnsi="宋体" w:eastAsia="宋体" w:cs="宋体"/>
                <w:sz w:val="24"/>
                <w:szCs w:val="24"/>
                <w:lang w:val="en-US" w:eastAsia="en-US"/>
              </w:rPr>
            </w:pPr>
            <w:r>
              <w:rPr>
                <w:rFonts w:hint="eastAsia" w:ascii="宋体" w:hAnsi="宋体" w:eastAsia="宋体" w:cs="宋体"/>
                <w:sz w:val="24"/>
                <w:szCs w:val="24"/>
              </w:rPr>
              <w:t>6</w:t>
            </w:r>
          </w:p>
        </w:tc>
        <w:tc>
          <w:tcPr>
            <w:tcW w:w="2433" w:type="dxa"/>
            <w:shd w:val="clear" w:color="auto" w:fill="auto"/>
            <w:vAlign w:val="center"/>
          </w:tcPr>
          <w:p w14:paraId="4887C5D7">
            <w:pPr>
              <w:widowControl w:val="0"/>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资金来源及落实情况</w:t>
            </w:r>
          </w:p>
        </w:tc>
        <w:tc>
          <w:tcPr>
            <w:tcW w:w="6900" w:type="dxa"/>
            <w:shd w:val="clear" w:color="auto" w:fill="auto"/>
            <w:vAlign w:val="center"/>
          </w:tcPr>
          <w:p w14:paraId="4EF660AC">
            <w:pPr>
              <w:widowControl w:val="0"/>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区财政统筹，100%</w:t>
            </w:r>
          </w:p>
        </w:tc>
      </w:tr>
      <w:tr w14:paraId="2AE02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shd w:val="clear" w:color="auto" w:fill="auto"/>
            <w:vAlign w:val="center"/>
          </w:tcPr>
          <w:p w14:paraId="49A6BBBF">
            <w:pPr>
              <w:widowControl w:val="0"/>
              <w:spacing w:line="360" w:lineRule="auto"/>
              <w:jc w:val="center"/>
              <w:rPr>
                <w:rFonts w:hint="eastAsia" w:ascii="宋体" w:hAnsi="宋体" w:eastAsia="宋体" w:cs="宋体"/>
                <w:sz w:val="24"/>
                <w:szCs w:val="24"/>
                <w:lang w:val="en-US" w:eastAsia="en-US"/>
              </w:rPr>
            </w:pPr>
            <w:r>
              <w:rPr>
                <w:rFonts w:hint="eastAsia" w:ascii="宋体" w:hAnsi="宋体" w:eastAsia="宋体" w:cs="宋体"/>
                <w:sz w:val="24"/>
                <w:szCs w:val="24"/>
              </w:rPr>
              <w:t>7</w:t>
            </w:r>
          </w:p>
        </w:tc>
        <w:tc>
          <w:tcPr>
            <w:tcW w:w="2433" w:type="dxa"/>
            <w:shd w:val="clear" w:color="auto" w:fill="auto"/>
            <w:vAlign w:val="center"/>
          </w:tcPr>
          <w:p w14:paraId="3BA0B4CA">
            <w:pPr>
              <w:widowControl w:val="0"/>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招标人</w:t>
            </w:r>
          </w:p>
        </w:tc>
        <w:tc>
          <w:tcPr>
            <w:tcW w:w="6900" w:type="dxa"/>
            <w:shd w:val="clear" w:color="auto" w:fill="auto"/>
            <w:vAlign w:val="center"/>
          </w:tcPr>
          <w:p w14:paraId="5FD8D3FE">
            <w:pPr>
              <w:widowControl w:val="0"/>
              <w:spacing w:line="360" w:lineRule="auto"/>
              <w:jc w:val="both"/>
              <w:rPr>
                <w:rFonts w:hint="eastAsia" w:ascii="宋体" w:hAnsi="宋体" w:eastAsia="宋体" w:cs="宋体"/>
                <w:sz w:val="24"/>
                <w:szCs w:val="24"/>
                <w:lang w:val="en-US" w:eastAsia="en-US"/>
              </w:rPr>
            </w:pPr>
            <w:r>
              <w:rPr>
                <w:rFonts w:hint="eastAsia" w:ascii="宋体" w:hAnsi="宋体" w:eastAsia="宋体" w:cs="宋体"/>
                <w:sz w:val="24"/>
                <w:szCs w:val="24"/>
                <w:lang w:eastAsia="zh-CN"/>
              </w:rPr>
              <w:t>韶关市武江区重阳镇人民政府</w:t>
            </w:r>
          </w:p>
        </w:tc>
      </w:tr>
      <w:tr w14:paraId="044E6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shd w:val="clear" w:color="auto" w:fill="auto"/>
            <w:vAlign w:val="center"/>
          </w:tcPr>
          <w:p w14:paraId="6B4C612A">
            <w:pPr>
              <w:widowControl w:val="0"/>
              <w:spacing w:line="360" w:lineRule="auto"/>
              <w:jc w:val="center"/>
              <w:rPr>
                <w:rFonts w:hint="eastAsia" w:ascii="宋体" w:hAnsi="宋体" w:eastAsia="宋体" w:cs="宋体"/>
                <w:sz w:val="24"/>
                <w:szCs w:val="24"/>
                <w:lang w:val="en-US" w:eastAsia="en-US"/>
              </w:rPr>
            </w:pPr>
            <w:r>
              <w:rPr>
                <w:rFonts w:hint="eastAsia" w:ascii="宋体" w:hAnsi="宋体" w:eastAsia="宋体" w:cs="宋体"/>
                <w:sz w:val="24"/>
                <w:szCs w:val="24"/>
              </w:rPr>
              <w:t>8</w:t>
            </w:r>
          </w:p>
        </w:tc>
        <w:tc>
          <w:tcPr>
            <w:tcW w:w="2433" w:type="dxa"/>
            <w:shd w:val="clear" w:color="auto" w:fill="auto"/>
            <w:vAlign w:val="center"/>
          </w:tcPr>
          <w:p w14:paraId="69DA39D6">
            <w:pPr>
              <w:widowControl w:val="0"/>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招标代理机构</w:t>
            </w:r>
          </w:p>
        </w:tc>
        <w:tc>
          <w:tcPr>
            <w:tcW w:w="6900" w:type="dxa"/>
            <w:shd w:val="clear" w:color="auto" w:fill="auto"/>
            <w:vAlign w:val="center"/>
          </w:tcPr>
          <w:p w14:paraId="3F43251B">
            <w:pPr>
              <w:widowControl w:val="0"/>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广东宝骏工程咨询有限公司</w:t>
            </w:r>
          </w:p>
        </w:tc>
      </w:tr>
      <w:tr w14:paraId="6AD43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shd w:val="clear" w:color="auto" w:fill="auto"/>
            <w:vAlign w:val="center"/>
          </w:tcPr>
          <w:p w14:paraId="7EBA0418">
            <w:pPr>
              <w:widowControl w:val="0"/>
              <w:spacing w:line="360" w:lineRule="auto"/>
              <w:jc w:val="center"/>
              <w:rPr>
                <w:rFonts w:hint="eastAsia" w:ascii="宋体" w:hAnsi="宋体" w:eastAsia="宋体" w:cs="宋体"/>
                <w:sz w:val="24"/>
                <w:szCs w:val="24"/>
                <w:lang w:val="en-US" w:eastAsia="en-US"/>
              </w:rPr>
            </w:pPr>
            <w:r>
              <w:rPr>
                <w:rFonts w:hint="eastAsia" w:ascii="宋体" w:hAnsi="宋体" w:eastAsia="宋体" w:cs="宋体"/>
                <w:sz w:val="24"/>
                <w:szCs w:val="24"/>
              </w:rPr>
              <w:t>9</w:t>
            </w:r>
          </w:p>
        </w:tc>
        <w:tc>
          <w:tcPr>
            <w:tcW w:w="2433" w:type="dxa"/>
            <w:shd w:val="clear" w:color="auto" w:fill="auto"/>
            <w:vAlign w:val="center"/>
          </w:tcPr>
          <w:p w14:paraId="335E9460">
            <w:pPr>
              <w:widowControl w:val="0"/>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设计单位</w:t>
            </w:r>
          </w:p>
        </w:tc>
        <w:tc>
          <w:tcPr>
            <w:tcW w:w="6900" w:type="dxa"/>
            <w:shd w:val="clear" w:color="auto" w:fill="auto"/>
            <w:vAlign w:val="center"/>
          </w:tcPr>
          <w:p w14:paraId="49CDB5E2">
            <w:pPr>
              <w:widowControl w:val="0"/>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中誉恒信工程咨询有限公司</w:t>
            </w:r>
          </w:p>
        </w:tc>
      </w:tr>
      <w:tr w14:paraId="68BA0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shd w:val="clear" w:color="auto" w:fill="auto"/>
            <w:vAlign w:val="center"/>
          </w:tcPr>
          <w:p w14:paraId="3844D270">
            <w:pPr>
              <w:widowControl w:val="0"/>
              <w:spacing w:line="360" w:lineRule="auto"/>
              <w:jc w:val="center"/>
              <w:rPr>
                <w:rFonts w:hint="eastAsia" w:ascii="宋体" w:hAnsi="宋体" w:eastAsia="宋体" w:cs="宋体"/>
                <w:sz w:val="24"/>
                <w:szCs w:val="24"/>
                <w:lang w:val="en-US" w:eastAsia="en-US"/>
              </w:rPr>
            </w:pPr>
            <w:r>
              <w:rPr>
                <w:rFonts w:hint="eastAsia" w:ascii="宋体" w:hAnsi="宋体" w:eastAsia="宋体" w:cs="宋体"/>
                <w:sz w:val="24"/>
                <w:szCs w:val="24"/>
              </w:rPr>
              <w:t>10</w:t>
            </w:r>
          </w:p>
        </w:tc>
        <w:tc>
          <w:tcPr>
            <w:tcW w:w="2433" w:type="dxa"/>
            <w:shd w:val="clear" w:color="auto" w:fill="auto"/>
            <w:vAlign w:val="center"/>
          </w:tcPr>
          <w:p w14:paraId="1CC1852F">
            <w:pPr>
              <w:widowControl w:val="0"/>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造价咨询单位</w:t>
            </w:r>
          </w:p>
        </w:tc>
        <w:tc>
          <w:tcPr>
            <w:tcW w:w="6900" w:type="dxa"/>
            <w:shd w:val="clear" w:color="auto" w:fill="auto"/>
            <w:vAlign w:val="center"/>
          </w:tcPr>
          <w:p w14:paraId="06D44FB9">
            <w:pPr>
              <w:widowControl w:val="0"/>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□全过程造价咨询  ☑非全过程造价咨询</w:t>
            </w:r>
          </w:p>
        </w:tc>
      </w:tr>
      <w:tr w14:paraId="27B4B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shd w:val="clear" w:color="auto" w:fill="auto"/>
            <w:vAlign w:val="center"/>
          </w:tcPr>
          <w:p w14:paraId="1FF800B3">
            <w:pPr>
              <w:widowControl w:val="0"/>
              <w:spacing w:line="360" w:lineRule="auto"/>
              <w:jc w:val="center"/>
              <w:rPr>
                <w:rFonts w:hint="eastAsia" w:ascii="宋体" w:hAnsi="宋体" w:eastAsia="宋体" w:cs="宋体"/>
                <w:sz w:val="24"/>
                <w:szCs w:val="24"/>
                <w:lang w:val="en-US" w:eastAsia="en-US"/>
              </w:rPr>
            </w:pPr>
            <w:r>
              <w:rPr>
                <w:rFonts w:hint="eastAsia" w:ascii="宋体" w:hAnsi="宋体" w:eastAsia="宋体" w:cs="宋体"/>
                <w:sz w:val="24"/>
                <w:szCs w:val="24"/>
              </w:rPr>
              <w:t>11</w:t>
            </w:r>
          </w:p>
        </w:tc>
        <w:tc>
          <w:tcPr>
            <w:tcW w:w="2433" w:type="dxa"/>
            <w:shd w:val="clear" w:color="auto" w:fill="auto"/>
            <w:vAlign w:val="center"/>
          </w:tcPr>
          <w:p w14:paraId="3EDCB645">
            <w:pPr>
              <w:widowControl w:val="0"/>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监理单位</w:t>
            </w:r>
          </w:p>
        </w:tc>
        <w:tc>
          <w:tcPr>
            <w:tcW w:w="6900" w:type="dxa"/>
            <w:shd w:val="clear" w:color="auto" w:fill="auto"/>
            <w:vAlign w:val="center"/>
          </w:tcPr>
          <w:p w14:paraId="3ECA6F11">
            <w:pPr>
              <w:widowControl w:val="0"/>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eastAsia="zh-CN"/>
              </w:rPr>
              <w:t>□</w:t>
            </w:r>
            <w:r>
              <w:rPr>
                <w:rFonts w:hint="eastAsia" w:ascii="宋体" w:hAnsi="宋体" w:eastAsia="宋体" w:cs="宋体"/>
                <w:sz w:val="24"/>
                <w:szCs w:val="24"/>
              </w:rPr>
              <w:t>已确定监理单位</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☑未</w:t>
            </w:r>
            <w:r>
              <w:rPr>
                <w:rFonts w:hint="eastAsia" w:ascii="宋体" w:hAnsi="宋体" w:eastAsia="宋体" w:cs="宋体"/>
                <w:sz w:val="24"/>
                <w:szCs w:val="24"/>
              </w:rPr>
              <w:t>确定监理单位</w:t>
            </w:r>
          </w:p>
        </w:tc>
      </w:tr>
      <w:tr w14:paraId="390E6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shd w:val="clear" w:color="auto" w:fill="auto"/>
            <w:vAlign w:val="center"/>
          </w:tcPr>
          <w:p w14:paraId="1B1FB576">
            <w:pPr>
              <w:widowControl w:val="0"/>
              <w:spacing w:line="360" w:lineRule="auto"/>
              <w:jc w:val="center"/>
              <w:rPr>
                <w:rFonts w:hint="eastAsia" w:ascii="宋体" w:hAnsi="宋体" w:eastAsia="宋体" w:cs="宋体"/>
                <w:sz w:val="24"/>
                <w:szCs w:val="24"/>
                <w:lang w:val="en-US" w:eastAsia="en-US"/>
              </w:rPr>
            </w:pPr>
            <w:r>
              <w:rPr>
                <w:rFonts w:hint="eastAsia" w:ascii="宋体" w:hAnsi="宋体" w:eastAsia="宋体" w:cs="宋体"/>
                <w:sz w:val="24"/>
                <w:szCs w:val="24"/>
                <w:lang w:eastAsia="zh-CN"/>
              </w:rPr>
              <w:t>1</w:t>
            </w:r>
            <w:r>
              <w:rPr>
                <w:rFonts w:hint="eastAsia" w:ascii="宋体" w:hAnsi="宋体" w:eastAsia="宋体" w:cs="宋体"/>
                <w:sz w:val="24"/>
                <w:szCs w:val="24"/>
              </w:rPr>
              <w:t>2</w:t>
            </w:r>
          </w:p>
        </w:tc>
        <w:tc>
          <w:tcPr>
            <w:tcW w:w="2433" w:type="dxa"/>
            <w:shd w:val="clear" w:color="auto" w:fill="auto"/>
            <w:vAlign w:val="center"/>
          </w:tcPr>
          <w:p w14:paraId="52356A56">
            <w:pPr>
              <w:widowControl w:val="0"/>
              <w:spacing w:line="360" w:lineRule="auto"/>
              <w:jc w:val="center"/>
              <w:rPr>
                <w:rFonts w:hint="eastAsia" w:ascii="宋体" w:hAnsi="宋体" w:eastAsia="宋体" w:cs="宋体"/>
                <w:sz w:val="24"/>
                <w:szCs w:val="24"/>
                <w:lang w:val="en-US" w:eastAsia="en-US"/>
              </w:rPr>
            </w:pPr>
            <w:r>
              <w:rPr>
                <w:rFonts w:hint="eastAsia" w:ascii="宋体" w:hAnsi="宋体" w:eastAsia="宋体" w:cs="宋体"/>
                <w:sz w:val="24"/>
                <w:szCs w:val="24"/>
              </w:rPr>
              <w:t>建设内容和规模</w:t>
            </w:r>
          </w:p>
        </w:tc>
        <w:tc>
          <w:tcPr>
            <w:tcW w:w="6900" w:type="dxa"/>
            <w:shd w:val="clear" w:color="auto" w:fill="auto"/>
            <w:vAlign w:val="center"/>
          </w:tcPr>
          <w:p w14:paraId="33F48A8B">
            <w:pPr>
              <w:widowControl w:val="0"/>
              <w:spacing w:line="360" w:lineRule="auto"/>
              <w:jc w:val="both"/>
              <w:rPr>
                <w:rFonts w:hint="eastAsia" w:ascii="宋体" w:hAnsi="宋体" w:eastAsia="宋体" w:cs="宋体"/>
                <w:sz w:val="24"/>
                <w:szCs w:val="24"/>
                <w:lang w:val="en-US" w:eastAsia="en-US"/>
              </w:rPr>
            </w:pPr>
            <w:r>
              <w:rPr>
                <w:rFonts w:hint="eastAsia" w:ascii="宋体" w:hAnsi="宋体" w:eastAsia="宋体" w:cs="宋体"/>
                <w:sz w:val="24"/>
                <w:szCs w:val="24"/>
                <w:lang w:eastAsia="zh-CN"/>
              </w:rPr>
              <w:t>☑</w:t>
            </w:r>
            <w:r>
              <w:rPr>
                <w:rFonts w:hint="eastAsia" w:ascii="宋体" w:hAnsi="宋体" w:eastAsia="宋体" w:cs="宋体"/>
                <w:sz w:val="24"/>
                <w:szCs w:val="24"/>
              </w:rPr>
              <w:t>建设内容</w:t>
            </w:r>
            <w:r>
              <w:rPr>
                <w:rFonts w:hint="eastAsia" w:ascii="宋体" w:hAnsi="宋体" w:eastAsia="宋体" w:cs="宋体"/>
                <w:sz w:val="24"/>
                <w:szCs w:val="24"/>
                <w:lang w:eastAsia="zh-CN"/>
              </w:rPr>
              <w:t>及</w:t>
            </w:r>
            <w:r>
              <w:rPr>
                <w:rFonts w:hint="eastAsia" w:ascii="宋体" w:hAnsi="宋体" w:eastAsia="宋体" w:cs="宋体"/>
                <w:sz w:val="24"/>
                <w:szCs w:val="24"/>
              </w:rPr>
              <w:t>建设规模：</w:t>
            </w:r>
            <w:r>
              <w:rPr>
                <w:rFonts w:hint="eastAsia" w:ascii="宋体" w:hAnsi="宋体" w:eastAsia="宋体" w:cs="宋体"/>
                <w:sz w:val="24"/>
                <w:szCs w:val="24"/>
                <w:lang w:val="en-US" w:eastAsia="zh-CN"/>
              </w:rPr>
              <w:t>项目建设为武江区重阳镇水口及大夫前村农产业示范带配套基础设施提升项目工程，建设农耕便道、农业科普园、道路、停车场、公厕等。</w:t>
            </w:r>
          </w:p>
        </w:tc>
      </w:tr>
      <w:tr w14:paraId="62A53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shd w:val="clear" w:color="auto" w:fill="auto"/>
            <w:vAlign w:val="center"/>
          </w:tcPr>
          <w:p w14:paraId="7C2FF3F6">
            <w:pPr>
              <w:widowControl w:val="0"/>
              <w:spacing w:line="360" w:lineRule="auto"/>
              <w:jc w:val="center"/>
              <w:rPr>
                <w:rFonts w:hint="eastAsia" w:ascii="宋体" w:hAnsi="宋体" w:eastAsia="宋体" w:cs="宋体"/>
                <w:sz w:val="24"/>
                <w:szCs w:val="24"/>
                <w:lang w:val="en-US" w:eastAsia="en-US"/>
              </w:rPr>
            </w:pPr>
            <w:r>
              <w:rPr>
                <w:rFonts w:hint="eastAsia" w:ascii="宋体" w:hAnsi="宋体" w:eastAsia="宋体" w:cs="宋体"/>
                <w:sz w:val="24"/>
                <w:szCs w:val="24"/>
              </w:rPr>
              <w:t>13</w:t>
            </w:r>
          </w:p>
        </w:tc>
        <w:tc>
          <w:tcPr>
            <w:tcW w:w="2433" w:type="dxa"/>
            <w:shd w:val="clear" w:color="auto" w:fill="auto"/>
            <w:vAlign w:val="center"/>
          </w:tcPr>
          <w:p w14:paraId="2640CAF1">
            <w:pPr>
              <w:widowControl w:val="0"/>
              <w:spacing w:line="360" w:lineRule="auto"/>
              <w:jc w:val="center"/>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rPr>
              <w:t>项目总投资</w:t>
            </w:r>
          </w:p>
        </w:tc>
        <w:tc>
          <w:tcPr>
            <w:tcW w:w="6900" w:type="dxa"/>
            <w:shd w:val="clear" w:color="auto" w:fill="auto"/>
            <w:vAlign w:val="center"/>
          </w:tcPr>
          <w:p w14:paraId="05F12A89">
            <w:pPr>
              <w:widowControl w:val="0"/>
              <w:spacing w:line="360" w:lineRule="auto"/>
              <w:jc w:val="both"/>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项目初步设计概算总投资942.22万元,其中建安工程费860.42万元,工程建设其他费用81.80万元,基本预备费0万元。</w:t>
            </w:r>
          </w:p>
        </w:tc>
      </w:tr>
      <w:tr w14:paraId="4469B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shd w:val="clear" w:color="auto" w:fill="auto"/>
            <w:vAlign w:val="center"/>
          </w:tcPr>
          <w:p w14:paraId="45183B32">
            <w:pPr>
              <w:widowControl w:val="0"/>
              <w:spacing w:line="360" w:lineRule="auto"/>
              <w:jc w:val="center"/>
              <w:rPr>
                <w:rFonts w:hint="eastAsia" w:ascii="宋体" w:hAnsi="宋体" w:eastAsia="宋体" w:cs="宋体"/>
                <w:sz w:val="24"/>
                <w:szCs w:val="24"/>
                <w:lang w:val="en-US" w:eastAsia="en-US"/>
              </w:rPr>
            </w:pPr>
            <w:r>
              <w:rPr>
                <w:rFonts w:hint="eastAsia" w:ascii="宋体" w:hAnsi="宋体" w:eastAsia="宋体" w:cs="宋体"/>
                <w:sz w:val="24"/>
                <w:szCs w:val="24"/>
              </w:rPr>
              <w:t>14</w:t>
            </w:r>
          </w:p>
        </w:tc>
        <w:tc>
          <w:tcPr>
            <w:tcW w:w="2433" w:type="dxa"/>
            <w:shd w:val="clear" w:color="auto" w:fill="auto"/>
            <w:vAlign w:val="top"/>
          </w:tcPr>
          <w:p w14:paraId="4B997606">
            <w:pPr>
              <w:widowControl w:val="0"/>
              <w:spacing w:line="360" w:lineRule="auto"/>
              <w:jc w:val="center"/>
              <w:rPr>
                <w:rFonts w:hint="eastAsia" w:ascii="宋体" w:hAnsi="宋体" w:eastAsia="宋体" w:cs="宋体"/>
                <w:sz w:val="24"/>
                <w:szCs w:val="24"/>
                <w:lang w:val="en-US" w:eastAsia="en-US"/>
              </w:rPr>
            </w:pPr>
            <w:r>
              <w:rPr>
                <w:rFonts w:hint="eastAsia" w:ascii="宋体" w:hAnsi="宋体" w:eastAsia="宋体" w:cs="宋体"/>
                <w:sz w:val="24"/>
                <w:szCs w:val="24"/>
              </w:rPr>
              <w:t>招标范围</w:t>
            </w:r>
          </w:p>
        </w:tc>
        <w:tc>
          <w:tcPr>
            <w:tcW w:w="6900" w:type="dxa"/>
            <w:shd w:val="clear" w:color="auto" w:fill="auto"/>
            <w:vAlign w:val="top"/>
          </w:tcPr>
          <w:p w14:paraId="55D2EF94">
            <w:pPr>
              <w:widowControl w:val="0"/>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rPr>
              <w:t>按审查合格的施工图纸及工程量清单内容施工</w:t>
            </w:r>
            <w:r>
              <w:rPr>
                <w:rFonts w:hint="eastAsia" w:ascii="宋体" w:hAnsi="宋体" w:eastAsia="宋体" w:cs="宋体"/>
                <w:sz w:val="24"/>
                <w:szCs w:val="24"/>
                <w:lang w:eastAsia="zh-CN"/>
              </w:rPr>
              <w:t>。</w:t>
            </w:r>
          </w:p>
        </w:tc>
      </w:tr>
      <w:tr w14:paraId="6D934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shd w:val="clear" w:color="auto" w:fill="auto"/>
            <w:vAlign w:val="center"/>
          </w:tcPr>
          <w:p w14:paraId="2E9C444B">
            <w:pPr>
              <w:widowControl w:val="0"/>
              <w:spacing w:line="360" w:lineRule="auto"/>
              <w:jc w:val="center"/>
              <w:rPr>
                <w:rFonts w:hint="eastAsia" w:ascii="宋体" w:hAnsi="宋体" w:eastAsia="宋体" w:cs="宋体"/>
                <w:sz w:val="24"/>
                <w:szCs w:val="24"/>
                <w:lang w:val="en-US" w:eastAsia="en-US"/>
              </w:rPr>
            </w:pPr>
            <w:r>
              <w:rPr>
                <w:rFonts w:hint="eastAsia" w:ascii="宋体" w:hAnsi="宋体" w:eastAsia="宋体" w:cs="宋体"/>
                <w:sz w:val="24"/>
                <w:szCs w:val="24"/>
              </w:rPr>
              <w:t>15</w:t>
            </w:r>
          </w:p>
        </w:tc>
        <w:tc>
          <w:tcPr>
            <w:tcW w:w="2433" w:type="dxa"/>
            <w:shd w:val="clear" w:color="auto" w:fill="auto"/>
            <w:vAlign w:val="center"/>
          </w:tcPr>
          <w:p w14:paraId="5ECF0E27">
            <w:pPr>
              <w:widowControl w:val="0"/>
              <w:spacing w:line="360" w:lineRule="auto"/>
              <w:jc w:val="center"/>
              <w:rPr>
                <w:rFonts w:hint="eastAsia" w:ascii="宋体" w:hAnsi="宋体" w:eastAsia="宋体" w:cs="宋体"/>
                <w:sz w:val="24"/>
                <w:szCs w:val="24"/>
                <w:lang w:val="en-US" w:eastAsia="en-US"/>
              </w:rPr>
            </w:pPr>
            <w:r>
              <w:rPr>
                <w:rFonts w:hint="eastAsia" w:ascii="宋体" w:hAnsi="宋体" w:eastAsia="宋体" w:cs="宋体"/>
                <w:sz w:val="24"/>
                <w:szCs w:val="24"/>
              </w:rPr>
              <w:t>标段划分</w:t>
            </w:r>
          </w:p>
        </w:tc>
        <w:tc>
          <w:tcPr>
            <w:tcW w:w="6900" w:type="dxa"/>
            <w:shd w:val="clear" w:color="auto" w:fill="auto"/>
            <w:vAlign w:val="center"/>
          </w:tcPr>
          <w:p w14:paraId="334CEEFE">
            <w:pPr>
              <w:widowControl w:val="0"/>
              <w:spacing w:line="360" w:lineRule="auto"/>
              <w:jc w:val="both"/>
              <w:rPr>
                <w:rFonts w:hint="eastAsia" w:ascii="宋体" w:hAnsi="宋体" w:eastAsia="宋体" w:cs="宋体"/>
                <w:sz w:val="24"/>
                <w:szCs w:val="24"/>
                <w:lang w:val="en-US" w:eastAsia="en-US"/>
              </w:rPr>
            </w:pPr>
            <w:r>
              <w:rPr>
                <w:rFonts w:hint="eastAsia" w:ascii="宋体" w:hAnsi="宋体" w:eastAsia="宋体" w:cs="宋体"/>
                <w:sz w:val="24"/>
                <w:szCs w:val="24"/>
              </w:rPr>
              <w:t>本招标项目不划分标段。</w:t>
            </w:r>
          </w:p>
        </w:tc>
      </w:tr>
      <w:tr w14:paraId="36A9D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shd w:val="clear" w:color="auto" w:fill="auto"/>
            <w:vAlign w:val="center"/>
          </w:tcPr>
          <w:p w14:paraId="509B7E70">
            <w:pPr>
              <w:widowControl w:val="0"/>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rPr>
              <w:t>16</w:t>
            </w:r>
          </w:p>
        </w:tc>
        <w:tc>
          <w:tcPr>
            <w:tcW w:w="2433" w:type="dxa"/>
            <w:shd w:val="clear" w:color="auto" w:fill="auto"/>
            <w:vAlign w:val="center"/>
          </w:tcPr>
          <w:p w14:paraId="7F21C96C">
            <w:pPr>
              <w:widowControl w:val="0"/>
              <w:spacing w:line="360" w:lineRule="auto"/>
              <w:jc w:val="center"/>
              <w:rPr>
                <w:rFonts w:hint="eastAsia" w:ascii="宋体" w:hAnsi="宋体" w:eastAsia="宋体" w:cs="宋体"/>
                <w:sz w:val="24"/>
                <w:szCs w:val="24"/>
                <w:lang w:val="en-US" w:eastAsia="en-US"/>
              </w:rPr>
            </w:pPr>
            <w:r>
              <w:rPr>
                <w:rFonts w:hint="eastAsia" w:ascii="宋体" w:hAnsi="宋体" w:eastAsia="宋体" w:cs="宋体"/>
                <w:sz w:val="24"/>
                <w:szCs w:val="24"/>
              </w:rPr>
              <w:t>工期</w:t>
            </w:r>
          </w:p>
        </w:tc>
        <w:tc>
          <w:tcPr>
            <w:tcW w:w="6900" w:type="dxa"/>
            <w:shd w:val="clear" w:color="auto" w:fill="auto"/>
            <w:vAlign w:val="top"/>
          </w:tcPr>
          <w:p w14:paraId="5B72EFA7">
            <w:pPr>
              <w:widowControl w:val="0"/>
              <w:spacing w:line="360" w:lineRule="auto"/>
              <w:jc w:val="both"/>
              <w:rPr>
                <w:rFonts w:hint="eastAsia" w:ascii="宋体" w:hAnsi="宋体" w:eastAsia="宋体" w:cs="宋体"/>
                <w:sz w:val="24"/>
                <w:szCs w:val="24"/>
              </w:rPr>
            </w:pPr>
            <w:r>
              <w:rPr>
                <w:rFonts w:hint="eastAsia" w:ascii="宋体" w:hAnsi="宋体" w:eastAsia="宋体" w:cs="宋体"/>
                <w:sz w:val="24"/>
                <w:szCs w:val="24"/>
              </w:rPr>
              <w:t>本招标项目招标工期为个日历天。具体如下：</w:t>
            </w:r>
          </w:p>
          <w:p w14:paraId="0BE99AF0">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总工期：</w:t>
            </w:r>
            <w:r>
              <w:rPr>
                <w:rFonts w:hint="eastAsia" w:ascii="宋体" w:hAnsi="宋体" w:eastAsia="宋体" w:cs="宋体"/>
                <w:color w:val="auto"/>
                <w:sz w:val="24"/>
                <w:szCs w:val="24"/>
                <w:lang w:val="en-US" w:eastAsia="zh-CN"/>
              </w:rPr>
              <w:t>120天</w:t>
            </w:r>
            <w:r>
              <w:rPr>
                <w:rFonts w:hint="eastAsia" w:ascii="宋体" w:hAnsi="宋体" w:eastAsia="宋体" w:cs="宋体"/>
                <w:color w:val="auto"/>
                <w:sz w:val="24"/>
                <w:szCs w:val="24"/>
              </w:rPr>
              <w:t>（日历天）。</w:t>
            </w:r>
          </w:p>
          <w:p w14:paraId="03B5A72B">
            <w:pPr>
              <w:widowControl w:val="0"/>
              <w:spacing w:line="360" w:lineRule="auto"/>
              <w:jc w:val="both"/>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计划开工日期</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年</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月</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日（具体开工日期以合同为准）</w:t>
            </w:r>
          </w:p>
          <w:p w14:paraId="603B74AA">
            <w:pPr>
              <w:widowControl w:val="0"/>
              <w:spacing w:line="360" w:lineRule="auto"/>
              <w:jc w:val="both"/>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计划竣工日期：</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年</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月</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日</w:t>
            </w:r>
          </w:p>
          <w:p w14:paraId="54FEDF04">
            <w:pPr>
              <w:widowControl w:val="0"/>
              <w:spacing w:line="360" w:lineRule="auto"/>
              <w:jc w:val="both"/>
              <w:rPr>
                <w:rFonts w:hint="eastAsia" w:ascii="宋体" w:hAnsi="宋体" w:eastAsia="宋体" w:cs="宋体"/>
                <w:sz w:val="24"/>
                <w:szCs w:val="24"/>
                <w:lang w:val="en-US" w:eastAsia="en-US"/>
              </w:rPr>
            </w:pPr>
            <w:r>
              <w:rPr>
                <w:rFonts w:hint="eastAsia" w:ascii="宋体" w:hAnsi="宋体" w:eastAsia="宋体" w:cs="宋体"/>
                <w:sz w:val="24"/>
                <w:szCs w:val="24"/>
              </w:rPr>
              <w:t>□除上述总工期外，发包人还要求以下阶段工期：</w:t>
            </w:r>
          </w:p>
        </w:tc>
      </w:tr>
      <w:tr w14:paraId="1F679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shd w:val="clear" w:color="auto" w:fill="auto"/>
            <w:vAlign w:val="center"/>
          </w:tcPr>
          <w:p w14:paraId="1155CB24">
            <w:pPr>
              <w:widowControl w:val="0"/>
              <w:spacing w:line="360" w:lineRule="auto"/>
              <w:jc w:val="center"/>
              <w:rPr>
                <w:rFonts w:hint="eastAsia" w:ascii="宋体" w:hAnsi="宋体" w:eastAsia="宋体" w:cs="宋体"/>
                <w:sz w:val="24"/>
                <w:szCs w:val="24"/>
                <w:lang w:val="en-US" w:eastAsia="en-US"/>
              </w:rPr>
            </w:pPr>
            <w:r>
              <w:rPr>
                <w:rFonts w:hint="eastAsia" w:ascii="宋体" w:hAnsi="宋体" w:eastAsia="宋体" w:cs="宋体"/>
                <w:sz w:val="24"/>
                <w:szCs w:val="24"/>
              </w:rPr>
              <w:t>17</w:t>
            </w:r>
          </w:p>
        </w:tc>
        <w:tc>
          <w:tcPr>
            <w:tcW w:w="2433" w:type="dxa"/>
            <w:shd w:val="clear" w:color="auto" w:fill="auto"/>
            <w:vAlign w:val="center"/>
          </w:tcPr>
          <w:p w14:paraId="428AB34E">
            <w:pPr>
              <w:widowControl w:val="0"/>
              <w:spacing w:line="360" w:lineRule="auto"/>
              <w:jc w:val="center"/>
              <w:rPr>
                <w:rFonts w:hint="eastAsia" w:ascii="宋体" w:hAnsi="宋体" w:eastAsia="宋体" w:cs="宋体"/>
                <w:sz w:val="24"/>
                <w:szCs w:val="24"/>
                <w:lang w:val="en-US" w:eastAsia="en-US"/>
              </w:rPr>
            </w:pPr>
            <w:r>
              <w:rPr>
                <w:rFonts w:hint="eastAsia" w:ascii="宋体" w:hAnsi="宋体" w:eastAsia="宋体" w:cs="宋体"/>
                <w:sz w:val="24"/>
                <w:szCs w:val="24"/>
              </w:rPr>
              <w:t>质量标准</w:t>
            </w:r>
          </w:p>
        </w:tc>
        <w:tc>
          <w:tcPr>
            <w:tcW w:w="6900" w:type="dxa"/>
            <w:shd w:val="clear" w:color="auto" w:fill="auto"/>
            <w:vAlign w:val="top"/>
          </w:tcPr>
          <w:p w14:paraId="0EFDB54D">
            <w:pPr>
              <w:widowControl w:val="0"/>
              <w:spacing w:line="360" w:lineRule="auto"/>
              <w:jc w:val="both"/>
              <w:rPr>
                <w:rFonts w:hint="eastAsia" w:ascii="宋体" w:hAnsi="宋体" w:eastAsia="宋体" w:cs="宋体"/>
                <w:sz w:val="24"/>
                <w:szCs w:val="24"/>
              </w:rPr>
            </w:pPr>
            <w:r>
              <w:rPr>
                <w:rFonts w:hint="eastAsia" w:ascii="宋体" w:hAnsi="宋体" w:eastAsia="宋体" w:cs="宋体"/>
                <w:sz w:val="24"/>
                <w:szCs w:val="24"/>
                <w:lang w:val="en-US" w:eastAsia="zh-CN"/>
              </w:rPr>
              <w:t>☑质量目标：合格</w:t>
            </w:r>
          </w:p>
          <w:p w14:paraId="4DF09D02">
            <w:pPr>
              <w:widowControl w:val="0"/>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☑质量标准：工程质量标准须达到《建筑工程施工质量验收统一标准》(GB50300-2013)合格。</w:t>
            </w:r>
          </w:p>
          <w:p w14:paraId="27731853">
            <w:pPr>
              <w:widowControl w:val="0"/>
              <w:spacing w:line="360" w:lineRule="auto"/>
              <w:jc w:val="both"/>
              <w:rPr>
                <w:rFonts w:hint="eastAsia" w:ascii="宋体" w:hAnsi="宋体" w:eastAsia="宋体" w:cs="宋体"/>
                <w:sz w:val="24"/>
                <w:szCs w:val="24"/>
              </w:rPr>
            </w:pPr>
            <w:r>
              <w:rPr>
                <w:rFonts w:hint="eastAsia" w:ascii="宋体" w:hAnsi="宋体" w:eastAsia="宋体" w:cs="宋体"/>
                <w:sz w:val="24"/>
                <w:szCs w:val="24"/>
                <w:lang w:val="en-US" w:eastAsia="zh-CN"/>
              </w:rPr>
              <w:t>□优质工程要求：无/市优/省优/.....</w:t>
            </w:r>
          </w:p>
          <w:p w14:paraId="0F033577">
            <w:pPr>
              <w:widowControl w:val="0"/>
              <w:spacing w:line="360" w:lineRule="auto"/>
              <w:jc w:val="both"/>
              <w:rPr>
                <w:rFonts w:hint="eastAsia" w:ascii="宋体" w:hAnsi="宋体" w:eastAsia="宋体" w:cs="宋体"/>
                <w:sz w:val="24"/>
                <w:szCs w:val="24"/>
                <w:lang w:val="en-US" w:eastAsia="en-US"/>
              </w:rPr>
            </w:pPr>
            <w:r>
              <w:rPr>
                <w:rFonts w:hint="eastAsia" w:ascii="宋体" w:hAnsi="宋体" w:eastAsia="宋体" w:cs="宋体"/>
                <w:sz w:val="24"/>
                <w:szCs w:val="24"/>
                <w:lang w:val="en-US" w:eastAsia="zh-CN"/>
              </w:rPr>
              <w:t>工程优质费：☑无     □有：</w:t>
            </w:r>
          </w:p>
        </w:tc>
      </w:tr>
      <w:tr w14:paraId="4266C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shd w:val="clear" w:color="auto" w:fill="auto"/>
            <w:vAlign w:val="center"/>
          </w:tcPr>
          <w:p w14:paraId="2BBF24D3">
            <w:pPr>
              <w:widowControl w:val="0"/>
              <w:spacing w:line="360" w:lineRule="auto"/>
              <w:jc w:val="center"/>
              <w:rPr>
                <w:rFonts w:hint="eastAsia" w:ascii="宋体" w:hAnsi="宋体" w:eastAsia="宋体" w:cs="宋体"/>
                <w:sz w:val="24"/>
                <w:szCs w:val="24"/>
                <w:lang w:val="en-US" w:eastAsia="en-US"/>
              </w:rPr>
            </w:pPr>
            <w:r>
              <w:rPr>
                <w:rFonts w:hint="eastAsia" w:ascii="宋体" w:hAnsi="宋体" w:eastAsia="宋体" w:cs="宋体"/>
                <w:sz w:val="24"/>
                <w:szCs w:val="24"/>
              </w:rPr>
              <w:t>18</w:t>
            </w:r>
          </w:p>
        </w:tc>
        <w:tc>
          <w:tcPr>
            <w:tcW w:w="2433" w:type="dxa"/>
            <w:shd w:val="clear" w:color="auto" w:fill="auto"/>
            <w:vAlign w:val="center"/>
          </w:tcPr>
          <w:p w14:paraId="49A3AEE6">
            <w:pPr>
              <w:widowControl w:val="0"/>
              <w:spacing w:line="360" w:lineRule="auto"/>
              <w:jc w:val="center"/>
              <w:rPr>
                <w:rFonts w:hint="eastAsia" w:ascii="宋体" w:hAnsi="宋体" w:eastAsia="宋体" w:cs="宋体"/>
                <w:sz w:val="24"/>
                <w:szCs w:val="24"/>
                <w:lang w:val="en-US" w:eastAsia="en-US"/>
              </w:rPr>
            </w:pPr>
            <w:r>
              <w:rPr>
                <w:rFonts w:hint="eastAsia" w:ascii="宋体" w:hAnsi="宋体" w:eastAsia="宋体" w:cs="宋体"/>
                <w:sz w:val="24"/>
                <w:szCs w:val="24"/>
              </w:rPr>
              <w:t>合同类型</w:t>
            </w:r>
          </w:p>
        </w:tc>
        <w:tc>
          <w:tcPr>
            <w:tcW w:w="6900" w:type="dxa"/>
            <w:shd w:val="clear" w:color="auto" w:fill="auto"/>
            <w:vAlign w:val="top"/>
          </w:tcPr>
          <w:p w14:paraId="3C5B1021">
            <w:pPr>
              <w:widowControl w:val="0"/>
              <w:spacing w:line="360" w:lineRule="auto"/>
              <w:jc w:val="both"/>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单价合同：发承包双方约定以工程量清单及其综合单价进行合同价款计算、调整和确认的建设工程施工合同。</w:t>
            </w:r>
          </w:p>
          <w:p w14:paraId="7EDC46A5">
            <w:pPr>
              <w:widowControl w:val="0"/>
              <w:spacing w:line="360" w:lineRule="auto"/>
              <w:jc w:val="both"/>
              <w:rPr>
                <w:rFonts w:hint="eastAsia" w:ascii="宋体" w:hAnsi="宋体" w:eastAsia="宋体" w:cs="宋体"/>
                <w:sz w:val="24"/>
                <w:szCs w:val="24"/>
              </w:rPr>
            </w:pPr>
            <w:r>
              <w:rPr>
                <w:rFonts w:hint="eastAsia" w:ascii="宋体" w:hAnsi="宋体" w:eastAsia="宋体" w:cs="宋体"/>
                <w:sz w:val="24"/>
                <w:szCs w:val="24"/>
              </w:rPr>
              <w:t>注：实行工程量清单计价的工程，应采用单价合同方式，即合同中的工程量清单项目综合单价在合同约定的条件内固定不变（不正常报价除外，这部分按招标文件、合同约定的原则调整综合单价），超过合同约定条件时，依据合同约定进行调整；工程量清单项目及工程量依据承包人实际完成且应予计量的工程量确定。</w:t>
            </w:r>
          </w:p>
          <w:p w14:paraId="2452E025">
            <w:pPr>
              <w:widowControl w:val="0"/>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□总价合同：发承包双方约定以施工图及其预算和有关条件进行合同价款计算、调整和确认的建设工程施工合同。</w:t>
            </w:r>
          </w:p>
          <w:p w14:paraId="6CC7D6B3">
            <w:pPr>
              <w:widowControl w:val="0"/>
              <w:spacing w:line="360" w:lineRule="auto"/>
              <w:jc w:val="both"/>
              <w:rPr>
                <w:rFonts w:hint="eastAsia" w:ascii="宋体" w:hAnsi="宋体" w:eastAsia="宋体" w:cs="宋体"/>
                <w:sz w:val="24"/>
                <w:szCs w:val="24"/>
                <w:lang w:val="en-US" w:eastAsia="en-US"/>
              </w:rPr>
            </w:pPr>
            <w:r>
              <w:rPr>
                <w:rFonts w:hint="eastAsia" w:ascii="宋体" w:hAnsi="宋体" w:eastAsia="宋体" w:cs="宋体"/>
                <w:sz w:val="24"/>
                <w:szCs w:val="24"/>
                <w:lang w:val="en-US" w:eastAsia="zh-CN"/>
              </w:rPr>
              <w:t>注：总价合同是以施工图纸、规范为基础，在工程任务内容明确、发包人的要求条件清楚、计价依据和要求确定的条件下，发承包双方依据承包人编制的施工图预算商谈确定合同价款。当合同约定工程施工内容和有关条件不发生变化时，发包人付给承包人的工程价款总额保持不变。当工程施工内容和有关条件发生变化时，发承包双方根据变化情况和合同约定仅调整发生变化部分的工程价款，且对工程量变化引起的合同价款调整应遵循现行建设工程工程量清单计价规范原则。</w:t>
            </w:r>
          </w:p>
        </w:tc>
      </w:tr>
      <w:tr w14:paraId="4BB30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shd w:val="clear" w:color="auto" w:fill="auto"/>
            <w:vAlign w:val="center"/>
          </w:tcPr>
          <w:p w14:paraId="355AB5E3">
            <w:pPr>
              <w:widowControl w:val="0"/>
              <w:spacing w:line="360" w:lineRule="auto"/>
              <w:jc w:val="center"/>
              <w:rPr>
                <w:rFonts w:hint="eastAsia" w:ascii="宋体" w:hAnsi="宋体" w:eastAsia="宋体" w:cs="宋体"/>
                <w:sz w:val="24"/>
                <w:szCs w:val="24"/>
                <w:lang w:val="en-US" w:eastAsia="en-US"/>
              </w:rPr>
            </w:pPr>
            <w:r>
              <w:rPr>
                <w:rFonts w:hint="eastAsia" w:ascii="宋体" w:hAnsi="宋体" w:eastAsia="宋体" w:cs="宋体"/>
                <w:sz w:val="24"/>
                <w:szCs w:val="24"/>
              </w:rPr>
              <w:t>19</w:t>
            </w:r>
          </w:p>
        </w:tc>
        <w:tc>
          <w:tcPr>
            <w:tcW w:w="2433" w:type="dxa"/>
            <w:shd w:val="clear" w:color="auto" w:fill="auto"/>
            <w:vAlign w:val="top"/>
          </w:tcPr>
          <w:p w14:paraId="1B273977">
            <w:pPr>
              <w:widowControl w:val="0"/>
              <w:spacing w:line="360" w:lineRule="auto"/>
              <w:jc w:val="center"/>
              <w:rPr>
                <w:rFonts w:hint="eastAsia" w:ascii="宋体" w:hAnsi="宋体" w:eastAsia="宋体" w:cs="宋体"/>
                <w:sz w:val="24"/>
                <w:szCs w:val="24"/>
                <w:lang w:val="en-US" w:eastAsia="en-US"/>
              </w:rPr>
            </w:pPr>
            <w:r>
              <w:rPr>
                <w:rFonts w:hint="eastAsia" w:ascii="宋体" w:hAnsi="宋体" w:eastAsia="宋体" w:cs="宋体"/>
                <w:sz w:val="24"/>
                <w:szCs w:val="24"/>
              </w:rPr>
              <w:t>房屋建筑工程绿色建筑标准</w:t>
            </w:r>
          </w:p>
        </w:tc>
        <w:tc>
          <w:tcPr>
            <w:tcW w:w="6900" w:type="dxa"/>
            <w:shd w:val="clear" w:color="auto" w:fill="auto"/>
            <w:vAlign w:val="center"/>
          </w:tcPr>
          <w:p w14:paraId="11172871">
            <w:pPr>
              <w:widowControl w:val="0"/>
              <w:spacing w:line="360" w:lineRule="auto"/>
              <w:jc w:val="left"/>
              <w:rPr>
                <w:rFonts w:hint="eastAsia" w:ascii="宋体" w:hAnsi="宋体" w:eastAsia="宋体" w:cs="宋体"/>
                <w:sz w:val="24"/>
                <w:szCs w:val="24"/>
                <w:lang w:val="en-US" w:eastAsia="en-US"/>
              </w:rPr>
            </w:pPr>
            <w:r>
              <w:rPr>
                <w:rFonts w:hint="eastAsia" w:ascii="宋体" w:hAnsi="宋体" w:eastAsia="宋体" w:cs="宋体"/>
                <w:sz w:val="24"/>
                <w:szCs w:val="24"/>
              </w:rPr>
              <w:t>本招标项目</w:t>
            </w:r>
            <w:r>
              <w:rPr>
                <w:rFonts w:hint="eastAsia" w:ascii="宋体" w:hAnsi="宋体" w:eastAsia="宋体" w:cs="宋体"/>
                <w:sz w:val="24"/>
                <w:szCs w:val="24"/>
                <w:lang w:eastAsia="zh-CN"/>
              </w:rPr>
              <w:t>不</w:t>
            </w:r>
            <w:r>
              <w:rPr>
                <w:rFonts w:hint="eastAsia" w:ascii="宋体" w:hAnsi="宋体" w:eastAsia="宋体" w:cs="宋体"/>
                <w:sz w:val="24"/>
                <w:szCs w:val="24"/>
              </w:rPr>
              <w:t>纳入绿色建设实施范围</w:t>
            </w:r>
            <w:r>
              <w:rPr>
                <w:rFonts w:hint="eastAsia" w:ascii="宋体" w:hAnsi="宋体" w:eastAsia="宋体" w:cs="宋体"/>
                <w:sz w:val="24"/>
                <w:szCs w:val="24"/>
                <w:lang w:eastAsia="zh-CN"/>
              </w:rPr>
              <w:t>。</w:t>
            </w:r>
          </w:p>
        </w:tc>
      </w:tr>
      <w:tr w14:paraId="669B9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shd w:val="clear" w:color="auto" w:fill="auto"/>
            <w:vAlign w:val="center"/>
          </w:tcPr>
          <w:p w14:paraId="64E1189C">
            <w:pPr>
              <w:widowControl w:val="0"/>
              <w:spacing w:line="360" w:lineRule="auto"/>
              <w:jc w:val="center"/>
              <w:rPr>
                <w:rFonts w:hint="eastAsia" w:ascii="宋体" w:hAnsi="宋体" w:eastAsia="宋体" w:cs="宋体"/>
                <w:sz w:val="24"/>
                <w:szCs w:val="24"/>
                <w:lang w:val="en-US" w:eastAsia="en-US"/>
              </w:rPr>
            </w:pPr>
            <w:r>
              <w:rPr>
                <w:rFonts w:hint="eastAsia" w:ascii="宋体" w:hAnsi="宋体" w:eastAsia="宋体" w:cs="宋体"/>
                <w:sz w:val="24"/>
                <w:szCs w:val="24"/>
              </w:rPr>
              <w:t>19.1</w:t>
            </w:r>
          </w:p>
        </w:tc>
        <w:tc>
          <w:tcPr>
            <w:tcW w:w="2433" w:type="dxa"/>
            <w:shd w:val="clear" w:color="auto" w:fill="auto"/>
            <w:vAlign w:val="center"/>
          </w:tcPr>
          <w:p w14:paraId="309D3E28">
            <w:pPr>
              <w:widowControl w:val="0"/>
              <w:spacing w:line="360" w:lineRule="auto"/>
              <w:jc w:val="center"/>
              <w:rPr>
                <w:rFonts w:hint="eastAsia" w:ascii="宋体" w:hAnsi="宋体" w:eastAsia="宋体" w:cs="宋体"/>
                <w:sz w:val="24"/>
                <w:szCs w:val="24"/>
                <w:lang w:val="en-US" w:eastAsia="en-US"/>
              </w:rPr>
            </w:pPr>
            <w:r>
              <w:rPr>
                <w:rFonts w:hint="eastAsia" w:ascii="宋体" w:hAnsi="宋体" w:eastAsia="宋体" w:cs="宋体"/>
                <w:sz w:val="24"/>
                <w:szCs w:val="24"/>
              </w:rPr>
              <w:t>装配式建筑标准</w:t>
            </w:r>
          </w:p>
        </w:tc>
        <w:tc>
          <w:tcPr>
            <w:tcW w:w="6900" w:type="dxa"/>
            <w:shd w:val="clear" w:color="auto" w:fill="auto"/>
            <w:vAlign w:val="center"/>
          </w:tcPr>
          <w:p w14:paraId="77AC63B3">
            <w:pPr>
              <w:widowControl w:val="0"/>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rPr>
              <w:t>本招标项目</w:t>
            </w:r>
            <w:r>
              <w:rPr>
                <w:rFonts w:hint="eastAsia" w:ascii="宋体" w:hAnsi="宋体" w:eastAsia="宋体" w:cs="宋体"/>
                <w:sz w:val="24"/>
                <w:szCs w:val="24"/>
                <w:lang w:eastAsia="zh-CN"/>
              </w:rPr>
              <w:t>不</w:t>
            </w:r>
            <w:r>
              <w:rPr>
                <w:rFonts w:hint="eastAsia" w:ascii="宋体" w:hAnsi="宋体" w:eastAsia="宋体" w:cs="宋体"/>
                <w:sz w:val="24"/>
                <w:szCs w:val="24"/>
              </w:rPr>
              <w:t>纳入装配式建造建设实施范围</w:t>
            </w:r>
            <w:r>
              <w:rPr>
                <w:rFonts w:hint="eastAsia" w:ascii="宋体" w:hAnsi="宋体" w:eastAsia="宋体" w:cs="宋体"/>
                <w:sz w:val="24"/>
                <w:szCs w:val="24"/>
                <w:lang w:eastAsia="zh-CN"/>
              </w:rPr>
              <w:t>。</w:t>
            </w:r>
          </w:p>
        </w:tc>
      </w:tr>
      <w:tr w14:paraId="036DC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shd w:val="clear" w:color="auto" w:fill="auto"/>
            <w:vAlign w:val="center"/>
          </w:tcPr>
          <w:p w14:paraId="0E3E83EE">
            <w:pPr>
              <w:widowControl w:val="0"/>
              <w:spacing w:line="360" w:lineRule="auto"/>
              <w:jc w:val="center"/>
              <w:rPr>
                <w:rFonts w:hint="eastAsia" w:ascii="宋体" w:hAnsi="宋体" w:eastAsia="宋体" w:cs="宋体"/>
                <w:sz w:val="24"/>
                <w:szCs w:val="24"/>
                <w:lang w:val="en-US" w:eastAsia="en-US"/>
              </w:rPr>
            </w:pPr>
            <w:r>
              <w:rPr>
                <w:rFonts w:hint="eastAsia" w:ascii="宋体" w:hAnsi="宋体" w:eastAsia="宋体" w:cs="宋体"/>
                <w:sz w:val="24"/>
                <w:szCs w:val="24"/>
              </w:rPr>
              <w:t>20</w:t>
            </w:r>
          </w:p>
        </w:tc>
        <w:tc>
          <w:tcPr>
            <w:tcW w:w="2433" w:type="dxa"/>
            <w:shd w:val="clear" w:color="auto" w:fill="auto"/>
            <w:vAlign w:val="center"/>
          </w:tcPr>
          <w:p w14:paraId="51326562">
            <w:pPr>
              <w:widowControl w:val="0"/>
              <w:spacing w:line="360" w:lineRule="auto"/>
              <w:jc w:val="center"/>
              <w:rPr>
                <w:rFonts w:hint="eastAsia" w:ascii="宋体" w:hAnsi="宋体" w:eastAsia="宋体" w:cs="宋体"/>
                <w:sz w:val="24"/>
                <w:szCs w:val="24"/>
                <w:lang w:val="en-US" w:eastAsia="en-US"/>
              </w:rPr>
            </w:pPr>
            <w:r>
              <w:rPr>
                <w:rFonts w:hint="eastAsia" w:ascii="宋体" w:hAnsi="宋体" w:eastAsia="宋体" w:cs="宋体"/>
                <w:sz w:val="24"/>
                <w:szCs w:val="24"/>
              </w:rPr>
              <w:t>发包人提供材料和工程设备</w:t>
            </w:r>
          </w:p>
        </w:tc>
        <w:tc>
          <w:tcPr>
            <w:tcW w:w="6900" w:type="dxa"/>
            <w:shd w:val="clear" w:color="auto" w:fill="auto"/>
            <w:vAlign w:val="top"/>
          </w:tcPr>
          <w:p w14:paraId="0E9A7FE9">
            <w:pPr>
              <w:widowControl w:val="0"/>
              <w:spacing w:line="360" w:lineRule="auto"/>
              <w:jc w:val="both"/>
              <w:rPr>
                <w:rFonts w:hint="eastAsia" w:ascii="宋体" w:hAnsi="宋体" w:eastAsia="宋体" w:cs="宋体"/>
                <w:sz w:val="24"/>
                <w:szCs w:val="24"/>
                <w:lang w:val="en-US" w:eastAsia="en-US"/>
              </w:rPr>
            </w:pPr>
            <w:r>
              <w:rPr>
                <w:rFonts w:hint="eastAsia" w:ascii="宋体" w:hAnsi="宋体" w:eastAsia="宋体" w:cs="宋体"/>
                <w:sz w:val="24"/>
                <w:szCs w:val="24"/>
              </w:rPr>
              <w:t xml:space="preserve">发包人提供材料和工程设备： </w:t>
            </w:r>
            <w:r>
              <w:rPr>
                <w:rFonts w:hint="eastAsia" w:ascii="宋体" w:hAnsi="宋体" w:eastAsia="宋体" w:cs="宋体"/>
                <w:sz w:val="24"/>
                <w:szCs w:val="24"/>
                <w:lang w:eastAsia="zh-CN"/>
              </w:rPr>
              <w:t>☑</w:t>
            </w:r>
            <w:r>
              <w:rPr>
                <w:rFonts w:hint="eastAsia" w:ascii="宋体" w:hAnsi="宋体" w:eastAsia="宋体" w:cs="宋体"/>
                <w:sz w:val="24"/>
                <w:szCs w:val="24"/>
              </w:rPr>
              <w:t xml:space="preserve">无     □有：  </w:t>
            </w:r>
            <w:r>
              <w:rPr>
                <w:rFonts w:hint="eastAsia" w:ascii="宋体" w:hAnsi="宋体" w:eastAsia="宋体" w:cs="宋体"/>
                <w:sz w:val="24"/>
                <w:szCs w:val="24"/>
                <w:lang w:val="en-US" w:eastAsia="zh-CN"/>
              </w:rPr>
              <w:t xml:space="preserve">  /  </w:t>
            </w:r>
            <w:r>
              <w:rPr>
                <w:rFonts w:hint="eastAsia" w:ascii="宋体" w:hAnsi="宋体" w:eastAsia="宋体" w:cs="宋体"/>
                <w:sz w:val="24"/>
                <w:szCs w:val="24"/>
              </w:rPr>
              <w:t xml:space="preserve">   </w:t>
            </w:r>
          </w:p>
        </w:tc>
      </w:tr>
      <w:tr w14:paraId="0AEF8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shd w:val="clear" w:color="auto" w:fill="auto"/>
            <w:vAlign w:val="center"/>
          </w:tcPr>
          <w:p w14:paraId="59886C5F">
            <w:pPr>
              <w:widowControl w:val="0"/>
              <w:spacing w:line="360" w:lineRule="auto"/>
              <w:jc w:val="center"/>
              <w:rPr>
                <w:rFonts w:hint="eastAsia" w:ascii="宋体" w:hAnsi="宋体" w:eastAsia="宋体" w:cs="宋体"/>
                <w:sz w:val="24"/>
                <w:szCs w:val="24"/>
                <w:lang w:val="en-US" w:eastAsia="en-US"/>
              </w:rPr>
            </w:pPr>
            <w:r>
              <w:rPr>
                <w:rFonts w:hint="eastAsia" w:ascii="宋体" w:hAnsi="宋体" w:eastAsia="宋体" w:cs="宋体"/>
                <w:sz w:val="24"/>
                <w:szCs w:val="24"/>
              </w:rPr>
              <w:t>21</w:t>
            </w:r>
          </w:p>
        </w:tc>
        <w:tc>
          <w:tcPr>
            <w:tcW w:w="2433" w:type="dxa"/>
            <w:shd w:val="clear" w:color="auto" w:fill="auto"/>
            <w:vAlign w:val="center"/>
          </w:tcPr>
          <w:p w14:paraId="6F7E02A3">
            <w:pPr>
              <w:widowControl w:val="0"/>
              <w:spacing w:line="360" w:lineRule="auto"/>
              <w:jc w:val="center"/>
              <w:rPr>
                <w:rFonts w:hint="eastAsia" w:ascii="宋体" w:hAnsi="宋体" w:eastAsia="宋体" w:cs="宋体"/>
                <w:sz w:val="24"/>
                <w:szCs w:val="24"/>
                <w:lang w:val="en-US" w:eastAsia="en-US"/>
              </w:rPr>
            </w:pPr>
            <w:r>
              <w:rPr>
                <w:rFonts w:hint="eastAsia" w:ascii="宋体" w:hAnsi="宋体" w:eastAsia="宋体" w:cs="宋体"/>
                <w:sz w:val="24"/>
                <w:szCs w:val="24"/>
              </w:rPr>
              <w:t>承包人提供材料和工程设备</w:t>
            </w:r>
          </w:p>
        </w:tc>
        <w:tc>
          <w:tcPr>
            <w:tcW w:w="6900" w:type="dxa"/>
            <w:shd w:val="clear" w:color="auto" w:fill="auto"/>
            <w:vAlign w:val="top"/>
          </w:tcPr>
          <w:p w14:paraId="57BC61FA">
            <w:pPr>
              <w:widowControl w:val="0"/>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除招标文件约定的发包人提供的甲供材料外，合同工程所需的材料和工程设备应由承包人负责采购、运输和保管，并对其采购的材料和工程设备提供质量证明文件，满足合同约定的质量标准。若承包人提供的材料和工程设备没有合格证明材料或经检测不符合合同约定的质量标准，应立即更换，由此增加的费用和（或）工期延误由承包人承担。对发包人要求检测承包人己具有合格证明的材料、工程设备，但经检测证明该项材料、工程设备符合合同约定的质量标准的，发包人应承担由此增加的费用和（或）工期延误，并向承包人支付合理利润。</w:t>
            </w:r>
          </w:p>
          <w:p w14:paraId="16E2CD86">
            <w:pPr>
              <w:widowControl w:val="0"/>
              <w:spacing w:line="360" w:lineRule="auto"/>
              <w:jc w:val="both"/>
              <w:rPr>
                <w:rFonts w:hint="eastAsia" w:ascii="宋体" w:hAnsi="宋体" w:eastAsia="宋体" w:cs="宋体"/>
                <w:sz w:val="24"/>
                <w:szCs w:val="24"/>
                <w:lang w:val="en-US" w:eastAsia="en-US"/>
              </w:rPr>
            </w:pPr>
            <w:r>
              <w:rPr>
                <w:rFonts w:hint="eastAsia" w:ascii="宋体" w:hAnsi="宋体" w:eastAsia="宋体" w:cs="宋体"/>
                <w:sz w:val="24"/>
                <w:szCs w:val="24"/>
                <w:lang w:val="en-US" w:eastAsia="zh-CN"/>
              </w:rPr>
              <w:t>□其它说明：鼓励承包人积极采购环保产品进行施工。</w:t>
            </w:r>
          </w:p>
        </w:tc>
      </w:tr>
      <w:tr w14:paraId="1B6FD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trPr>
        <w:tc>
          <w:tcPr>
            <w:tcW w:w="733" w:type="dxa"/>
            <w:shd w:val="clear" w:color="auto" w:fill="auto"/>
            <w:vAlign w:val="center"/>
          </w:tcPr>
          <w:p w14:paraId="55F0A896">
            <w:pPr>
              <w:widowControl w:val="0"/>
              <w:spacing w:line="360" w:lineRule="auto"/>
              <w:jc w:val="center"/>
              <w:rPr>
                <w:rFonts w:hint="eastAsia" w:ascii="宋体" w:hAnsi="宋体" w:eastAsia="宋体" w:cs="宋体"/>
                <w:sz w:val="24"/>
                <w:szCs w:val="24"/>
                <w:lang w:val="en-US" w:eastAsia="en-US"/>
              </w:rPr>
            </w:pPr>
            <w:r>
              <w:rPr>
                <w:rFonts w:hint="eastAsia" w:ascii="宋体" w:hAnsi="宋体" w:eastAsia="宋体" w:cs="宋体"/>
                <w:sz w:val="24"/>
                <w:szCs w:val="24"/>
              </w:rPr>
              <w:t>22</w:t>
            </w:r>
          </w:p>
        </w:tc>
        <w:tc>
          <w:tcPr>
            <w:tcW w:w="2433" w:type="dxa"/>
            <w:shd w:val="clear" w:color="auto" w:fill="auto"/>
            <w:vAlign w:val="center"/>
          </w:tcPr>
          <w:p w14:paraId="0040D2F1">
            <w:pPr>
              <w:widowControl w:val="0"/>
              <w:spacing w:line="360" w:lineRule="auto"/>
              <w:jc w:val="center"/>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最高投标限价</w:t>
            </w:r>
          </w:p>
        </w:tc>
        <w:tc>
          <w:tcPr>
            <w:tcW w:w="6900" w:type="dxa"/>
            <w:shd w:val="clear" w:color="auto" w:fill="auto"/>
            <w:vAlign w:val="center"/>
          </w:tcPr>
          <w:p w14:paraId="12F4D4DA">
            <w:pPr>
              <w:widowControl w:val="0"/>
              <w:spacing w:line="360" w:lineRule="auto"/>
              <w:jc w:val="both"/>
              <w:rPr>
                <w:rFonts w:hint="eastAsia" w:ascii="宋体" w:hAnsi="宋体" w:eastAsia="宋体" w:cs="宋体"/>
                <w:color w:val="auto"/>
                <w:sz w:val="24"/>
                <w:szCs w:val="24"/>
                <w:lang w:val="en-US" w:eastAsia="zh-CN"/>
              </w:rPr>
            </w:pPr>
            <w:r>
              <w:rPr>
                <w:rFonts w:hint="eastAsia" w:ascii="宋体" w:hAnsi="宋体" w:eastAsia="宋体" w:cs="宋体"/>
                <w:sz w:val="24"/>
                <w:szCs w:val="24"/>
                <w:lang w:val="en-US" w:eastAsia="zh-CN"/>
              </w:rPr>
              <w:t>本项目</w:t>
            </w:r>
            <w:r>
              <w:rPr>
                <w:rFonts w:hint="eastAsia" w:ascii="宋体" w:hAnsi="宋体" w:eastAsia="宋体" w:cs="宋体"/>
                <w:color w:val="auto"/>
                <w:sz w:val="24"/>
                <w:szCs w:val="24"/>
                <w:lang w:val="en-US" w:eastAsia="zh-CN"/>
              </w:rPr>
              <w:t>最高投标限价</w:t>
            </w:r>
            <w:r>
              <w:rPr>
                <w:rFonts w:hint="eastAsia" w:ascii="宋体" w:hAnsi="宋体" w:eastAsia="宋体" w:cs="宋体"/>
                <w:sz w:val="24"/>
                <w:szCs w:val="24"/>
                <w:lang w:val="en-US" w:eastAsia="zh-CN"/>
              </w:rPr>
              <w:t>为人民币（大写）：陆佰伍拾柒万叁仟壹佰壹拾肆元壹角叁分（¥6,573,114.13元）。其中绿色施工安全防护措施费不低于：¥250,504.66元，暂估价（统一报价）为¥37,700.00元。</w:t>
            </w:r>
          </w:p>
        </w:tc>
      </w:tr>
      <w:tr w14:paraId="52F01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shd w:val="clear" w:color="auto" w:fill="auto"/>
            <w:vAlign w:val="center"/>
          </w:tcPr>
          <w:p w14:paraId="329D38D8">
            <w:pPr>
              <w:widowControl w:val="0"/>
              <w:spacing w:line="360" w:lineRule="auto"/>
              <w:jc w:val="center"/>
              <w:rPr>
                <w:rFonts w:hint="eastAsia" w:ascii="宋体" w:hAnsi="宋体" w:eastAsia="宋体" w:cs="宋体"/>
                <w:sz w:val="24"/>
                <w:szCs w:val="24"/>
                <w:lang w:val="en-US" w:eastAsia="en-US"/>
              </w:rPr>
            </w:pPr>
            <w:r>
              <w:rPr>
                <w:rFonts w:hint="eastAsia" w:ascii="宋体" w:hAnsi="宋体" w:eastAsia="宋体" w:cs="宋体"/>
                <w:sz w:val="24"/>
                <w:szCs w:val="24"/>
              </w:rPr>
              <w:t>23</w:t>
            </w:r>
          </w:p>
        </w:tc>
        <w:tc>
          <w:tcPr>
            <w:tcW w:w="2433" w:type="dxa"/>
            <w:shd w:val="clear" w:color="auto" w:fill="auto"/>
            <w:vAlign w:val="center"/>
          </w:tcPr>
          <w:p w14:paraId="527E6803">
            <w:pPr>
              <w:widowControl w:val="0"/>
              <w:spacing w:line="360" w:lineRule="auto"/>
              <w:jc w:val="center"/>
              <w:rPr>
                <w:rFonts w:hint="eastAsia" w:ascii="宋体" w:hAnsi="宋体" w:eastAsia="宋体" w:cs="宋体"/>
                <w:sz w:val="24"/>
                <w:szCs w:val="24"/>
                <w:lang w:val="en-US" w:eastAsia="en-US"/>
              </w:rPr>
            </w:pPr>
            <w:r>
              <w:rPr>
                <w:rFonts w:hint="eastAsia" w:ascii="宋体" w:hAnsi="宋体" w:eastAsia="宋体" w:cs="宋体"/>
                <w:sz w:val="24"/>
                <w:szCs w:val="24"/>
              </w:rPr>
              <w:t>投标人的投标报价</w:t>
            </w:r>
          </w:p>
        </w:tc>
        <w:tc>
          <w:tcPr>
            <w:tcW w:w="6900" w:type="dxa"/>
            <w:shd w:val="clear" w:color="auto" w:fill="auto"/>
            <w:vAlign w:val="center"/>
          </w:tcPr>
          <w:p w14:paraId="16167333">
            <w:pPr>
              <w:widowControl w:val="0"/>
              <w:spacing w:before="117" w:line="360" w:lineRule="auto"/>
              <w:ind w:right="4" w:firstLine="238" w:firstLineChars="100"/>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投标人投标时响应招标文件要求所报出的对已标价工程量清单</w:t>
            </w:r>
            <w:r>
              <w:rPr>
                <w:rFonts w:hint="eastAsia" w:ascii="宋体" w:hAnsi="宋体" w:eastAsia="宋体" w:cs="宋体"/>
                <w:color w:val="auto"/>
                <w:sz w:val="24"/>
                <w:szCs w:val="24"/>
                <w:highlight w:val="none"/>
              </w:rPr>
              <w:t>汇总后标明的总价。投标人在投标报价填写</w:t>
            </w:r>
            <w:r>
              <w:rPr>
                <w:rFonts w:hint="eastAsia" w:ascii="宋体" w:hAnsi="宋体" w:eastAsia="宋体" w:cs="宋体"/>
                <w:color w:val="auto"/>
                <w:spacing w:val="-1"/>
                <w:sz w:val="24"/>
                <w:szCs w:val="24"/>
                <w:highlight w:val="none"/>
              </w:rPr>
              <w:t>的工程量清单的项目编</w:t>
            </w:r>
            <w:r>
              <w:rPr>
                <w:rFonts w:hint="eastAsia" w:ascii="宋体" w:hAnsi="宋体" w:eastAsia="宋体" w:cs="宋体"/>
                <w:color w:val="auto"/>
                <w:spacing w:val="-3"/>
                <w:sz w:val="24"/>
                <w:szCs w:val="24"/>
                <w:highlight w:val="none"/>
              </w:rPr>
              <w:t>码、项目名称、项目特征、计量单位、工程数量必须与招标人招标文</w:t>
            </w:r>
            <w:r>
              <w:rPr>
                <w:rFonts w:hint="eastAsia" w:ascii="宋体" w:hAnsi="宋体" w:eastAsia="宋体" w:cs="宋体"/>
                <w:color w:val="auto"/>
                <w:sz w:val="24"/>
                <w:szCs w:val="24"/>
                <w:highlight w:val="none"/>
              </w:rPr>
              <w:t>件中提供的一致，投标价不能低于工程成本</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3"/>
                <w:sz w:val="24"/>
                <w:szCs w:val="24"/>
                <w:highlight w:val="none"/>
              </w:rPr>
              <w:t>高于最高投标限价。</w:t>
            </w:r>
          </w:p>
          <w:p w14:paraId="57CB68D4">
            <w:pPr>
              <w:keepNext w:val="0"/>
              <w:keepLines w:val="0"/>
              <w:pageBreakBefore w:val="0"/>
              <w:widowControl/>
              <w:kinsoku/>
              <w:wordWrap/>
              <w:overflowPunct/>
              <w:topLinePunct w:val="0"/>
              <w:autoSpaceDE/>
              <w:autoSpaceDN/>
              <w:bidi w:val="0"/>
              <w:snapToGrid w:val="0"/>
              <w:spacing w:line="360" w:lineRule="auto"/>
              <w:ind w:firstLine="236" w:firstLineChars="100"/>
              <w:jc w:val="both"/>
              <w:rPr>
                <w:rFonts w:hint="eastAsia" w:ascii="宋体" w:hAnsi="宋体" w:eastAsia="宋体" w:cs="宋体"/>
                <w:color w:val="auto"/>
                <w:spacing w:val="-2"/>
                <w:sz w:val="24"/>
                <w:szCs w:val="24"/>
                <w:highlight w:val="none"/>
                <w:lang w:val="en-US" w:eastAsia="zh-CN"/>
              </w:rPr>
            </w:pPr>
            <w:r>
              <w:rPr>
                <w:rFonts w:hint="eastAsia" w:ascii="宋体" w:hAnsi="宋体" w:eastAsia="宋体" w:cs="宋体"/>
                <w:color w:val="auto"/>
                <w:spacing w:val="-2"/>
                <w:sz w:val="24"/>
                <w:szCs w:val="24"/>
                <w:highlight w:val="none"/>
              </w:rPr>
              <w:t>投标报价方式：</w:t>
            </w:r>
            <w:r>
              <w:rPr>
                <w:rFonts w:hint="eastAsia" w:ascii="宋体" w:hAnsi="宋体" w:eastAsia="宋体" w:cs="宋体"/>
                <w:color w:val="auto"/>
                <w:spacing w:val="-86"/>
                <w:sz w:val="24"/>
                <w:szCs w:val="24"/>
                <w:highlight w:val="none"/>
              </w:rPr>
              <w:t xml:space="preserve"> </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rPr>
              <w:t>工程量清单报</w:t>
            </w:r>
            <w:r>
              <w:rPr>
                <w:rFonts w:hint="eastAsia" w:ascii="宋体" w:hAnsi="宋体" w:eastAsia="宋体" w:cs="宋体"/>
                <w:color w:val="auto"/>
                <w:spacing w:val="-2"/>
                <w:sz w:val="24"/>
                <w:szCs w:val="24"/>
                <w:highlight w:val="none"/>
                <w:lang w:val="en-US" w:eastAsia="zh-CN"/>
              </w:rPr>
              <w:t>价</w:t>
            </w:r>
          </w:p>
          <w:p w14:paraId="6921948C">
            <w:pPr>
              <w:widowControl w:val="0"/>
              <w:spacing w:line="360" w:lineRule="auto"/>
              <w:jc w:val="both"/>
              <w:rPr>
                <w:rFonts w:hint="eastAsia" w:ascii="宋体" w:hAnsi="宋体" w:eastAsia="宋体" w:cs="宋体"/>
                <w:sz w:val="24"/>
                <w:szCs w:val="24"/>
                <w:lang w:val="en-US" w:eastAsia="en-US"/>
              </w:rPr>
            </w:pPr>
            <w:r>
              <w:rPr>
                <w:rFonts w:hint="eastAsia" w:ascii="宋体" w:hAnsi="宋体" w:eastAsia="宋体" w:cs="宋体"/>
                <w:color w:val="auto"/>
                <w:spacing w:val="-4"/>
                <w:sz w:val="24"/>
                <w:szCs w:val="24"/>
                <w:highlight w:val="none"/>
                <w:lang w:val="en-US" w:eastAsia="zh-CN"/>
              </w:rPr>
              <w:t>投标报价时，应按《广东省建设工程计价依据（2018）》规定的费率报价，若招标工程量清单明确说明不计算预算包干费或另外确定预算包干费费率的，则按招标工程量清单报价。</w:t>
            </w:r>
          </w:p>
        </w:tc>
      </w:tr>
      <w:tr w14:paraId="20686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shd w:val="clear" w:color="auto" w:fill="auto"/>
            <w:vAlign w:val="center"/>
          </w:tcPr>
          <w:p w14:paraId="4B7A0E07">
            <w:pPr>
              <w:widowControl w:val="0"/>
              <w:spacing w:line="360" w:lineRule="auto"/>
              <w:jc w:val="center"/>
              <w:rPr>
                <w:rFonts w:hint="eastAsia" w:ascii="宋体" w:hAnsi="宋体" w:eastAsia="宋体" w:cs="宋体"/>
                <w:sz w:val="24"/>
                <w:szCs w:val="24"/>
                <w:lang w:val="en-US" w:eastAsia="en-US"/>
              </w:rPr>
            </w:pPr>
            <w:r>
              <w:rPr>
                <w:rFonts w:hint="eastAsia" w:ascii="宋体" w:hAnsi="宋体" w:eastAsia="宋体" w:cs="宋体"/>
                <w:sz w:val="24"/>
                <w:szCs w:val="24"/>
              </w:rPr>
              <w:t>24</w:t>
            </w:r>
          </w:p>
        </w:tc>
        <w:tc>
          <w:tcPr>
            <w:tcW w:w="2433" w:type="dxa"/>
            <w:shd w:val="clear" w:color="auto" w:fill="auto"/>
            <w:vAlign w:val="center"/>
          </w:tcPr>
          <w:p w14:paraId="03F6EBCF">
            <w:pPr>
              <w:widowControl w:val="0"/>
              <w:spacing w:line="360" w:lineRule="auto"/>
              <w:jc w:val="center"/>
              <w:rPr>
                <w:rFonts w:hint="eastAsia" w:ascii="宋体" w:hAnsi="宋体" w:eastAsia="宋体" w:cs="宋体"/>
                <w:sz w:val="24"/>
                <w:szCs w:val="24"/>
                <w:lang w:val="en-US" w:eastAsia="en-US"/>
              </w:rPr>
            </w:pPr>
            <w:r>
              <w:rPr>
                <w:rFonts w:hint="eastAsia" w:ascii="宋体" w:hAnsi="宋体" w:eastAsia="宋体" w:cs="宋体"/>
                <w:sz w:val="24"/>
                <w:szCs w:val="24"/>
              </w:rPr>
              <w:t>投标报价风险</w:t>
            </w:r>
          </w:p>
        </w:tc>
        <w:tc>
          <w:tcPr>
            <w:tcW w:w="6900" w:type="dxa"/>
            <w:shd w:val="clear" w:color="auto" w:fill="auto"/>
            <w:vAlign w:val="center"/>
          </w:tcPr>
          <w:p w14:paraId="7B7150DB">
            <w:pPr>
              <w:widowControl w:val="0"/>
              <w:spacing w:line="360" w:lineRule="auto"/>
              <w:jc w:val="both"/>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投标人依据招标文件约定自行考虑风险因素，一旦中标，投标报价（合同价）除合同另有约定外将不因市场变化而调整。</w:t>
            </w:r>
          </w:p>
          <w:p w14:paraId="0F92DFF4">
            <w:pPr>
              <w:widowControl w:val="0"/>
              <w:spacing w:line="360" w:lineRule="auto"/>
              <w:jc w:val="both"/>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投标报价中应包括工程量清单项目所发生的人工费、材料费、机具费、管理费、利润、措施项目费、其它项目费、税金、暂列金额、暂估价以及所有风险、责任等各项费用。</w:t>
            </w:r>
          </w:p>
          <w:p w14:paraId="13528EC9">
            <w:pPr>
              <w:widowControl w:val="0"/>
              <w:spacing w:line="360" w:lineRule="auto"/>
              <w:jc w:val="both"/>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人工费、材料费、机具费、管理费、利润、措施项目费（不含绿色施工安全防护措施费）投标人漏报或不报，招标人视为有关费用已包括在工程量清单项目的其它单价及合价中不予另外增加。</w:t>
            </w:r>
          </w:p>
          <w:p w14:paraId="4DB36620">
            <w:pPr>
              <w:widowControl w:val="0"/>
              <w:spacing w:line="360" w:lineRule="auto"/>
              <w:jc w:val="both"/>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措施项目中的绿色施工安全防护措施费，必须按国家、省级、市级（即工程所在地）行业建设主管部门的规定计算，不得作为竞争性费用。</w:t>
            </w:r>
          </w:p>
          <w:p w14:paraId="3EE6FF84">
            <w:pPr>
              <w:widowControl w:val="0"/>
              <w:spacing w:line="360" w:lineRule="auto"/>
              <w:jc w:val="both"/>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投标人应按照招标文件提供的工程量清单逐项填写单价和合价，投标人未填写的项目，招标人将视为此项费用已包括在工程量清单项目的其它单价及合价中不予另外增加。</w:t>
            </w:r>
          </w:p>
          <w:p w14:paraId="6DDEAE0E">
            <w:pPr>
              <w:widowControl w:val="0"/>
              <w:spacing w:line="360" w:lineRule="auto"/>
              <w:jc w:val="both"/>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投标人应按《广东省建设工程计价依据（2018）》规定的费率对预算包干费进行报价，若招标工程量清单明确说明不计算预算包干费或另外确定预算包干费费率的，则按招标工程量清单报价，若投标人不按规定报价的，则中标后无条件接受招标人对投标报价的调整。</w:t>
            </w:r>
          </w:p>
          <w:p w14:paraId="402BD009">
            <w:pPr>
              <w:widowControl w:val="0"/>
              <w:spacing w:line="360" w:lineRule="auto"/>
              <w:jc w:val="both"/>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招标人向投标人提供的有关施工现场资料及数据，是招标人现有的能使投标人利用的资料，招标人对投标人据此作出的推论及理解概不负责。</w:t>
            </w:r>
          </w:p>
          <w:p w14:paraId="7CCE3335">
            <w:pPr>
              <w:widowControl w:val="0"/>
              <w:spacing w:line="360" w:lineRule="auto"/>
              <w:jc w:val="both"/>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投标人应依据招标人提供的所有资料和自己对现场查勘来编 制投标文件，并对招标人提供的所有资料的理解、推断和应用负责。在投标人提交其投标文件之前，视为已经考虑了现场及其周围环境的影响，中标后</w:t>
            </w:r>
            <w:r>
              <w:rPr>
                <w:rFonts w:hint="eastAsia" w:ascii="宋体" w:hAnsi="宋体" w:eastAsia="宋体" w:cs="宋体"/>
                <w:sz w:val="24"/>
                <w:szCs w:val="24"/>
                <w:lang w:eastAsia="zh-CN"/>
              </w:rPr>
              <w:t>，</w:t>
            </w:r>
            <w:r>
              <w:rPr>
                <w:rFonts w:hint="eastAsia" w:ascii="宋体" w:hAnsi="宋体" w:eastAsia="宋体" w:cs="宋体"/>
                <w:sz w:val="24"/>
                <w:szCs w:val="24"/>
              </w:rPr>
              <w:t>不得以不完全了解现场情况为理由提出追加款项或者延长工期等索赔的要求。</w:t>
            </w:r>
          </w:p>
          <w:p w14:paraId="45FEF91A">
            <w:pPr>
              <w:widowControl w:val="0"/>
              <w:spacing w:line="360" w:lineRule="auto"/>
              <w:jc w:val="both"/>
              <w:rPr>
                <w:rFonts w:hint="eastAsia" w:ascii="宋体" w:hAnsi="宋体" w:eastAsia="宋体" w:cs="宋体"/>
                <w:sz w:val="24"/>
                <w:szCs w:val="24"/>
                <w:lang w:val="en-US" w:eastAsia="en-US"/>
              </w:rPr>
            </w:pPr>
            <w:r>
              <w:rPr>
                <w:rFonts w:hint="eastAsia" w:ascii="宋体" w:hAnsi="宋体" w:eastAsia="宋体" w:cs="宋体"/>
                <w:sz w:val="24"/>
                <w:szCs w:val="24"/>
                <w:lang w:eastAsia="zh-CN"/>
              </w:rPr>
              <w:t>☑</w:t>
            </w:r>
            <w:r>
              <w:rPr>
                <w:rFonts w:hint="eastAsia" w:ascii="宋体" w:hAnsi="宋体" w:eastAsia="宋体" w:cs="宋体"/>
                <w:sz w:val="24"/>
                <w:szCs w:val="24"/>
              </w:rPr>
              <w:t>错漏项的认定。中标人已标价工程量清单中，任一清单项目未填报价格或价格为零的，招标人将视为此项费用已包括在工程量清单项目的其它单价及合价中不予另外增加。</w:t>
            </w:r>
          </w:p>
        </w:tc>
      </w:tr>
      <w:tr w14:paraId="709F1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shd w:val="clear" w:color="auto" w:fill="auto"/>
            <w:vAlign w:val="center"/>
          </w:tcPr>
          <w:p w14:paraId="5C233C0E">
            <w:pPr>
              <w:widowControl w:val="0"/>
              <w:spacing w:line="360" w:lineRule="auto"/>
              <w:jc w:val="center"/>
              <w:rPr>
                <w:rFonts w:hint="eastAsia" w:ascii="宋体" w:hAnsi="宋体" w:eastAsia="宋体" w:cs="宋体"/>
                <w:sz w:val="24"/>
                <w:szCs w:val="24"/>
                <w:lang w:val="en-US" w:eastAsia="en-US"/>
              </w:rPr>
            </w:pPr>
            <w:r>
              <w:rPr>
                <w:rFonts w:hint="eastAsia" w:ascii="宋体" w:hAnsi="宋体" w:eastAsia="宋体" w:cs="宋体"/>
                <w:sz w:val="24"/>
                <w:szCs w:val="24"/>
              </w:rPr>
              <w:t>25</w:t>
            </w:r>
          </w:p>
        </w:tc>
        <w:tc>
          <w:tcPr>
            <w:tcW w:w="2433" w:type="dxa"/>
            <w:shd w:val="clear" w:color="auto" w:fill="auto"/>
            <w:vAlign w:val="top"/>
          </w:tcPr>
          <w:p w14:paraId="2D1B82A7">
            <w:pPr>
              <w:widowControl w:val="0"/>
              <w:spacing w:line="360" w:lineRule="auto"/>
              <w:jc w:val="center"/>
              <w:rPr>
                <w:rFonts w:hint="eastAsia" w:ascii="宋体" w:hAnsi="宋体" w:eastAsia="宋体" w:cs="宋体"/>
                <w:sz w:val="24"/>
                <w:szCs w:val="24"/>
                <w:lang w:val="en-US" w:eastAsia="en-US"/>
              </w:rPr>
            </w:pPr>
            <w:r>
              <w:rPr>
                <w:rFonts w:hint="eastAsia" w:ascii="宋体" w:hAnsi="宋体" w:eastAsia="宋体" w:cs="宋体"/>
                <w:sz w:val="24"/>
                <w:szCs w:val="24"/>
              </w:rPr>
              <w:t>投标费用</w:t>
            </w:r>
          </w:p>
        </w:tc>
        <w:tc>
          <w:tcPr>
            <w:tcW w:w="6900" w:type="dxa"/>
            <w:shd w:val="clear" w:color="auto" w:fill="auto"/>
            <w:vAlign w:val="top"/>
          </w:tcPr>
          <w:p w14:paraId="7CDA7483">
            <w:pPr>
              <w:widowControl w:val="0"/>
              <w:spacing w:line="360" w:lineRule="auto"/>
              <w:jc w:val="both"/>
              <w:rPr>
                <w:rFonts w:hint="eastAsia" w:ascii="宋体" w:hAnsi="宋体" w:eastAsia="宋体" w:cs="宋体"/>
                <w:sz w:val="24"/>
                <w:szCs w:val="24"/>
                <w:lang w:val="en-US" w:eastAsia="en-US"/>
              </w:rPr>
            </w:pPr>
            <w:r>
              <w:rPr>
                <w:rFonts w:hint="eastAsia" w:ascii="宋体" w:hAnsi="宋体" w:eastAsia="宋体" w:cs="宋体"/>
                <w:sz w:val="24"/>
                <w:szCs w:val="24"/>
              </w:rPr>
              <w:t>投标人自行承担编制与递交投标文件的一切费用。</w:t>
            </w:r>
          </w:p>
        </w:tc>
      </w:tr>
      <w:tr w14:paraId="58AFF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shd w:val="clear" w:color="auto" w:fill="auto"/>
            <w:vAlign w:val="center"/>
          </w:tcPr>
          <w:p w14:paraId="71CB935B">
            <w:pPr>
              <w:widowControl w:val="0"/>
              <w:spacing w:line="360" w:lineRule="auto"/>
              <w:jc w:val="center"/>
              <w:rPr>
                <w:rFonts w:hint="eastAsia" w:ascii="宋体" w:hAnsi="宋体" w:eastAsia="宋体" w:cs="宋体"/>
                <w:sz w:val="24"/>
                <w:szCs w:val="24"/>
                <w:lang w:val="en-US" w:eastAsia="en-US"/>
              </w:rPr>
            </w:pPr>
            <w:r>
              <w:rPr>
                <w:rFonts w:hint="eastAsia" w:ascii="宋体" w:hAnsi="宋体" w:eastAsia="宋体" w:cs="宋体"/>
                <w:sz w:val="24"/>
                <w:szCs w:val="24"/>
              </w:rPr>
              <w:t>26</w:t>
            </w:r>
          </w:p>
        </w:tc>
        <w:tc>
          <w:tcPr>
            <w:tcW w:w="2433" w:type="dxa"/>
            <w:shd w:val="clear" w:color="auto" w:fill="auto"/>
            <w:vAlign w:val="center"/>
          </w:tcPr>
          <w:p w14:paraId="149F19F6">
            <w:pPr>
              <w:widowControl w:val="0"/>
              <w:spacing w:line="360" w:lineRule="auto"/>
              <w:jc w:val="center"/>
              <w:rPr>
                <w:rFonts w:hint="eastAsia" w:ascii="宋体" w:hAnsi="宋体" w:eastAsia="宋体" w:cs="宋体"/>
                <w:sz w:val="24"/>
                <w:szCs w:val="24"/>
                <w:lang w:val="en-US" w:eastAsia="en-US"/>
              </w:rPr>
            </w:pPr>
            <w:r>
              <w:rPr>
                <w:rFonts w:hint="eastAsia" w:ascii="宋体" w:hAnsi="宋体" w:eastAsia="宋体" w:cs="宋体"/>
                <w:sz w:val="24"/>
                <w:szCs w:val="24"/>
              </w:rPr>
              <w:t>投标人资格要求</w:t>
            </w:r>
          </w:p>
        </w:tc>
        <w:tc>
          <w:tcPr>
            <w:tcW w:w="6900" w:type="dxa"/>
            <w:shd w:val="clear" w:color="auto" w:fill="auto"/>
            <w:vAlign w:val="center"/>
          </w:tcPr>
          <w:p w14:paraId="6F4A32EC">
            <w:pPr>
              <w:widowControl w:val="0"/>
              <w:spacing w:line="360" w:lineRule="auto"/>
              <w:jc w:val="both"/>
              <w:rPr>
                <w:rFonts w:hint="eastAsia" w:ascii="宋体" w:hAnsi="宋体" w:eastAsia="宋体" w:cs="宋体"/>
                <w:sz w:val="24"/>
                <w:szCs w:val="24"/>
              </w:rPr>
            </w:pPr>
            <w:r>
              <w:rPr>
                <w:rFonts w:hint="eastAsia" w:ascii="宋体" w:hAnsi="宋体" w:eastAsia="宋体" w:cs="宋体"/>
                <w:sz w:val="24"/>
                <w:szCs w:val="24"/>
              </w:rPr>
              <w:t>1.本工程不接受联合体投标。</w:t>
            </w:r>
          </w:p>
          <w:p w14:paraId="4510D3D3">
            <w:pPr>
              <w:widowControl w:val="0"/>
              <w:spacing w:line="360" w:lineRule="auto"/>
              <w:jc w:val="both"/>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val="en-US" w:eastAsia="zh-CN"/>
              </w:rPr>
              <w:t>.</w:t>
            </w:r>
            <w:r>
              <w:rPr>
                <w:rFonts w:hint="eastAsia" w:ascii="宋体" w:hAnsi="宋体" w:eastAsia="宋体" w:cs="宋体"/>
                <w:sz w:val="24"/>
                <w:szCs w:val="24"/>
              </w:rPr>
              <w:t>资质要求</w:t>
            </w:r>
          </w:p>
          <w:p w14:paraId="2B169A4C">
            <w:pPr>
              <w:widowControl w:val="0"/>
              <w:spacing w:line="360" w:lineRule="auto"/>
              <w:jc w:val="both"/>
              <w:rPr>
                <w:rFonts w:hint="eastAsia" w:ascii="宋体" w:hAnsi="宋体" w:eastAsia="宋体" w:cs="宋体"/>
                <w:sz w:val="24"/>
                <w:szCs w:val="24"/>
              </w:rPr>
            </w:pPr>
            <w:r>
              <w:rPr>
                <w:rFonts w:hint="eastAsia" w:ascii="宋体" w:hAnsi="宋体" w:eastAsia="宋体" w:cs="宋体"/>
                <w:sz w:val="24"/>
                <w:szCs w:val="24"/>
              </w:rPr>
              <w:t>2.1投标人须具备独立法人资格，按国家法律经营。</w:t>
            </w:r>
          </w:p>
          <w:p w14:paraId="77FFCE20">
            <w:pPr>
              <w:widowControl w:val="0"/>
              <w:spacing w:line="360" w:lineRule="auto"/>
              <w:jc w:val="both"/>
              <w:rPr>
                <w:rFonts w:hint="eastAsia" w:ascii="宋体" w:hAnsi="宋体" w:eastAsia="宋体" w:cs="宋体"/>
                <w:sz w:val="24"/>
                <w:szCs w:val="24"/>
              </w:rPr>
            </w:pPr>
            <w:r>
              <w:rPr>
                <w:rFonts w:hint="eastAsia" w:ascii="宋体" w:hAnsi="宋体" w:eastAsia="宋体" w:cs="宋体"/>
                <w:sz w:val="24"/>
                <w:szCs w:val="24"/>
              </w:rPr>
              <w:t>2.2投标人须持有建设行政主管部门颁发的企业资质证书及安全生产许可证。</w:t>
            </w:r>
          </w:p>
          <w:p w14:paraId="4BED6B51">
            <w:pPr>
              <w:widowControl w:val="0"/>
              <w:spacing w:line="360" w:lineRule="auto"/>
              <w:jc w:val="both"/>
              <w:rPr>
                <w:rFonts w:hint="eastAsia" w:ascii="宋体" w:hAnsi="宋体" w:eastAsia="宋体" w:cs="宋体"/>
                <w:sz w:val="24"/>
                <w:szCs w:val="24"/>
              </w:rPr>
            </w:pPr>
            <w:r>
              <w:rPr>
                <w:rFonts w:hint="eastAsia" w:ascii="宋体" w:hAnsi="宋体" w:eastAsia="宋体" w:cs="宋体"/>
                <w:sz w:val="24"/>
                <w:szCs w:val="24"/>
              </w:rPr>
              <w:t>2.3投标人须具备以下资质：市政公用工程施工总承包叁级以上（含叁级）资质。</w:t>
            </w:r>
          </w:p>
          <w:p w14:paraId="693E6215">
            <w:pPr>
              <w:widowControl w:val="0"/>
              <w:spacing w:line="360" w:lineRule="auto"/>
              <w:jc w:val="both"/>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val="en-US" w:eastAsia="zh-CN"/>
              </w:rPr>
              <w:t>.</w:t>
            </w:r>
            <w:r>
              <w:rPr>
                <w:rFonts w:hint="eastAsia" w:ascii="宋体" w:hAnsi="宋体" w:eastAsia="宋体" w:cs="宋体"/>
                <w:sz w:val="24"/>
                <w:szCs w:val="24"/>
              </w:rPr>
              <w:t>相关人员要求</w:t>
            </w:r>
          </w:p>
          <w:p w14:paraId="1719950E">
            <w:pPr>
              <w:widowControl w:val="0"/>
              <w:spacing w:line="360" w:lineRule="auto"/>
              <w:jc w:val="both"/>
              <w:rPr>
                <w:rFonts w:hint="eastAsia" w:ascii="宋体" w:hAnsi="宋体" w:eastAsia="宋体" w:cs="宋体"/>
                <w:sz w:val="24"/>
                <w:szCs w:val="24"/>
              </w:rPr>
            </w:pPr>
            <w:r>
              <w:rPr>
                <w:rFonts w:hint="eastAsia" w:ascii="宋体" w:hAnsi="宋体" w:eastAsia="宋体" w:cs="宋体"/>
                <w:sz w:val="24"/>
                <w:szCs w:val="24"/>
              </w:rPr>
              <w:t>3.1拟派项目经理为市政公用工程专业一级或二级注册建造师，应持有住建部门印发的在使用有效期内的有效电子注册证书（根据广东省住房和城乡建设厅（粤建市函〔2023〕469 号）文件精神，二级注册建造师可随注册企业在全国范围内执业）。同时均须具备有效安全生产考核合格证明（B证），且未担任其他在施（包括已中标未开工、已开工未竣工）建设工程项目的项目经理。</w:t>
            </w:r>
          </w:p>
          <w:p w14:paraId="2D5CF81B">
            <w:pPr>
              <w:widowControl w:val="0"/>
              <w:spacing w:line="360" w:lineRule="auto"/>
              <w:jc w:val="both"/>
              <w:rPr>
                <w:rFonts w:hint="eastAsia" w:ascii="宋体" w:hAnsi="宋体" w:eastAsia="宋体" w:cs="宋体"/>
                <w:sz w:val="24"/>
                <w:szCs w:val="24"/>
              </w:rPr>
            </w:pPr>
            <w:r>
              <w:rPr>
                <w:rFonts w:hint="eastAsia" w:ascii="宋体" w:hAnsi="宋体" w:eastAsia="宋体" w:cs="宋体"/>
                <w:sz w:val="24"/>
                <w:szCs w:val="24"/>
              </w:rPr>
              <w:t>3.2拟派项目技术负责人须具备</w:t>
            </w:r>
            <w:r>
              <w:rPr>
                <w:rFonts w:hint="eastAsia" w:ascii="宋体" w:hAnsi="宋体" w:eastAsia="宋体" w:cs="宋体"/>
                <w:sz w:val="24"/>
                <w:szCs w:val="24"/>
                <w:lang w:eastAsia="zh-CN"/>
              </w:rPr>
              <w:t>市政工程</w:t>
            </w:r>
            <w:r>
              <w:rPr>
                <w:rFonts w:hint="eastAsia" w:ascii="宋体" w:hAnsi="宋体" w:eastAsia="宋体" w:cs="宋体"/>
                <w:sz w:val="24"/>
                <w:szCs w:val="24"/>
              </w:rPr>
              <w:t>相关专业中级或以上技术职称。</w:t>
            </w:r>
          </w:p>
          <w:p w14:paraId="6ADA233A">
            <w:pPr>
              <w:widowControl w:val="0"/>
              <w:spacing w:line="360" w:lineRule="auto"/>
              <w:jc w:val="both"/>
              <w:rPr>
                <w:rFonts w:hint="eastAsia" w:ascii="宋体" w:hAnsi="宋体" w:eastAsia="宋体" w:cs="宋体"/>
                <w:sz w:val="24"/>
                <w:szCs w:val="24"/>
              </w:rPr>
            </w:pPr>
            <w:r>
              <w:rPr>
                <w:rFonts w:hint="eastAsia" w:ascii="宋体" w:hAnsi="宋体" w:eastAsia="宋体" w:cs="宋体"/>
                <w:sz w:val="24"/>
                <w:szCs w:val="24"/>
              </w:rPr>
              <w:t>3.3投标人拟派专职安全生产管理人员须具备有效安全生产考核合格证明（C证，安全生产考核合格证书或“广东省建筑施工企业管理人员安全生产考核系统”考核合格信息打印页），且不少于1人。</w:t>
            </w:r>
          </w:p>
          <w:p w14:paraId="4D987731">
            <w:pPr>
              <w:widowControl w:val="0"/>
              <w:spacing w:line="360" w:lineRule="auto"/>
              <w:jc w:val="both"/>
              <w:rPr>
                <w:rFonts w:hint="eastAsia" w:ascii="宋体" w:hAnsi="宋体" w:eastAsia="宋体" w:cs="宋体"/>
                <w:sz w:val="24"/>
                <w:szCs w:val="24"/>
              </w:rPr>
            </w:pPr>
            <w:r>
              <w:rPr>
                <w:rFonts w:hint="eastAsia" w:ascii="宋体" w:hAnsi="宋体" w:eastAsia="宋体" w:cs="宋体"/>
                <w:sz w:val="24"/>
                <w:szCs w:val="24"/>
              </w:rPr>
              <w:t>3.4投标人与其拟派往本项目管理机构的所有人员之间必须具备合法、唯一的劳动聘用关系。拟派人员中具备注册执业资格的，其注册单位须与投标人保持一致。</w:t>
            </w:r>
          </w:p>
          <w:p w14:paraId="76FD9CE0">
            <w:pPr>
              <w:widowControl w:val="0"/>
              <w:spacing w:line="360" w:lineRule="auto"/>
              <w:jc w:val="both"/>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val="en-US" w:eastAsia="zh-CN"/>
              </w:rPr>
              <w:t>.</w:t>
            </w:r>
            <w:r>
              <w:rPr>
                <w:rFonts w:hint="eastAsia" w:ascii="宋体" w:hAnsi="宋体" w:eastAsia="宋体" w:cs="宋体"/>
                <w:sz w:val="24"/>
                <w:szCs w:val="24"/>
              </w:rPr>
              <w:t>禁止投标条款：</w:t>
            </w:r>
          </w:p>
          <w:p w14:paraId="46BB98F3">
            <w:pPr>
              <w:widowControl w:val="0"/>
              <w:spacing w:line="360" w:lineRule="auto"/>
              <w:jc w:val="both"/>
              <w:rPr>
                <w:rFonts w:hint="eastAsia" w:ascii="宋体" w:hAnsi="宋体" w:eastAsia="宋体" w:cs="宋体"/>
                <w:sz w:val="24"/>
                <w:szCs w:val="24"/>
              </w:rPr>
            </w:pPr>
            <w:r>
              <w:rPr>
                <w:rFonts w:hint="eastAsia" w:ascii="宋体" w:hAnsi="宋体" w:eastAsia="宋体" w:cs="宋体"/>
                <w:sz w:val="24"/>
                <w:szCs w:val="24"/>
              </w:rPr>
              <w:t>4.1投标人不得存在下列情形之一：</w:t>
            </w:r>
          </w:p>
          <w:p w14:paraId="4D3F0792">
            <w:pPr>
              <w:widowControl w:val="0"/>
              <w:spacing w:line="360" w:lineRule="auto"/>
              <w:jc w:val="both"/>
              <w:rPr>
                <w:rFonts w:hint="eastAsia" w:ascii="宋体" w:hAnsi="宋体" w:eastAsia="宋体" w:cs="宋体"/>
                <w:sz w:val="24"/>
                <w:szCs w:val="24"/>
              </w:rPr>
            </w:pPr>
            <w:r>
              <w:rPr>
                <w:rFonts w:hint="eastAsia" w:ascii="宋体" w:hAnsi="宋体" w:eastAsia="宋体" w:cs="宋体"/>
                <w:sz w:val="24"/>
                <w:szCs w:val="24"/>
              </w:rPr>
              <w:t>（1）为招标人不具有独立法人资格的附属机构（单位）；</w:t>
            </w:r>
          </w:p>
          <w:p w14:paraId="080C9831">
            <w:pPr>
              <w:widowControl w:val="0"/>
              <w:spacing w:line="360" w:lineRule="auto"/>
              <w:jc w:val="both"/>
              <w:rPr>
                <w:rFonts w:hint="eastAsia" w:ascii="宋体" w:hAnsi="宋体" w:eastAsia="宋体" w:cs="宋体"/>
                <w:sz w:val="24"/>
                <w:szCs w:val="24"/>
              </w:rPr>
            </w:pPr>
            <w:r>
              <w:rPr>
                <w:rFonts w:hint="eastAsia" w:ascii="宋体" w:hAnsi="宋体" w:eastAsia="宋体" w:cs="宋体"/>
                <w:sz w:val="24"/>
                <w:szCs w:val="24"/>
              </w:rPr>
              <w:t>（2）为本招标项目前期准备提供设计或咨询服务的；</w:t>
            </w:r>
          </w:p>
          <w:p w14:paraId="65CE113E">
            <w:pPr>
              <w:widowControl w:val="0"/>
              <w:spacing w:line="360" w:lineRule="auto"/>
              <w:jc w:val="both"/>
              <w:rPr>
                <w:rFonts w:hint="eastAsia" w:ascii="宋体" w:hAnsi="宋体" w:eastAsia="宋体" w:cs="宋体"/>
                <w:sz w:val="24"/>
                <w:szCs w:val="24"/>
              </w:rPr>
            </w:pPr>
            <w:r>
              <w:rPr>
                <w:rFonts w:hint="eastAsia" w:ascii="宋体" w:hAnsi="宋体" w:eastAsia="宋体" w:cs="宋体"/>
                <w:sz w:val="24"/>
                <w:szCs w:val="24"/>
              </w:rPr>
              <w:t>（3）与本招标项目的其他投标人为同一个单位负责人；</w:t>
            </w:r>
          </w:p>
          <w:p w14:paraId="0D422CEC">
            <w:pPr>
              <w:widowControl w:val="0"/>
              <w:spacing w:line="360" w:lineRule="auto"/>
              <w:jc w:val="both"/>
              <w:rPr>
                <w:rFonts w:hint="eastAsia" w:ascii="宋体" w:hAnsi="宋体" w:eastAsia="宋体" w:cs="宋体"/>
                <w:sz w:val="24"/>
                <w:szCs w:val="24"/>
              </w:rPr>
            </w:pPr>
            <w:r>
              <w:rPr>
                <w:rFonts w:hint="eastAsia" w:ascii="宋体" w:hAnsi="宋体" w:eastAsia="宋体" w:cs="宋体"/>
                <w:sz w:val="24"/>
                <w:szCs w:val="24"/>
              </w:rPr>
              <w:t>（4）与本招标项目的其他投标人存在控股、管理关系；</w:t>
            </w:r>
          </w:p>
          <w:p w14:paraId="78B892BC">
            <w:pPr>
              <w:widowControl w:val="0"/>
              <w:spacing w:line="360" w:lineRule="auto"/>
              <w:jc w:val="both"/>
              <w:rPr>
                <w:rFonts w:hint="eastAsia" w:ascii="宋体" w:hAnsi="宋体" w:eastAsia="宋体" w:cs="宋体"/>
                <w:sz w:val="24"/>
                <w:szCs w:val="24"/>
              </w:rPr>
            </w:pPr>
            <w:r>
              <w:rPr>
                <w:rFonts w:hint="eastAsia" w:ascii="宋体" w:hAnsi="宋体" w:eastAsia="宋体" w:cs="宋体"/>
                <w:sz w:val="24"/>
                <w:szCs w:val="24"/>
              </w:rPr>
              <w:t>（5）为本招标项目的监理人；</w:t>
            </w:r>
          </w:p>
          <w:p w14:paraId="00FB8884">
            <w:pPr>
              <w:widowControl w:val="0"/>
              <w:spacing w:line="360" w:lineRule="auto"/>
              <w:jc w:val="both"/>
              <w:rPr>
                <w:rFonts w:hint="eastAsia" w:ascii="宋体" w:hAnsi="宋体" w:eastAsia="宋体" w:cs="宋体"/>
                <w:sz w:val="24"/>
                <w:szCs w:val="24"/>
              </w:rPr>
            </w:pPr>
            <w:r>
              <w:rPr>
                <w:rFonts w:hint="eastAsia" w:ascii="宋体" w:hAnsi="宋体" w:eastAsia="宋体" w:cs="宋体"/>
                <w:sz w:val="24"/>
                <w:szCs w:val="24"/>
              </w:rPr>
              <w:t>（6）为本招标项目的代建人；</w:t>
            </w:r>
          </w:p>
          <w:p w14:paraId="411AE4A6">
            <w:pPr>
              <w:widowControl w:val="0"/>
              <w:spacing w:line="360" w:lineRule="auto"/>
              <w:jc w:val="both"/>
              <w:rPr>
                <w:rFonts w:hint="eastAsia" w:ascii="宋体" w:hAnsi="宋体" w:eastAsia="宋体" w:cs="宋体"/>
                <w:sz w:val="24"/>
                <w:szCs w:val="24"/>
              </w:rPr>
            </w:pPr>
            <w:r>
              <w:rPr>
                <w:rFonts w:hint="eastAsia" w:ascii="宋体" w:hAnsi="宋体" w:eastAsia="宋体" w:cs="宋体"/>
                <w:sz w:val="24"/>
                <w:szCs w:val="24"/>
              </w:rPr>
              <w:t>（7）为本招标项目的招标代理机构；</w:t>
            </w:r>
          </w:p>
          <w:p w14:paraId="71B88002">
            <w:pPr>
              <w:widowControl w:val="0"/>
              <w:spacing w:line="360" w:lineRule="auto"/>
              <w:jc w:val="both"/>
              <w:rPr>
                <w:rFonts w:hint="eastAsia" w:ascii="宋体" w:hAnsi="宋体" w:eastAsia="宋体" w:cs="宋体"/>
                <w:sz w:val="24"/>
                <w:szCs w:val="24"/>
              </w:rPr>
            </w:pPr>
            <w:r>
              <w:rPr>
                <w:rFonts w:hint="eastAsia" w:ascii="宋体" w:hAnsi="宋体" w:eastAsia="宋体" w:cs="宋体"/>
                <w:sz w:val="24"/>
                <w:szCs w:val="24"/>
              </w:rPr>
              <w:t>（8）与本招标项目的监理人或代建人或招标代理机构同为一个法定代表人；</w:t>
            </w:r>
          </w:p>
          <w:p w14:paraId="63E618FC">
            <w:pPr>
              <w:widowControl w:val="0"/>
              <w:spacing w:line="360" w:lineRule="auto"/>
              <w:jc w:val="both"/>
              <w:rPr>
                <w:rFonts w:hint="eastAsia" w:ascii="宋体" w:hAnsi="宋体" w:eastAsia="宋体" w:cs="宋体"/>
                <w:sz w:val="24"/>
                <w:szCs w:val="24"/>
              </w:rPr>
            </w:pPr>
            <w:r>
              <w:rPr>
                <w:rFonts w:hint="eastAsia" w:ascii="宋体" w:hAnsi="宋体" w:eastAsia="宋体" w:cs="宋体"/>
                <w:sz w:val="24"/>
                <w:szCs w:val="24"/>
              </w:rPr>
              <w:t>（9）与本招标项目的监理人或代建人或招标代理机构存在控股或参股关系；</w:t>
            </w:r>
          </w:p>
          <w:p w14:paraId="0758463A">
            <w:pPr>
              <w:widowControl w:val="0"/>
              <w:spacing w:line="360" w:lineRule="auto"/>
              <w:jc w:val="both"/>
              <w:rPr>
                <w:rFonts w:hint="eastAsia" w:ascii="宋体" w:hAnsi="宋体" w:eastAsia="宋体" w:cs="宋体"/>
                <w:sz w:val="24"/>
                <w:szCs w:val="24"/>
              </w:rPr>
            </w:pPr>
            <w:r>
              <w:rPr>
                <w:rFonts w:hint="eastAsia" w:ascii="宋体" w:hAnsi="宋体" w:eastAsia="宋体" w:cs="宋体"/>
                <w:sz w:val="24"/>
                <w:szCs w:val="24"/>
              </w:rPr>
              <w:t>（10）与本招标项目的监理人或代建人或招标代理机构存在相互任职或工作关系；</w:t>
            </w:r>
          </w:p>
          <w:p w14:paraId="6520524D">
            <w:pPr>
              <w:widowControl w:val="0"/>
              <w:spacing w:line="360" w:lineRule="auto"/>
              <w:jc w:val="both"/>
              <w:rPr>
                <w:rFonts w:hint="eastAsia" w:ascii="宋体" w:hAnsi="宋体" w:eastAsia="宋体" w:cs="宋体"/>
                <w:sz w:val="24"/>
                <w:szCs w:val="24"/>
              </w:rPr>
            </w:pPr>
            <w:r>
              <w:rPr>
                <w:rFonts w:hint="eastAsia" w:ascii="宋体" w:hAnsi="宋体" w:eastAsia="宋体" w:cs="宋体"/>
                <w:sz w:val="24"/>
                <w:szCs w:val="24"/>
              </w:rPr>
              <w:t>（11）被依法暂停或者取消投标资格；</w:t>
            </w:r>
          </w:p>
          <w:p w14:paraId="028733A3">
            <w:pPr>
              <w:widowControl w:val="0"/>
              <w:spacing w:line="360" w:lineRule="auto"/>
              <w:jc w:val="both"/>
              <w:rPr>
                <w:rFonts w:hint="eastAsia" w:ascii="宋体" w:hAnsi="宋体" w:eastAsia="宋体" w:cs="宋体"/>
                <w:sz w:val="24"/>
                <w:szCs w:val="24"/>
              </w:rPr>
            </w:pPr>
            <w:r>
              <w:rPr>
                <w:rFonts w:hint="eastAsia" w:ascii="宋体" w:hAnsi="宋体" w:eastAsia="宋体" w:cs="宋体"/>
                <w:sz w:val="24"/>
                <w:szCs w:val="24"/>
              </w:rPr>
              <w:t>（12）被责令停产停业、暂扣或者吊销许可证、暂扣或者吊销执照；</w:t>
            </w:r>
          </w:p>
          <w:p w14:paraId="088AE537">
            <w:pPr>
              <w:widowControl w:val="0"/>
              <w:spacing w:line="360" w:lineRule="auto"/>
              <w:jc w:val="both"/>
              <w:rPr>
                <w:rFonts w:hint="eastAsia" w:ascii="宋体" w:hAnsi="宋体" w:eastAsia="宋体" w:cs="宋体"/>
                <w:sz w:val="24"/>
                <w:szCs w:val="24"/>
              </w:rPr>
            </w:pPr>
            <w:r>
              <w:rPr>
                <w:rFonts w:hint="eastAsia" w:ascii="宋体" w:hAnsi="宋体" w:eastAsia="宋体" w:cs="宋体"/>
                <w:sz w:val="24"/>
                <w:szCs w:val="24"/>
              </w:rPr>
              <w:t>（13）进入清算程序，或被宣告破产，或其他丧失履约能力的情形；</w:t>
            </w:r>
          </w:p>
          <w:p w14:paraId="0563E14C">
            <w:pPr>
              <w:widowControl w:val="0"/>
              <w:spacing w:line="360" w:lineRule="auto"/>
              <w:jc w:val="both"/>
              <w:rPr>
                <w:rFonts w:hint="eastAsia" w:ascii="宋体" w:hAnsi="宋体" w:eastAsia="宋体" w:cs="宋体"/>
                <w:sz w:val="24"/>
                <w:szCs w:val="24"/>
              </w:rPr>
            </w:pPr>
            <w:r>
              <w:rPr>
                <w:rFonts w:hint="eastAsia" w:ascii="宋体" w:hAnsi="宋体" w:eastAsia="宋体" w:cs="宋体"/>
                <w:sz w:val="24"/>
                <w:szCs w:val="24"/>
              </w:rPr>
              <w:t>（14）在最近三年内发生重大工程质量或安全问题（以相关行业主管部门的行政处罚决定或司法机关出具的有关法律文书为准）；</w:t>
            </w:r>
          </w:p>
          <w:p w14:paraId="68C26554">
            <w:pPr>
              <w:widowControl w:val="0"/>
              <w:spacing w:line="360" w:lineRule="auto"/>
              <w:jc w:val="both"/>
              <w:rPr>
                <w:rFonts w:hint="eastAsia" w:ascii="宋体" w:hAnsi="宋体" w:eastAsia="宋体" w:cs="宋体"/>
                <w:sz w:val="24"/>
                <w:szCs w:val="24"/>
              </w:rPr>
            </w:pPr>
            <w:r>
              <w:rPr>
                <w:rFonts w:hint="eastAsia" w:ascii="宋体" w:hAnsi="宋体" w:eastAsia="宋体" w:cs="宋体"/>
                <w:sz w:val="24"/>
                <w:szCs w:val="24"/>
              </w:rPr>
              <w:t>（15）被“信用中国”网站（https://www.creditchina.gov.cn）发布的《法人和非法人组织公共信用信息报告》列为严重失信主体名单的。</w:t>
            </w:r>
          </w:p>
          <w:p w14:paraId="13EF03FB">
            <w:pPr>
              <w:widowControl w:val="0"/>
              <w:spacing w:line="360" w:lineRule="auto"/>
              <w:jc w:val="both"/>
              <w:rPr>
                <w:rFonts w:hint="eastAsia" w:ascii="宋体" w:hAnsi="宋体" w:eastAsia="宋体" w:cs="宋体"/>
                <w:sz w:val="24"/>
                <w:szCs w:val="24"/>
              </w:rPr>
            </w:pPr>
            <w:r>
              <w:rPr>
                <w:rFonts w:hint="eastAsia" w:ascii="宋体" w:hAnsi="宋体" w:eastAsia="宋体" w:cs="宋体"/>
                <w:sz w:val="24"/>
                <w:szCs w:val="24"/>
              </w:rPr>
              <w:t>4.2招标人拒绝以下名单中的单位参加本次投标：</w:t>
            </w:r>
          </w:p>
          <w:tbl>
            <w:tblPr>
              <w:tblStyle w:val="24"/>
              <w:tblW w:w="0" w:type="auto"/>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6"/>
              <w:gridCol w:w="3367"/>
              <w:gridCol w:w="2581"/>
            </w:tblGrid>
            <w:tr w14:paraId="146E6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716" w:type="dxa"/>
                  <w:noWrap w:val="0"/>
                  <w:vAlign w:val="center"/>
                </w:tcPr>
                <w:p w14:paraId="4BB06581">
                  <w:pPr>
                    <w:spacing w:line="240" w:lineRule="auto"/>
                    <w:jc w:val="center"/>
                    <w:rPr>
                      <w:rFonts w:hint="eastAsia" w:ascii="宋体" w:hAnsi="宋体" w:eastAsia="宋体" w:cs="宋体"/>
                      <w:sz w:val="24"/>
                      <w:szCs w:val="24"/>
                    </w:rPr>
                  </w:pPr>
                  <w:r>
                    <w:rPr>
                      <w:rFonts w:hint="eastAsia" w:ascii="宋体" w:hAnsi="宋体" w:eastAsia="宋体" w:cs="宋体"/>
                      <w:sz w:val="24"/>
                      <w:szCs w:val="24"/>
                    </w:rPr>
                    <w:t>序号</w:t>
                  </w:r>
                </w:p>
              </w:tc>
              <w:tc>
                <w:tcPr>
                  <w:tcW w:w="3367" w:type="dxa"/>
                  <w:noWrap w:val="0"/>
                  <w:vAlign w:val="center"/>
                </w:tcPr>
                <w:p w14:paraId="7E5B0103">
                  <w:pPr>
                    <w:spacing w:line="240" w:lineRule="auto"/>
                    <w:jc w:val="center"/>
                    <w:rPr>
                      <w:rFonts w:hint="eastAsia" w:ascii="宋体" w:hAnsi="宋体" w:eastAsia="宋体" w:cs="宋体"/>
                      <w:sz w:val="24"/>
                      <w:szCs w:val="24"/>
                    </w:rPr>
                  </w:pPr>
                  <w:r>
                    <w:rPr>
                      <w:rFonts w:hint="eastAsia" w:ascii="宋体" w:hAnsi="宋体" w:eastAsia="宋体" w:cs="宋体"/>
                      <w:sz w:val="24"/>
                      <w:szCs w:val="24"/>
                    </w:rPr>
                    <w:t>单位名称</w:t>
                  </w:r>
                </w:p>
              </w:tc>
              <w:tc>
                <w:tcPr>
                  <w:tcW w:w="2581" w:type="dxa"/>
                  <w:noWrap w:val="0"/>
                  <w:vAlign w:val="center"/>
                </w:tcPr>
                <w:p w14:paraId="7DDD6B2B">
                  <w:pPr>
                    <w:spacing w:line="240" w:lineRule="auto"/>
                    <w:jc w:val="center"/>
                    <w:rPr>
                      <w:rFonts w:hint="eastAsia" w:ascii="宋体" w:hAnsi="宋体" w:eastAsia="宋体" w:cs="宋体"/>
                      <w:sz w:val="24"/>
                      <w:szCs w:val="24"/>
                    </w:rPr>
                  </w:pPr>
                  <w:r>
                    <w:rPr>
                      <w:rFonts w:hint="eastAsia" w:ascii="宋体" w:hAnsi="宋体" w:eastAsia="宋体" w:cs="宋体"/>
                      <w:sz w:val="24"/>
                      <w:szCs w:val="24"/>
                    </w:rPr>
                    <w:t>拒绝原因</w:t>
                  </w:r>
                </w:p>
              </w:tc>
            </w:tr>
            <w:tr w14:paraId="4CAA9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716" w:type="dxa"/>
                  <w:noWrap w:val="0"/>
                  <w:vAlign w:val="center"/>
                </w:tcPr>
                <w:p w14:paraId="6344DF3A">
                  <w:pPr>
                    <w:spacing w:line="240" w:lineRule="auto"/>
                    <w:jc w:val="center"/>
                    <w:rPr>
                      <w:rFonts w:hint="eastAsia" w:ascii="宋体" w:hAnsi="宋体" w:eastAsia="宋体" w:cs="宋体"/>
                      <w:sz w:val="24"/>
                      <w:szCs w:val="24"/>
                    </w:rPr>
                  </w:pPr>
                  <w:r>
                    <w:rPr>
                      <w:rFonts w:hint="eastAsia" w:ascii="宋体" w:hAnsi="宋体" w:eastAsia="宋体" w:cs="宋体"/>
                      <w:sz w:val="24"/>
                      <w:szCs w:val="24"/>
                    </w:rPr>
                    <w:t>1</w:t>
                  </w:r>
                </w:p>
              </w:tc>
              <w:tc>
                <w:tcPr>
                  <w:tcW w:w="3367" w:type="dxa"/>
                  <w:noWrap w:val="0"/>
                  <w:vAlign w:val="center"/>
                </w:tcPr>
                <w:p w14:paraId="4AA45830">
                  <w:pPr>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韶关市武江区重阳镇人民政府</w:t>
                  </w:r>
                </w:p>
              </w:tc>
              <w:tc>
                <w:tcPr>
                  <w:tcW w:w="2581" w:type="dxa"/>
                  <w:noWrap w:val="0"/>
                  <w:vAlign w:val="center"/>
                </w:tcPr>
                <w:p w14:paraId="3B7C97B4">
                  <w:pPr>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en-US"/>
                    </w:rPr>
                    <w:t>为本招标项目的业主</w:t>
                  </w:r>
                  <w:r>
                    <w:rPr>
                      <w:rFonts w:hint="eastAsia" w:ascii="宋体" w:hAnsi="宋体" w:eastAsia="宋体" w:cs="宋体"/>
                      <w:sz w:val="24"/>
                      <w:szCs w:val="24"/>
                      <w:lang w:val="en-US" w:eastAsia="zh-CN"/>
                    </w:rPr>
                    <w:t>、</w:t>
                  </w:r>
                  <w:r>
                    <w:rPr>
                      <w:rFonts w:hint="eastAsia" w:ascii="宋体" w:hAnsi="宋体" w:eastAsia="宋体" w:cs="宋体"/>
                      <w:sz w:val="24"/>
                      <w:szCs w:val="24"/>
                      <w:lang w:val="en-US" w:eastAsia="en-US"/>
                    </w:rPr>
                    <w:t>招标人</w:t>
                  </w:r>
                </w:p>
              </w:tc>
            </w:tr>
            <w:tr w14:paraId="5BD9A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716" w:type="dxa"/>
                  <w:noWrap w:val="0"/>
                  <w:vAlign w:val="center"/>
                </w:tcPr>
                <w:p w14:paraId="3AC364B1">
                  <w:pPr>
                    <w:spacing w:line="240" w:lineRule="auto"/>
                    <w:jc w:val="center"/>
                    <w:rPr>
                      <w:rFonts w:hint="eastAsia" w:ascii="宋体" w:hAnsi="宋体" w:eastAsia="宋体" w:cs="宋体"/>
                      <w:sz w:val="24"/>
                      <w:szCs w:val="24"/>
                    </w:rPr>
                  </w:pPr>
                  <w:r>
                    <w:rPr>
                      <w:rFonts w:hint="eastAsia" w:ascii="宋体" w:hAnsi="宋体" w:eastAsia="宋体" w:cs="宋体"/>
                      <w:sz w:val="24"/>
                      <w:szCs w:val="24"/>
                    </w:rPr>
                    <w:t>2</w:t>
                  </w:r>
                </w:p>
              </w:tc>
              <w:tc>
                <w:tcPr>
                  <w:tcW w:w="3367" w:type="dxa"/>
                  <w:shd w:val="clear" w:color="auto" w:fill="auto"/>
                  <w:noWrap w:val="0"/>
                  <w:vAlign w:val="center"/>
                </w:tcPr>
                <w:p w14:paraId="3AA962D6">
                  <w:pPr>
                    <w:spacing w:line="240" w:lineRule="auto"/>
                    <w:jc w:val="center"/>
                    <w:rPr>
                      <w:rFonts w:hint="eastAsia" w:ascii="宋体" w:hAnsi="宋体" w:eastAsia="宋体" w:cs="宋体"/>
                      <w:snapToGrid w:val="0"/>
                      <w:color w:val="000000"/>
                      <w:sz w:val="24"/>
                      <w:szCs w:val="24"/>
                      <w:lang w:val="en-US" w:eastAsia="zh-CN" w:bidi="ar-SA"/>
                    </w:rPr>
                  </w:pPr>
                  <w:r>
                    <w:rPr>
                      <w:rFonts w:hint="eastAsia" w:ascii="宋体" w:hAnsi="宋体" w:eastAsia="宋体" w:cs="宋体"/>
                      <w:sz w:val="24"/>
                      <w:szCs w:val="24"/>
                      <w:lang w:val="en-US" w:eastAsia="zh-CN"/>
                    </w:rPr>
                    <w:t>广东宝骏工程咨询有限公司</w:t>
                  </w:r>
                </w:p>
              </w:tc>
              <w:tc>
                <w:tcPr>
                  <w:tcW w:w="2581" w:type="dxa"/>
                  <w:shd w:val="clear" w:color="auto" w:fill="auto"/>
                  <w:noWrap w:val="0"/>
                  <w:vAlign w:val="center"/>
                </w:tcPr>
                <w:p w14:paraId="64DEBD20">
                  <w:pPr>
                    <w:spacing w:line="240" w:lineRule="auto"/>
                    <w:jc w:val="center"/>
                    <w:rPr>
                      <w:rFonts w:hint="eastAsia" w:ascii="宋体" w:hAnsi="宋体" w:eastAsia="宋体" w:cs="宋体"/>
                      <w:snapToGrid w:val="0"/>
                      <w:color w:val="000000"/>
                      <w:sz w:val="24"/>
                      <w:szCs w:val="24"/>
                      <w:lang w:val="en-US" w:eastAsia="en-US" w:bidi="ar-SA"/>
                    </w:rPr>
                  </w:pPr>
                  <w:r>
                    <w:rPr>
                      <w:rFonts w:hint="eastAsia" w:ascii="宋体" w:hAnsi="宋体" w:eastAsia="宋体" w:cs="宋体"/>
                      <w:sz w:val="24"/>
                      <w:szCs w:val="24"/>
                      <w:lang w:val="en-US" w:eastAsia="en-US"/>
                    </w:rPr>
                    <w:t>为本招标项目的招标代理机构</w:t>
                  </w:r>
                </w:p>
              </w:tc>
            </w:tr>
            <w:tr w14:paraId="34F42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trPr>
              <w:tc>
                <w:tcPr>
                  <w:tcW w:w="716" w:type="dxa"/>
                  <w:noWrap w:val="0"/>
                  <w:vAlign w:val="center"/>
                </w:tcPr>
                <w:p w14:paraId="101F92F6">
                  <w:pPr>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3</w:t>
                  </w:r>
                </w:p>
              </w:tc>
              <w:tc>
                <w:tcPr>
                  <w:tcW w:w="3367" w:type="dxa"/>
                  <w:shd w:val="clear" w:color="auto" w:fill="auto"/>
                  <w:noWrap w:val="0"/>
                  <w:vAlign w:val="center"/>
                </w:tcPr>
                <w:p w14:paraId="17D2AB23">
                  <w:pPr>
                    <w:spacing w:line="240" w:lineRule="auto"/>
                    <w:jc w:val="center"/>
                    <w:rPr>
                      <w:rFonts w:hint="eastAsia" w:ascii="宋体" w:hAnsi="宋体" w:eastAsia="宋体" w:cs="宋体"/>
                      <w:snapToGrid w:val="0"/>
                      <w:color w:val="auto"/>
                      <w:sz w:val="24"/>
                      <w:szCs w:val="24"/>
                      <w:lang w:val="en-US" w:eastAsia="zh-CN" w:bidi="ar-SA"/>
                    </w:rPr>
                  </w:pPr>
                  <w:r>
                    <w:rPr>
                      <w:rFonts w:hint="eastAsia" w:ascii="宋体" w:hAnsi="宋体" w:eastAsia="宋体" w:cs="宋体"/>
                      <w:color w:val="auto"/>
                      <w:sz w:val="24"/>
                      <w:szCs w:val="24"/>
                      <w:lang w:val="en-US" w:eastAsia="zh-CN"/>
                    </w:rPr>
                    <w:t>深圳市建星项目管理顾问有限公司</w:t>
                  </w:r>
                </w:p>
              </w:tc>
              <w:tc>
                <w:tcPr>
                  <w:tcW w:w="2581" w:type="dxa"/>
                  <w:shd w:val="clear" w:color="auto" w:fill="auto"/>
                  <w:noWrap w:val="0"/>
                  <w:vAlign w:val="center"/>
                </w:tcPr>
                <w:p w14:paraId="059548B1">
                  <w:pPr>
                    <w:spacing w:line="240" w:lineRule="auto"/>
                    <w:jc w:val="center"/>
                    <w:rPr>
                      <w:rFonts w:hint="eastAsia" w:ascii="宋体" w:hAnsi="宋体" w:eastAsia="宋体" w:cs="宋体"/>
                      <w:snapToGrid w:val="0"/>
                      <w:color w:val="auto"/>
                      <w:sz w:val="24"/>
                      <w:szCs w:val="24"/>
                      <w:lang w:val="en-US" w:eastAsia="en-US" w:bidi="ar-SA"/>
                    </w:rPr>
                  </w:pPr>
                  <w:r>
                    <w:rPr>
                      <w:rFonts w:hint="eastAsia" w:ascii="宋体" w:hAnsi="宋体" w:eastAsia="宋体" w:cs="宋体"/>
                      <w:color w:val="auto"/>
                      <w:sz w:val="24"/>
                      <w:szCs w:val="24"/>
                      <w:lang w:val="en-US" w:eastAsia="en-US"/>
                    </w:rPr>
                    <w:t>为本招标项目的可研编制单位</w:t>
                  </w:r>
                </w:p>
              </w:tc>
            </w:tr>
            <w:tr w14:paraId="6C258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716" w:type="dxa"/>
                  <w:noWrap w:val="0"/>
                  <w:vAlign w:val="center"/>
                </w:tcPr>
                <w:p w14:paraId="2A04E636">
                  <w:pPr>
                    <w:spacing w:line="240" w:lineRule="auto"/>
                    <w:jc w:val="center"/>
                    <w:rPr>
                      <w:rFonts w:hint="eastAsia" w:ascii="宋体" w:hAnsi="宋体" w:eastAsia="宋体" w:cs="宋体"/>
                      <w:sz w:val="24"/>
                      <w:szCs w:val="24"/>
                    </w:rPr>
                  </w:pPr>
                  <w:r>
                    <w:rPr>
                      <w:rFonts w:hint="eastAsia" w:ascii="宋体" w:hAnsi="宋体" w:eastAsia="宋体" w:cs="宋体"/>
                      <w:sz w:val="24"/>
                      <w:szCs w:val="24"/>
                    </w:rPr>
                    <w:t>4</w:t>
                  </w:r>
                </w:p>
              </w:tc>
              <w:tc>
                <w:tcPr>
                  <w:tcW w:w="3367" w:type="dxa"/>
                  <w:shd w:val="clear" w:color="auto" w:fill="auto"/>
                  <w:noWrap w:val="0"/>
                  <w:vAlign w:val="center"/>
                </w:tcPr>
                <w:p w14:paraId="58C5707C">
                  <w:pPr>
                    <w:spacing w:line="240" w:lineRule="auto"/>
                    <w:jc w:val="center"/>
                    <w:rPr>
                      <w:rFonts w:hint="eastAsia" w:ascii="宋体" w:hAnsi="宋体" w:eastAsia="宋体" w:cs="宋体"/>
                      <w:snapToGrid w:val="0"/>
                      <w:color w:val="000000"/>
                      <w:sz w:val="24"/>
                      <w:szCs w:val="24"/>
                      <w:lang w:val="en-US" w:eastAsia="zh-CN" w:bidi="ar-SA"/>
                    </w:rPr>
                  </w:pPr>
                  <w:r>
                    <w:rPr>
                      <w:rFonts w:hint="eastAsia" w:ascii="宋体" w:hAnsi="宋体" w:eastAsia="宋体" w:cs="宋体"/>
                      <w:snapToGrid w:val="0"/>
                      <w:color w:val="000000"/>
                      <w:sz w:val="24"/>
                      <w:szCs w:val="24"/>
                      <w:lang w:val="en-US" w:eastAsia="zh-CN" w:bidi="ar-SA"/>
                    </w:rPr>
                    <w:t>广东明正项目管理有限公司</w:t>
                  </w:r>
                </w:p>
              </w:tc>
              <w:tc>
                <w:tcPr>
                  <w:tcW w:w="2581" w:type="dxa"/>
                  <w:shd w:val="clear" w:color="auto" w:fill="auto"/>
                  <w:noWrap w:val="0"/>
                  <w:vAlign w:val="center"/>
                </w:tcPr>
                <w:p w14:paraId="3F40428E">
                  <w:pPr>
                    <w:spacing w:line="240" w:lineRule="auto"/>
                    <w:jc w:val="center"/>
                    <w:rPr>
                      <w:rFonts w:hint="eastAsia" w:ascii="宋体" w:hAnsi="宋体" w:eastAsia="宋体" w:cs="宋体"/>
                      <w:snapToGrid w:val="0"/>
                      <w:color w:val="000000"/>
                      <w:sz w:val="24"/>
                      <w:szCs w:val="24"/>
                      <w:lang w:val="en-US" w:eastAsia="en-US" w:bidi="ar-SA"/>
                    </w:rPr>
                  </w:pPr>
                  <w:r>
                    <w:rPr>
                      <w:rFonts w:hint="eastAsia" w:ascii="宋体" w:hAnsi="宋体" w:eastAsia="宋体" w:cs="宋体"/>
                      <w:sz w:val="24"/>
                      <w:szCs w:val="24"/>
                      <w:lang w:val="en-US" w:eastAsia="en-US"/>
                    </w:rPr>
                    <w:t>为本招标项目的</w:t>
                  </w:r>
                  <w:r>
                    <w:rPr>
                      <w:rFonts w:hint="eastAsia" w:ascii="宋体" w:hAnsi="宋体" w:eastAsia="宋体" w:cs="宋体"/>
                      <w:sz w:val="24"/>
                      <w:szCs w:val="24"/>
                      <w:lang w:val="en-US" w:eastAsia="zh-CN"/>
                    </w:rPr>
                    <w:t>预算编制</w:t>
                  </w:r>
                  <w:r>
                    <w:rPr>
                      <w:rFonts w:hint="eastAsia" w:ascii="宋体" w:hAnsi="宋体" w:eastAsia="宋体" w:cs="宋体"/>
                      <w:sz w:val="24"/>
                      <w:szCs w:val="24"/>
                      <w:lang w:val="en-US" w:eastAsia="en-US"/>
                    </w:rPr>
                    <w:t>单位</w:t>
                  </w:r>
                </w:p>
              </w:tc>
            </w:tr>
            <w:tr w14:paraId="2C5FC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716" w:type="dxa"/>
                  <w:noWrap w:val="0"/>
                  <w:vAlign w:val="center"/>
                </w:tcPr>
                <w:p w14:paraId="7A22C078">
                  <w:pPr>
                    <w:spacing w:line="24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5</w:t>
                  </w:r>
                </w:p>
              </w:tc>
              <w:tc>
                <w:tcPr>
                  <w:tcW w:w="3367" w:type="dxa"/>
                  <w:shd w:val="clear" w:color="auto" w:fill="auto"/>
                  <w:noWrap w:val="0"/>
                  <w:vAlign w:val="center"/>
                </w:tcPr>
                <w:p w14:paraId="7FB2D2E1">
                  <w:pPr>
                    <w:spacing w:line="240" w:lineRule="auto"/>
                    <w:jc w:val="center"/>
                    <w:rPr>
                      <w:rFonts w:hint="eastAsia" w:ascii="宋体" w:hAnsi="宋体" w:eastAsia="宋体" w:cs="宋体"/>
                      <w:snapToGrid w:val="0"/>
                      <w:color w:val="000000"/>
                      <w:sz w:val="24"/>
                      <w:szCs w:val="24"/>
                      <w:lang w:val="en-US" w:eastAsia="zh-CN" w:bidi="ar-SA"/>
                    </w:rPr>
                  </w:pPr>
                  <w:r>
                    <w:rPr>
                      <w:rFonts w:hint="eastAsia" w:ascii="宋体" w:hAnsi="宋体" w:eastAsia="宋体" w:cs="宋体"/>
                      <w:snapToGrid w:val="0"/>
                      <w:color w:val="000000"/>
                      <w:sz w:val="24"/>
                      <w:szCs w:val="24"/>
                      <w:lang w:val="en-US" w:eastAsia="zh-CN" w:bidi="ar-SA"/>
                    </w:rPr>
                    <w:t>广东泰通伟业工程咨询有限公司</w:t>
                  </w:r>
                </w:p>
              </w:tc>
              <w:tc>
                <w:tcPr>
                  <w:tcW w:w="2581" w:type="dxa"/>
                  <w:shd w:val="clear" w:color="auto" w:fill="auto"/>
                  <w:noWrap w:val="0"/>
                  <w:vAlign w:val="center"/>
                </w:tcPr>
                <w:p w14:paraId="1843D1EA">
                  <w:pPr>
                    <w:spacing w:line="240" w:lineRule="auto"/>
                    <w:jc w:val="center"/>
                    <w:rPr>
                      <w:rFonts w:hint="eastAsia" w:ascii="宋体" w:hAnsi="宋体" w:eastAsia="宋体" w:cs="宋体"/>
                      <w:snapToGrid w:val="0"/>
                      <w:color w:val="000000"/>
                      <w:sz w:val="24"/>
                      <w:szCs w:val="24"/>
                      <w:lang w:val="en-US" w:eastAsia="zh-CN" w:bidi="ar-SA"/>
                    </w:rPr>
                  </w:pPr>
                  <w:r>
                    <w:rPr>
                      <w:rFonts w:hint="eastAsia" w:ascii="宋体" w:hAnsi="宋体" w:eastAsia="宋体" w:cs="宋体"/>
                      <w:sz w:val="24"/>
                      <w:szCs w:val="24"/>
                      <w:lang w:val="en-US" w:eastAsia="en-US"/>
                    </w:rPr>
                    <w:t>为本招标项目的</w:t>
                  </w:r>
                  <w:r>
                    <w:rPr>
                      <w:rFonts w:hint="eastAsia" w:ascii="宋体" w:hAnsi="宋体" w:eastAsia="宋体" w:cs="宋体"/>
                      <w:sz w:val="24"/>
                      <w:szCs w:val="24"/>
                      <w:lang w:val="en-US" w:eastAsia="zh-CN"/>
                    </w:rPr>
                    <w:t>预算审核</w:t>
                  </w:r>
                  <w:r>
                    <w:rPr>
                      <w:rFonts w:hint="eastAsia" w:ascii="宋体" w:hAnsi="宋体" w:eastAsia="宋体" w:cs="宋体"/>
                      <w:sz w:val="24"/>
                      <w:szCs w:val="24"/>
                      <w:lang w:val="en-US" w:eastAsia="en-US"/>
                    </w:rPr>
                    <w:t>单位</w:t>
                  </w:r>
                </w:p>
              </w:tc>
            </w:tr>
            <w:tr w14:paraId="54811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716" w:type="dxa"/>
                  <w:shd w:val="clear" w:color="auto" w:fill="auto"/>
                  <w:noWrap w:val="0"/>
                  <w:vAlign w:val="center"/>
                </w:tcPr>
                <w:p w14:paraId="360BD2AA">
                  <w:pPr>
                    <w:spacing w:line="240" w:lineRule="auto"/>
                    <w:jc w:val="center"/>
                    <w:rPr>
                      <w:rFonts w:hint="eastAsia" w:ascii="宋体" w:hAnsi="宋体" w:eastAsia="宋体" w:cs="宋体"/>
                      <w:snapToGrid w:val="0"/>
                      <w:color w:val="000000"/>
                      <w:sz w:val="24"/>
                      <w:szCs w:val="24"/>
                      <w:lang w:val="en-US" w:eastAsia="zh-CN" w:bidi="ar-SA"/>
                    </w:rPr>
                  </w:pPr>
                  <w:r>
                    <w:rPr>
                      <w:rFonts w:hint="eastAsia" w:ascii="宋体" w:hAnsi="宋体" w:eastAsia="宋体" w:cs="宋体"/>
                      <w:sz w:val="24"/>
                      <w:szCs w:val="24"/>
                      <w:lang w:val="en-US" w:eastAsia="zh-CN"/>
                    </w:rPr>
                    <w:t>6</w:t>
                  </w:r>
                </w:p>
              </w:tc>
              <w:tc>
                <w:tcPr>
                  <w:tcW w:w="3367" w:type="dxa"/>
                  <w:shd w:val="clear" w:color="auto" w:fill="auto"/>
                  <w:noWrap w:val="0"/>
                  <w:vAlign w:val="center"/>
                </w:tcPr>
                <w:p w14:paraId="1C8EB9B7">
                  <w:pPr>
                    <w:spacing w:line="240" w:lineRule="auto"/>
                    <w:jc w:val="center"/>
                    <w:rPr>
                      <w:rFonts w:hint="eastAsia" w:ascii="宋体" w:hAnsi="宋体" w:eastAsia="宋体" w:cs="宋体"/>
                      <w:snapToGrid w:val="0"/>
                      <w:color w:val="000000"/>
                      <w:sz w:val="24"/>
                      <w:szCs w:val="24"/>
                      <w:lang w:val="en-US" w:eastAsia="zh-CN" w:bidi="ar-SA"/>
                    </w:rPr>
                  </w:pPr>
                  <w:r>
                    <w:rPr>
                      <w:rFonts w:hint="eastAsia" w:ascii="宋体" w:hAnsi="宋体" w:eastAsia="宋体" w:cs="宋体"/>
                      <w:sz w:val="24"/>
                      <w:szCs w:val="24"/>
                      <w:lang w:val="en-US" w:eastAsia="zh-CN"/>
                    </w:rPr>
                    <w:t>中誉恒信工程咨询有限公司</w:t>
                  </w:r>
                </w:p>
              </w:tc>
              <w:tc>
                <w:tcPr>
                  <w:tcW w:w="2581" w:type="dxa"/>
                  <w:shd w:val="clear" w:color="auto" w:fill="auto"/>
                  <w:noWrap w:val="0"/>
                  <w:vAlign w:val="center"/>
                </w:tcPr>
                <w:p w14:paraId="676CEB2A">
                  <w:pPr>
                    <w:spacing w:line="240" w:lineRule="auto"/>
                    <w:jc w:val="center"/>
                    <w:rPr>
                      <w:rFonts w:hint="eastAsia" w:ascii="宋体" w:hAnsi="宋体" w:eastAsia="宋体" w:cs="宋体"/>
                      <w:snapToGrid w:val="0"/>
                      <w:color w:val="000000"/>
                      <w:sz w:val="24"/>
                      <w:szCs w:val="24"/>
                      <w:lang w:val="en-US" w:eastAsia="en-US" w:bidi="ar-SA"/>
                    </w:rPr>
                  </w:pPr>
                  <w:r>
                    <w:rPr>
                      <w:rFonts w:hint="eastAsia" w:ascii="宋体" w:hAnsi="宋体" w:eastAsia="宋体" w:cs="宋体"/>
                      <w:sz w:val="24"/>
                      <w:szCs w:val="24"/>
                      <w:lang w:val="en-US" w:eastAsia="en-US"/>
                    </w:rPr>
                    <w:t>为本招标项目的</w:t>
                  </w:r>
                  <w:r>
                    <w:rPr>
                      <w:rFonts w:hint="eastAsia" w:ascii="宋体" w:hAnsi="宋体" w:eastAsia="宋体" w:cs="宋体"/>
                      <w:sz w:val="24"/>
                      <w:szCs w:val="24"/>
                      <w:lang w:val="en-US" w:eastAsia="zh-CN"/>
                    </w:rPr>
                    <w:t>设计单位</w:t>
                  </w:r>
                </w:p>
              </w:tc>
            </w:tr>
          </w:tbl>
          <w:p w14:paraId="3ECF3282">
            <w:pPr>
              <w:widowControl w:val="0"/>
              <w:spacing w:line="360" w:lineRule="auto"/>
              <w:jc w:val="both"/>
              <w:rPr>
                <w:rFonts w:hint="eastAsia" w:ascii="宋体" w:hAnsi="宋体" w:eastAsia="宋体" w:cs="宋体"/>
                <w:sz w:val="24"/>
                <w:szCs w:val="24"/>
              </w:rPr>
            </w:pPr>
            <w:r>
              <w:rPr>
                <w:rFonts w:hint="eastAsia" w:ascii="宋体" w:hAnsi="宋体" w:eastAsia="宋体" w:cs="宋体"/>
                <w:sz w:val="24"/>
                <w:szCs w:val="24"/>
              </w:rPr>
              <w:t>5</w:t>
            </w:r>
            <w:r>
              <w:rPr>
                <w:rFonts w:hint="eastAsia" w:ascii="宋体" w:hAnsi="宋体" w:eastAsia="宋体" w:cs="宋体"/>
                <w:sz w:val="24"/>
                <w:szCs w:val="24"/>
                <w:lang w:eastAsia="zh-CN"/>
              </w:rPr>
              <w:t>.</w:t>
            </w:r>
            <w:r>
              <w:rPr>
                <w:rFonts w:hint="eastAsia" w:ascii="宋体" w:hAnsi="宋体" w:eastAsia="宋体" w:cs="宋体"/>
                <w:sz w:val="24"/>
                <w:szCs w:val="24"/>
              </w:rPr>
              <w:t>其他要求</w:t>
            </w:r>
          </w:p>
          <w:p w14:paraId="03177DF6">
            <w:pPr>
              <w:widowControl w:val="0"/>
              <w:spacing w:line="360" w:lineRule="auto"/>
              <w:jc w:val="both"/>
              <w:rPr>
                <w:rFonts w:hint="eastAsia" w:ascii="宋体" w:hAnsi="宋体" w:eastAsia="宋体" w:cs="宋体"/>
                <w:sz w:val="24"/>
                <w:szCs w:val="24"/>
                <w:lang w:val="en-US" w:eastAsia="en-US"/>
              </w:rPr>
            </w:pPr>
            <w:r>
              <w:rPr>
                <w:rFonts w:hint="eastAsia" w:ascii="宋体" w:hAnsi="宋体" w:eastAsia="宋体" w:cs="宋体"/>
                <w:sz w:val="24"/>
                <w:szCs w:val="24"/>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tc>
      </w:tr>
      <w:tr w14:paraId="54503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shd w:val="clear" w:color="auto" w:fill="auto"/>
            <w:vAlign w:val="center"/>
          </w:tcPr>
          <w:p w14:paraId="0599E045">
            <w:pPr>
              <w:widowControl w:val="0"/>
              <w:spacing w:line="360" w:lineRule="auto"/>
              <w:jc w:val="center"/>
              <w:rPr>
                <w:rFonts w:hint="eastAsia" w:ascii="宋体" w:hAnsi="宋体" w:eastAsia="宋体" w:cs="宋体"/>
                <w:sz w:val="24"/>
                <w:szCs w:val="24"/>
                <w:lang w:val="en-US" w:eastAsia="en-US"/>
              </w:rPr>
            </w:pPr>
            <w:r>
              <w:rPr>
                <w:rFonts w:hint="eastAsia" w:ascii="宋体" w:hAnsi="宋体" w:eastAsia="宋体" w:cs="宋体"/>
                <w:sz w:val="24"/>
                <w:szCs w:val="24"/>
              </w:rPr>
              <w:t>27</w:t>
            </w:r>
          </w:p>
        </w:tc>
        <w:tc>
          <w:tcPr>
            <w:tcW w:w="2433" w:type="dxa"/>
            <w:shd w:val="clear" w:color="auto" w:fill="auto"/>
            <w:vAlign w:val="top"/>
          </w:tcPr>
          <w:p w14:paraId="1996812E">
            <w:pPr>
              <w:widowControl w:val="0"/>
              <w:spacing w:line="360" w:lineRule="auto"/>
              <w:jc w:val="center"/>
              <w:rPr>
                <w:rFonts w:hint="eastAsia" w:ascii="宋体" w:hAnsi="宋体" w:eastAsia="宋体" w:cs="宋体"/>
                <w:sz w:val="24"/>
                <w:szCs w:val="24"/>
                <w:lang w:val="en-US" w:eastAsia="en-US"/>
              </w:rPr>
            </w:pPr>
            <w:r>
              <w:rPr>
                <w:rFonts w:hint="eastAsia" w:ascii="宋体" w:hAnsi="宋体" w:eastAsia="宋体" w:cs="宋体"/>
                <w:sz w:val="24"/>
                <w:szCs w:val="24"/>
              </w:rPr>
              <w:t>投标有效期</w:t>
            </w:r>
          </w:p>
        </w:tc>
        <w:tc>
          <w:tcPr>
            <w:tcW w:w="6900" w:type="dxa"/>
            <w:shd w:val="clear" w:color="auto" w:fill="auto"/>
            <w:vAlign w:val="top"/>
          </w:tcPr>
          <w:p w14:paraId="3CCC57BC">
            <w:pPr>
              <w:widowControl w:val="0"/>
              <w:spacing w:line="360" w:lineRule="auto"/>
              <w:jc w:val="both"/>
              <w:rPr>
                <w:rFonts w:hint="eastAsia" w:ascii="宋体" w:hAnsi="宋体" w:eastAsia="宋体" w:cs="宋体"/>
                <w:sz w:val="24"/>
                <w:szCs w:val="24"/>
                <w:lang w:val="en-US" w:eastAsia="en-US"/>
              </w:rPr>
            </w:pPr>
            <w:r>
              <w:rPr>
                <w:rFonts w:hint="eastAsia" w:ascii="宋体" w:hAnsi="宋体" w:eastAsia="宋体" w:cs="宋体"/>
                <w:sz w:val="24"/>
                <w:szCs w:val="24"/>
              </w:rPr>
              <w:t>本次招标的投标有效期为</w:t>
            </w:r>
            <w:r>
              <w:rPr>
                <w:rFonts w:hint="eastAsia" w:ascii="宋体" w:hAnsi="宋体" w:eastAsia="宋体" w:cs="宋体"/>
                <w:sz w:val="24"/>
                <w:szCs w:val="24"/>
                <w:lang w:eastAsia="zh-CN"/>
              </w:rPr>
              <w:t>90</w:t>
            </w:r>
            <w:r>
              <w:rPr>
                <w:rFonts w:hint="eastAsia" w:ascii="宋体" w:hAnsi="宋体" w:eastAsia="宋体" w:cs="宋体"/>
                <w:sz w:val="24"/>
                <w:szCs w:val="24"/>
              </w:rPr>
              <w:t>个日历天。</w:t>
            </w:r>
          </w:p>
        </w:tc>
      </w:tr>
      <w:tr w14:paraId="55C26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shd w:val="clear" w:color="auto" w:fill="auto"/>
            <w:vAlign w:val="center"/>
          </w:tcPr>
          <w:p w14:paraId="11A2D2C7">
            <w:pPr>
              <w:widowControl w:val="0"/>
              <w:spacing w:line="360" w:lineRule="auto"/>
              <w:jc w:val="center"/>
              <w:rPr>
                <w:rFonts w:hint="eastAsia" w:ascii="宋体" w:hAnsi="宋体" w:eastAsia="宋体" w:cs="宋体"/>
                <w:sz w:val="24"/>
                <w:szCs w:val="24"/>
                <w:lang w:val="en-US" w:eastAsia="en-US"/>
              </w:rPr>
            </w:pPr>
            <w:r>
              <w:rPr>
                <w:rFonts w:hint="eastAsia" w:ascii="宋体" w:hAnsi="宋体" w:eastAsia="宋体" w:cs="宋体"/>
                <w:sz w:val="24"/>
                <w:szCs w:val="24"/>
              </w:rPr>
              <w:t>28</w:t>
            </w:r>
          </w:p>
        </w:tc>
        <w:tc>
          <w:tcPr>
            <w:tcW w:w="2433" w:type="dxa"/>
            <w:shd w:val="clear" w:color="auto" w:fill="auto"/>
            <w:vAlign w:val="center"/>
          </w:tcPr>
          <w:p w14:paraId="726C8184">
            <w:pPr>
              <w:widowControl w:val="0"/>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rPr>
              <w:t>投标文件</w:t>
            </w:r>
            <w:r>
              <w:rPr>
                <w:rFonts w:hint="eastAsia" w:ascii="宋体" w:hAnsi="宋体" w:eastAsia="宋体" w:cs="宋体"/>
                <w:sz w:val="24"/>
                <w:szCs w:val="24"/>
                <w:lang w:eastAsia="zh-CN"/>
              </w:rPr>
              <w:t>组成</w:t>
            </w:r>
          </w:p>
        </w:tc>
        <w:tc>
          <w:tcPr>
            <w:tcW w:w="6900" w:type="dxa"/>
            <w:shd w:val="clear" w:color="auto" w:fill="auto"/>
            <w:vAlign w:val="top"/>
          </w:tcPr>
          <w:p w14:paraId="47A6D59A">
            <w:pPr>
              <w:widowControl w:val="0"/>
              <w:spacing w:line="360" w:lineRule="auto"/>
              <w:jc w:val="both"/>
              <w:rPr>
                <w:rFonts w:hint="eastAsia" w:ascii="宋体" w:hAnsi="宋体" w:eastAsia="宋体" w:cs="宋体"/>
                <w:sz w:val="24"/>
                <w:szCs w:val="24"/>
                <w:lang w:val="en-US" w:eastAsia="en-US"/>
              </w:rPr>
            </w:pPr>
            <w:r>
              <w:rPr>
                <w:rFonts w:hint="eastAsia" w:ascii="宋体" w:hAnsi="宋体" w:eastAsia="宋体" w:cs="宋体"/>
                <w:sz w:val="24"/>
                <w:szCs w:val="24"/>
              </w:rPr>
              <w:t>投标文件包括商务标书、经济标书、施工组织设计三个分册。</w:t>
            </w:r>
          </w:p>
        </w:tc>
      </w:tr>
      <w:tr w14:paraId="64277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733" w:type="dxa"/>
            <w:shd w:val="clear" w:color="auto" w:fill="auto"/>
            <w:vAlign w:val="center"/>
          </w:tcPr>
          <w:p w14:paraId="310ECCF6">
            <w:pPr>
              <w:widowControl w:val="0"/>
              <w:spacing w:line="360" w:lineRule="auto"/>
              <w:jc w:val="center"/>
              <w:rPr>
                <w:rFonts w:hint="eastAsia" w:ascii="宋体" w:hAnsi="宋体" w:eastAsia="宋体" w:cs="宋体"/>
                <w:sz w:val="24"/>
                <w:szCs w:val="24"/>
                <w:lang w:val="en-US" w:eastAsia="en-US"/>
              </w:rPr>
            </w:pPr>
            <w:r>
              <w:rPr>
                <w:rFonts w:hint="eastAsia" w:ascii="宋体" w:hAnsi="宋体" w:eastAsia="宋体" w:cs="宋体"/>
                <w:sz w:val="24"/>
                <w:szCs w:val="24"/>
              </w:rPr>
              <w:t>29</w:t>
            </w:r>
          </w:p>
        </w:tc>
        <w:tc>
          <w:tcPr>
            <w:tcW w:w="2433" w:type="dxa"/>
            <w:shd w:val="clear" w:color="auto" w:fill="auto"/>
            <w:vAlign w:val="center"/>
          </w:tcPr>
          <w:p w14:paraId="14C92DFB">
            <w:pPr>
              <w:widowControl w:val="0"/>
              <w:spacing w:line="360" w:lineRule="auto"/>
              <w:jc w:val="center"/>
              <w:rPr>
                <w:rFonts w:hint="eastAsia" w:ascii="宋体" w:hAnsi="宋体" w:eastAsia="宋体" w:cs="宋体"/>
                <w:sz w:val="24"/>
                <w:szCs w:val="24"/>
                <w:lang w:val="en-US" w:eastAsia="en-US"/>
              </w:rPr>
            </w:pPr>
            <w:r>
              <w:rPr>
                <w:rFonts w:hint="eastAsia" w:ascii="宋体" w:hAnsi="宋体" w:eastAsia="宋体" w:cs="宋体"/>
                <w:sz w:val="24"/>
                <w:szCs w:val="24"/>
              </w:rPr>
              <w:t>施工组织设计评审方式</w:t>
            </w:r>
          </w:p>
        </w:tc>
        <w:tc>
          <w:tcPr>
            <w:tcW w:w="6900" w:type="dxa"/>
            <w:shd w:val="clear" w:color="auto" w:fill="auto"/>
            <w:vAlign w:val="top"/>
          </w:tcPr>
          <w:p w14:paraId="0A751A86">
            <w:pPr>
              <w:widowControl w:val="0"/>
              <w:spacing w:line="360" w:lineRule="auto"/>
              <w:jc w:val="both"/>
              <w:rPr>
                <w:rFonts w:hint="eastAsia" w:ascii="宋体" w:hAnsi="宋体" w:eastAsia="宋体" w:cs="宋体"/>
                <w:sz w:val="24"/>
                <w:szCs w:val="24"/>
                <w:lang w:val="en-US" w:eastAsia="en-US"/>
              </w:rPr>
            </w:pPr>
            <w:r>
              <w:rPr>
                <w:rFonts w:hint="eastAsia" w:ascii="宋体" w:hAnsi="宋体" w:eastAsia="宋体" w:cs="宋体"/>
                <w:sz w:val="24"/>
                <w:szCs w:val="24"/>
              </w:rPr>
              <w:t>本次招标施工组织设计不采用“暗标”方式进行评审。</w:t>
            </w:r>
          </w:p>
        </w:tc>
      </w:tr>
      <w:tr w14:paraId="736BD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shd w:val="clear" w:color="auto" w:fill="auto"/>
            <w:vAlign w:val="center"/>
          </w:tcPr>
          <w:p w14:paraId="23B0A8DC">
            <w:pPr>
              <w:widowControl w:val="0"/>
              <w:spacing w:line="360" w:lineRule="auto"/>
              <w:jc w:val="center"/>
              <w:rPr>
                <w:rFonts w:hint="eastAsia" w:ascii="宋体" w:hAnsi="宋体" w:eastAsia="宋体" w:cs="宋体"/>
                <w:sz w:val="24"/>
                <w:szCs w:val="24"/>
                <w:lang w:val="en-US" w:eastAsia="en-US"/>
              </w:rPr>
            </w:pPr>
            <w:r>
              <w:rPr>
                <w:rFonts w:hint="eastAsia" w:ascii="宋体" w:hAnsi="宋体" w:eastAsia="宋体" w:cs="宋体"/>
                <w:sz w:val="24"/>
                <w:szCs w:val="24"/>
              </w:rPr>
              <w:t>30</w:t>
            </w:r>
          </w:p>
        </w:tc>
        <w:tc>
          <w:tcPr>
            <w:tcW w:w="2433" w:type="dxa"/>
            <w:shd w:val="clear" w:color="auto" w:fill="auto"/>
            <w:vAlign w:val="center"/>
          </w:tcPr>
          <w:p w14:paraId="2455FFE5">
            <w:pPr>
              <w:widowControl w:val="0"/>
              <w:spacing w:line="360" w:lineRule="auto"/>
              <w:jc w:val="center"/>
              <w:rPr>
                <w:rFonts w:hint="eastAsia" w:ascii="宋体" w:hAnsi="宋体" w:eastAsia="宋体" w:cs="宋体"/>
                <w:sz w:val="24"/>
                <w:szCs w:val="24"/>
                <w:lang w:val="en-US" w:eastAsia="en-US"/>
              </w:rPr>
            </w:pPr>
            <w:r>
              <w:rPr>
                <w:rFonts w:hint="eastAsia" w:ascii="宋体" w:hAnsi="宋体" w:eastAsia="宋体" w:cs="宋体"/>
                <w:sz w:val="24"/>
                <w:szCs w:val="24"/>
              </w:rPr>
              <w:t>评标委员会</w:t>
            </w:r>
          </w:p>
        </w:tc>
        <w:tc>
          <w:tcPr>
            <w:tcW w:w="6900" w:type="dxa"/>
            <w:shd w:val="clear" w:color="auto" w:fill="auto"/>
            <w:vAlign w:val="top"/>
          </w:tcPr>
          <w:p w14:paraId="5A2AA783">
            <w:pPr>
              <w:widowControl w:val="0"/>
              <w:spacing w:line="360" w:lineRule="auto"/>
              <w:jc w:val="both"/>
              <w:rPr>
                <w:rFonts w:hint="eastAsia" w:ascii="宋体" w:hAnsi="宋体" w:eastAsia="宋体" w:cs="宋体"/>
                <w:sz w:val="24"/>
                <w:szCs w:val="24"/>
                <w:lang w:val="en-US" w:eastAsia="en-US"/>
              </w:rPr>
            </w:pPr>
            <w:r>
              <w:rPr>
                <w:rFonts w:hint="eastAsia" w:ascii="宋体" w:hAnsi="宋体" w:eastAsia="宋体" w:cs="宋体"/>
                <w:sz w:val="24"/>
                <w:szCs w:val="24"/>
              </w:rPr>
              <w:t>评标委员会由5人组成，其中招标人代表0人，专家5人。专家从广东省综合评标评审专家库-韶关区域中随机抽取，其中技术类专家3人，经济类专家2人。</w:t>
            </w:r>
          </w:p>
        </w:tc>
      </w:tr>
      <w:tr w14:paraId="3A89D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shd w:val="clear" w:color="auto" w:fill="auto"/>
            <w:vAlign w:val="center"/>
          </w:tcPr>
          <w:p w14:paraId="765D23A1">
            <w:pPr>
              <w:widowControl w:val="0"/>
              <w:spacing w:line="360" w:lineRule="auto"/>
              <w:jc w:val="center"/>
              <w:rPr>
                <w:rFonts w:hint="eastAsia" w:ascii="宋体" w:hAnsi="宋体" w:eastAsia="宋体" w:cs="宋体"/>
                <w:sz w:val="24"/>
                <w:szCs w:val="24"/>
                <w:lang w:val="en-US" w:eastAsia="en-US"/>
              </w:rPr>
            </w:pPr>
            <w:r>
              <w:rPr>
                <w:rFonts w:hint="eastAsia" w:ascii="宋体" w:hAnsi="宋体" w:eastAsia="宋体" w:cs="宋体"/>
                <w:sz w:val="24"/>
                <w:szCs w:val="24"/>
              </w:rPr>
              <w:t>31</w:t>
            </w:r>
          </w:p>
        </w:tc>
        <w:tc>
          <w:tcPr>
            <w:tcW w:w="2433" w:type="dxa"/>
            <w:shd w:val="clear" w:color="auto" w:fill="auto"/>
            <w:vAlign w:val="center"/>
          </w:tcPr>
          <w:p w14:paraId="594609B6">
            <w:pPr>
              <w:widowControl w:val="0"/>
              <w:spacing w:line="360" w:lineRule="auto"/>
              <w:jc w:val="center"/>
              <w:rPr>
                <w:rFonts w:hint="eastAsia" w:ascii="宋体" w:hAnsi="宋体" w:eastAsia="宋体" w:cs="宋体"/>
                <w:sz w:val="24"/>
                <w:szCs w:val="24"/>
                <w:lang w:val="en-US" w:eastAsia="en-US"/>
              </w:rPr>
            </w:pPr>
            <w:r>
              <w:rPr>
                <w:rFonts w:hint="eastAsia" w:ascii="宋体" w:hAnsi="宋体" w:eastAsia="宋体" w:cs="宋体"/>
                <w:sz w:val="24"/>
                <w:szCs w:val="24"/>
              </w:rPr>
              <w:t>评标方法</w:t>
            </w:r>
          </w:p>
        </w:tc>
        <w:tc>
          <w:tcPr>
            <w:tcW w:w="6900" w:type="dxa"/>
            <w:shd w:val="clear" w:color="auto" w:fill="auto"/>
            <w:vAlign w:val="top"/>
          </w:tcPr>
          <w:p w14:paraId="1779EDBE">
            <w:pPr>
              <w:widowControl w:val="0"/>
              <w:spacing w:line="360" w:lineRule="auto"/>
              <w:jc w:val="both"/>
              <w:rPr>
                <w:rFonts w:hint="eastAsia" w:ascii="宋体" w:hAnsi="宋体" w:eastAsia="宋体" w:cs="宋体"/>
                <w:sz w:val="24"/>
                <w:szCs w:val="24"/>
                <w:lang w:val="en-US" w:eastAsia="en-US"/>
              </w:rPr>
            </w:pPr>
            <w:r>
              <w:rPr>
                <w:rFonts w:hint="eastAsia" w:ascii="宋体" w:hAnsi="宋体" w:eastAsia="宋体" w:cs="宋体"/>
                <w:sz w:val="24"/>
                <w:szCs w:val="24"/>
              </w:rPr>
              <w:t xml:space="preserve">□A＋B值评标法   □经评审的最低投标价法    </w:t>
            </w:r>
            <w:r>
              <w:rPr>
                <w:rFonts w:hint="eastAsia" w:ascii="宋体" w:hAnsi="宋体" w:eastAsia="宋体" w:cs="宋体"/>
                <w:sz w:val="24"/>
                <w:szCs w:val="24"/>
                <w:lang w:eastAsia="zh-CN"/>
              </w:rPr>
              <w:t>☑</w:t>
            </w:r>
            <w:r>
              <w:rPr>
                <w:rFonts w:hint="eastAsia" w:ascii="宋体" w:hAnsi="宋体" w:eastAsia="宋体" w:cs="宋体"/>
                <w:sz w:val="24"/>
                <w:szCs w:val="24"/>
              </w:rPr>
              <w:t>综合评估法</w:t>
            </w:r>
          </w:p>
        </w:tc>
      </w:tr>
      <w:tr w14:paraId="09C90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shd w:val="clear" w:color="auto" w:fill="auto"/>
            <w:vAlign w:val="center"/>
          </w:tcPr>
          <w:p w14:paraId="16988807">
            <w:pPr>
              <w:widowControl w:val="0"/>
              <w:spacing w:line="360" w:lineRule="auto"/>
              <w:jc w:val="center"/>
              <w:rPr>
                <w:rFonts w:hint="eastAsia" w:ascii="宋体" w:hAnsi="宋体" w:eastAsia="宋体" w:cs="宋体"/>
                <w:sz w:val="24"/>
                <w:szCs w:val="24"/>
                <w:lang w:val="en-US" w:eastAsia="en-US"/>
              </w:rPr>
            </w:pPr>
            <w:r>
              <w:rPr>
                <w:rFonts w:hint="eastAsia" w:ascii="宋体" w:hAnsi="宋体" w:eastAsia="宋体" w:cs="宋体"/>
                <w:sz w:val="24"/>
                <w:szCs w:val="24"/>
              </w:rPr>
              <w:t>32</w:t>
            </w:r>
          </w:p>
        </w:tc>
        <w:tc>
          <w:tcPr>
            <w:tcW w:w="2433" w:type="dxa"/>
            <w:shd w:val="clear" w:color="auto" w:fill="auto"/>
            <w:vAlign w:val="center"/>
          </w:tcPr>
          <w:p w14:paraId="06163317">
            <w:pPr>
              <w:widowControl w:val="0"/>
              <w:spacing w:line="360" w:lineRule="auto"/>
              <w:jc w:val="center"/>
              <w:rPr>
                <w:rFonts w:hint="eastAsia" w:ascii="宋体" w:hAnsi="宋体" w:eastAsia="宋体" w:cs="宋体"/>
                <w:sz w:val="24"/>
                <w:szCs w:val="24"/>
                <w:lang w:val="en-US" w:eastAsia="en-US"/>
              </w:rPr>
            </w:pPr>
            <w:r>
              <w:rPr>
                <w:rFonts w:hint="eastAsia" w:ascii="宋体" w:hAnsi="宋体" w:eastAsia="宋体" w:cs="宋体"/>
                <w:sz w:val="24"/>
                <w:szCs w:val="24"/>
              </w:rPr>
              <w:t>招标文件要求提交的用于评审的证书、证件、证明原件</w:t>
            </w:r>
          </w:p>
        </w:tc>
        <w:tc>
          <w:tcPr>
            <w:tcW w:w="6900" w:type="dxa"/>
            <w:shd w:val="clear" w:color="auto" w:fill="auto"/>
            <w:vAlign w:val="top"/>
          </w:tcPr>
          <w:p w14:paraId="34CDEF87">
            <w:pPr>
              <w:widowControl w:val="0"/>
              <w:spacing w:line="360" w:lineRule="auto"/>
              <w:jc w:val="both"/>
              <w:rPr>
                <w:rFonts w:hint="eastAsia" w:ascii="宋体" w:hAnsi="宋体" w:eastAsia="宋体" w:cs="宋体"/>
                <w:sz w:val="24"/>
                <w:szCs w:val="24"/>
                <w:lang w:val="en-US" w:eastAsia="en-US"/>
              </w:rPr>
            </w:pPr>
            <w:r>
              <w:rPr>
                <w:rFonts w:hint="eastAsia" w:ascii="宋体" w:hAnsi="宋体" w:eastAsia="宋体" w:cs="宋体"/>
                <w:sz w:val="24"/>
                <w:szCs w:val="24"/>
              </w:rPr>
              <w:t>投标人在提交用于评审的证书、证件、证明原件的，投标人应自行将所需原件密封于文件袋（箱）中，并自行准备两张“原件一览表”(详见格式</w:t>
            </w:r>
            <w:r>
              <w:rPr>
                <w:rFonts w:hint="eastAsia" w:ascii="宋体" w:hAnsi="宋体" w:eastAsia="宋体" w:cs="宋体"/>
                <w:sz w:val="24"/>
                <w:szCs w:val="24"/>
                <w:lang w:eastAsia="zh-CN"/>
              </w:rPr>
              <w:t>十四</w:t>
            </w:r>
            <w:r>
              <w:rPr>
                <w:rFonts w:hint="eastAsia" w:ascii="宋体" w:hAnsi="宋体" w:eastAsia="宋体" w:cs="宋体"/>
                <w:sz w:val="24"/>
                <w:szCs w:val="24"/>
              </w:rPr>
              <w:t>，投标人须自行填写，表格可扩展)，一张贴于文件袋（箱），一份在递交文件袋（箱）时由招标代理机构、投标人签字后交招标代理机构。招标代理机构仅代签收，不对文件袋（箱）中资料的数量、内容及真实性负责。评标结束后，招标代理机构将退回投标人的原件。若投标人未按要求提交相应证明材料原件或投标文件中证明材料的复印件与原件不一致，评审时相应证明材料不予认可。</w:t>
            </w:r>
          </w:p>
        </w:tc>
      </w:tr>
      <w:tr w14:paraId="1B259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shd w:val="clear" w:color="auto" w:fill="auto"/>
            <w:vAlign w:val="center"/>
          </w:tcPr>
          <w:p w14:paraId="67E0A92C">
            <w:pPr>
              <w:widowControl w:val="0"/>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rPr>
              <w:t>3</w:t>
            </w:r>
            <w:r>
              <w:rPr>
                <w:rFonts w:hint="eastAsia" w:ascii="宋体" w:hAnsi="宋体" w:eastAsia="宋体" w:cs="宋体"/>
                <w:sz w:val="24"/>
                <w:szCs w:val="24"/>
                <w:lang w:val="en-US" w:eastAsia="zh-CN"/>
              </w:rPr>
              <w:t>3</w:t>
            </w:r>
          </w:p>
        </w:tc>
        <w:tc>
          <w:tcPr>
            <w:tcW w:w="2433" w:type="dxa"/>
            <w:shd w:val="clear" w:color="auto" w:fill="auto"/>
            <w:vAlign w:val="center"/>
          </w:tcPr>
          <w:p w14:paraId="28EA2522">
            <w:pPr>
              <w:widowControl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招标人</w:t>
            </w:r>
          </w:p>
          <w:p w14:paraId="69D92E98">
            <w:pPr>
              <w:widowControl w:val="0"/>
              <w:spacing w:line="360" w:lineRule="auto"/>
              <w:jc w:val="center"/>
              <w:rPr>
                <w:rFonts w:hint="eastAsia" w:ascii="宋体" w:hAnsi="宋体" w:eastAsia="宋体" w:cs="宋体"/>
                <w:sz w:val="24"/>
                <w:szCs w:val="24"/>
                <w:lang w:val="en-US" w:eastAsia="en-US"/>
              </w:rPr>
            </w:pPr>
            <w:r>
              <w:rPr>
                <w:rFonts w:hint="eastAsia" w:ascii="宋体" w:hAnsi="宋体" w:eastAsia="宋体" w:cs="宋体"/>
                <w:sz w:val="24"/>
                <w:szCs w:val="24"/>
              </w:rPr>
              <w:t>联系方式</w:t>
            </w:r>
          </w:p>
        </w:tc>
        <w:tc>
          <w:tcPr>
            <w:tcW w:w="6900" w:type="dxa"/>
            <w:shd w:val="clear" w:color="auto" w:fill="auto"/>
            <w:vAlign w:val="center"/>
          </w:tcPr>
          <w:p w14:paraId="22C8375A">
            <w:pPr>
              <w:widowControl w:val="0"/>
              <w:spacing w:line="360" w:lineRule="auto"/>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单位名称：韶关市武江区重阳镇人民政府</w:t>
            </w:r>
          </w:p>
          <w:p w14:paraId="57EE7C2F">
            <w:pPr>
              <w:widowControl w:val="0"/>
              <w:spacing w:line="360" w:lineRule="auto"/>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办公地址：韶关市武江区重阳镇河北街1号</w:t>
            </w:r>
          </w:p>
          <w:p w14:paraId="1B6235D2">
            <w:pPr>
              <w:widowControl w:val="0"/>
              <w:spacing w:line="360" w:lineRule="auto"/>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联系人：刘工</w:t>
            </w:r>
          </w:p>
          <w:p w14:paraId="34AAD0E0">
            <w:pPr>
              <w:widowControl w:val="0"/>
              <w:spacing w:line="360" w:lineRule="auto"/>
              <w:jc w:val="both"/>
              <w:rPr>
                <w:rFonts w:hint="eastAsia" w:ascii="宋体" w:hAnsi="宋体" w:eastAsia="宋体" w:cs="宋体"/>
                <w:sz w:val="24"/>
                <w:szCs w:val="24"/>
                <w:lang w:val="en-US" w:eastAsia="en-US"/>
              </w:rPr>
            </w:pPr>
            <w:r>
              <w:rPr>
                <w:rFonts w:hint="eastAsia" w:ascii="宋体" w:hAnsi="宋体" w:eastAsia="宋体" w:cs="宋体"/>
                <w:sz w:val="24"/>
                <w:szCs w:val="24"/>
                <w:lang w:eastAsia="zh-CN"/>
              </w:rPr>
              <w:t>联系电话：0751-6546013</w:t>
            </w:r>
          </w:p>
        </w:tc>
      </w:tr>
      <w:tr w14:paraId="483B0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shd w:val="clear" w:color="auto" w:fill="auto"/>
            <w:vAlign w:val="center"/>
          </w:tcPr>
          <w:p w14:paraId="63FB5766">
            <w:pPr>
              <w:widowControl w:val="0"/>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eastAsia="zh-CN"/>
              </w:rPr>
              <w:t>3</w:t>
            </w:r>
            <w:r>
              <w:rPr>
                <w:rFonts w:hint="eastAsia" w:ascii="宋体" w:hAnsi="宋体" w:eastAsia="宋体" w:cs="宋体"/>
                <w:sz w:val="24"/>
                <w:szCs w:val="24"/>
                <w:lang w:val="en-US" w:eastAsia="zh-CN"/>
              </w:rPr>
              <w:t>4</w:t>
            </w:r>
          </w:p>
        </w:tc>
        <w:tc>
          <w:tcPr>
            <w:tcW w:w="2433" w:type="dxa"/>
            <w:shd w:val="clear" w:color="auto" w:fill="auto"/>
            <w:vAlign w:val="center"/>
          </w:tcPr>
          <w:p w14:paraId="2F48F80F">
            <w:pPr>
              <w:widowControl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招标代理机构</w:t>
            </w:r>
          </w:p>
          <w:p w14:paraId="3818F3A0">
            <w:pPr>
              <w:widowControl w:val="0"/>
              <w:spacing w:line="360" w:lineRule="auto"/>
              <w:jc w:val="center"/>
              <w:rPr>
                <w:rFonts w:hint="eastAsia" w:ascii="宋体" w:hAnsi="宋体" w:eastAsia="宋体" w:cs="宋体"/>
                <w:sz w:val="24"/>
                <w:szCs w:val="24"/>
                <w:lang w:val="en-US" w:eastAsia="en-US"/>
              </w:rPr>
            </w:pPr>
            <w:r>
              <w:rPr>
                <w:rFonts w:hint="eastAsia" w:ascii="宋体" w:hAnsi="宋体" w:eastAsia="宋体" w:cs="宋体"/>
                <w:sz w:val="24"/>
                <w:szCs w:val="24"/>
              </w:rPr>
              <w:t>联系方式</w:t>
            </w:r>
          </w:p>
        </w:tc>
        <w:tc>
          <w:tcPr>
            <w:tcW w:w="6900" w:type="dxa"/>
            <w:shd w:val="clear" w:color="auto" w:fill="auto"/>
            <w:vAlign w:val="center"/>
          </w:tcPr>
          <w:p w14:paraId="5ED6A83F">
            <w:pPr>
              <w:widowControl w:val="0"/>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单位名称：广东宝骏工程咨询有限公司</w:t>
            </w:r>
          </w:p>
          <w:p w14:paraId="50A090AE">
            <w:pPr>
              <w:widowControl w:val="0"/>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办公地址：韶关市武江区工业东路23号核工业二九〇研究所院内</w:t>
            </w:r>
          </w:p>
          <w:p w14:paraId="2726A17A">
            <w:pPr>
              <w:widowControl w:val="0"/>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联系人：杨工</w:t>
            </w:r>
          </w:p>
          <w:p w14:paraId="4CC0E68C">
            <w:pPr>
              <w:widowControl w:val="0"/>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联系电话：0751-8167696</w:t>
            </w:r>
          </w:p>
        </w:tc>
      </w:tr>
      <w:tr w14:paraId="569D7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shd w:val="clear" w:color="auto" w:fill="auto"/>
            <w:vAlign w:val="center"/>
          </w:tcPr>
          <w:p w14:paraId="4DA0C3A1">
            <w:pPr>
              <w:widowControl w:val="0"/>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eastAsia="zh-CN"/>
              </w:rPr>
              <w:t>3</w:t>
            </w:r>
            <w:r>
              <w:rPr>
                <w:rFonts w:hint="eastAsia" w:ascii="宋体" w:hAnsi="宋体" w:eastAsia="宋体" w:cs="宋体"/>
                <w:sz w:val="24"/>
                <w:szCs w:val="24"/>
                <w:lang w:val="en-US" w:eastAsia="zh-CN"/>
              </w:rPr>
              <w:t>5</w:t>
            </w:r>
          </w:p>
        </w:tc>
        <w:tc>
          <w:tcPr>
            <w:tcW w:w="2433" w:type="dxa"/>
            <w:shd w:val="clear" w:color="auto" w:fill="auto"/>
            <w:vAlign w:val="center"/>
          </w:tcPr>
          <w:p w14:paraId="564881AB">
            <w:pPr>
              <w:widowControl w:val="0"/>
              <w:spacing w:line="360" w:lineRule="auto"/>
              <w:jc w:val="center"/>
              <w:rPr>
                <w:rFonts w:hint="eastAsia" w:ascii="宋体" w:hAnsi="宋体" w:eastAsia="宋体" w:cs="宋体"/>
                <w:sz w:val="24"/>
                <w:szCs w:val="24"/>
                <w:lang w:val="en-US" w:eastAsia="en-US"/>
              </w:rPr>
            </w:pPr>
            <w:r>
              <w:rPr>
                <w:rFonts w:hint="eastAsia" w:ascii="宋体" w:hAnsi="宋体" w:eastAsia="宋体" w:cs="宋体"/>
                <w:sz w:val="24"/>
                <w:szCs w:val="24"/>
              </w:rPr>
              <w:t>交易场所联系方式</w:t>
            </w:r>
          </w:p>
        </w:tc>
        <w:tc>
          <w:tcPr>
            <w:tcW w:w="6900" w:type="dxa"/>
            <w:shd w:val="clear" w:color="auto" w:fill="auto"/>
            <w:vAlign w:val="center"/>
          </w:tcPr>
          <w:p w14:paraId="22007D52">
            <w:pPr>
              <w:widowControl w:val="0"/>
              <w:spacing w:line="360" w:lineRule="auto"/>
              <w:jc w:val="both"/>
              <w:rPr>
                <w:rFonts w:hint="eastAsia" w:ascii="宋体" w:hAnsi="宋体" w:eastAsia="宋体" w:cs="宋体"/>
                <w:sz w:val="24"/>
                <w:szCs w:val="24"/>
              </w:rPr>
            </w:pPr>
            <w:r>
              <w:rPr>
                <w:rFonts w:hint="eastAsia" w:ascii="宋体" w:hAnsi="宋体" w:eastAsia="宋体" w:cs="宋体"/>
                <w:sz w:val="24"/>
                <w:szCs w:val="24"/>
              </w:rPr>
              <w:t>单位名称：韶关市公共资源交易中心</w:t>
            </w:r>
          </w:p>
          <w:p w14:paraId="5D20F9A1">
            <w:pPr>
              <w:widowControl w:val="0"/>
              <w:spacing w:line="360" w:lineRule="auto"/>
              <w:jc w:val="both"/>
              <w:rPr>
                <w:rFonts w:hint="eastAsia" w:ascii="宋体" w:hAnsi="宋体" w:eastAsia="宋体" w:cs="宋体"/>
                <w:sz w:val="24"/>
                <w:szCs w:val="24"/>
              </w:rPr>
            </w:pPr>
            <w:r>
              <w:rPr>
                <w:rFonts w:hint="eastAsia" w:ascii="宋体" w:hAnsi="宋体" w:eastAsia="宋体" w:cs="宋体"/>
                <w:sz w:val="24"/>
                <w:szCs w:val="24"/>
              </w:rPr>
              <w:t xml:space="preserve">办公地址：广东省韶关市武江区西联镇 </w:t>
            </w:r>
          </w:p>
          <w:p w14:paraId="189A43EC">
            <w:pPr>
              <w:widowControl w:val="0"/>
              <w:spacing w:line="360" w:lineRule="auto"/>
              <w:jc w:val="both"/>
              <w:rPr>
                <w:rFonts w:hint="eastAsia" w:ascii="宋体" w:hAnsi="宋体" w:eastAsia="宋体" w:cs="宋体"/>
                <w:sz w:val="24"/>
                <w:szCs w:val="24"/>
              </w:rPr>
            </w:pPr>
            <w:r>
              <w:rPr>
                <w:rFonts w:hint="eastAsia" w:ascii="宋体" w:hAnsi="宋体" w:eastAsia="宋体" w:cs="宋体"/>
                <w:sz w:val="24"/>
                <w:szCs w:val="24"/>
              </w:rPr>
              <w:t>联系人（部门）：工程交易部</w:t>
            </w:r>
          </w:p>
          <w:p w14:paraId="360E3C3C">
            <w:pPr>
              <w:widowControl w:val="0"/>
              <w:spacing w:line="360" w:lineRule="auto"/>
              <w:jc w:val="both"/>
              <w:rPr>
                <w:rFonts w:hint="eastAsia" w:ascii="宋体" w:hAnsi="宋体" w:eastAsia="宋体" w:cs="宋体"/>
                <w:sz w:val="24"/>
                <w:szCs w:val="24"/>
                <w:lang w:val="en-US" w:eastAsia="en-US"/>
              </w:rPr>
            </w:pPr>
            <w:r>
              <w:rPr>
                <w:rFonts w:hint="eastAsia" w:ascii="宋体" w:hAnsi="宋体" w:eastAsia="宋体" w:cs="宋体"/>
                <w:sz w:val="24"/>
                <w:szCs w:val="24"/>
              </w:rPr>
              <w:t>联系电话：0751-8633071、0751-8633211</w:t>
            </w:r>
          </w:p>
        </w:tc>
      </w:tr>
      <w:tr w14:paraId="52031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shd w:val="clear" w:color="auto" w:fill="auto"/>
            <w:vAlign w:val="center"/>
          </w:tcPr>
          <w:p w14:paraId="297DD533">
            <w:pPr>
              <w:widowControl w:val="0"/>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36</w:t>
            </w:r>
          </w:p>
        </w:tc>
        <w:tc>
          <w:tcPr>
            <w:tcW w:w="2433" w:type="dxa"/>
            <w:shd w:val="clear" w:color="auto" w:fill="auto"/>
            <w:vAlign w:val="center"/>
          </w:tcPr>
          <w:p w14:paraId="7E9323A7">
            <w:pPr>
              <w:widowControl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行政监督部</w:t>
            </w:r>
          </w:p>
          <w:p w14:paraId="28EC7F56">
            <w:pPr>
              <w:widowControl w:val="0"/>
              <w:spacing w:line="360" w:lineRule="auto"/>
              <w:jc w:val="center"/>
              <w:rPr>
                <w:rFonts w:hint="eastAsia" w:ascii="宋体" w:hAnsi="宋体" w:eastAsia="宋体" w:cs="宋体"/>
                <w:sz w:val="24"/>
                <w:szCs w:val="24"/>
                <w:lang w:val="en-US" w:eastAsia="en-US"/>
              </w:rPr>
            </w:pPr>
            <w:r>
              <w:rPr>
                <w:rFonts w:hint="eastAsia" w:ascii="宋体" w:hAnsi="宋体" w:eastAsia="宋体" w:cs="宋体"/>
                <w:sz w:val="24"/>
                <w:szCs w:val="24"/>
              </w:rPr>
              <w:t>门联系方式</w:t>
            </w:r>
          </w:p>
        </w:tc>
        <w:tc>
          <w:tcPr>
            <w:tcW w:w="6900" w:type="dxa"/>
            <w:shd w:val="clear" w:color="auto" w:fill="auto"/>
            <w:vAlign w:val="center"/>
          </w:tcPr>
          <w:p w14:paraId="74AAC66E">
            <w:pPr>
              <w:widowControl w:val="0"/>
              <w:spacing w:line="360" w:lineRule="auto"/>
              <w:jc w:val="both"/>
              <w:rPr>
                <w:rFonts w:hint="eastAsia" w:ascii="宋体" w:hAnsi="宋体" w:eastAsia="宋体" w:cs="宋体"/>
                <w:sz w:val="24"/>
                <w:szCs w:val="24"/>
                <w:lang w:val="zh-CN"/>
              </w:rPr>
            </w:pPr>
            <w:r>
              <w:rPr>
                <w:rFonts w:hint="eastAsia" w:ascii="宋体" w:hAnsi="宋体" w:eastAsia="宋体" w:cs="宋体"/>
                <w:sz w:val="24"/>
                <w:szCs w:val="24"/>
                <w:lang w:val="zh-CN"/>
              </w:rPr>
              <w:t>单位名称：韶关市武江区农业农村局</w:t>
            </w:r>
          </w:p>
          <w:p w14:paraId="14F86DD6">
            <w:pPr>
              <w:widowControl w:val="0"/>
              <w:spacing w:line="360" w:lineRule="auto"/>
              <w:jc w:val="both"/>
              <w:rPr>
                <w:rFonts w:hint="eastAsia" w:ascii="宋体" w:hAnsi="宋体" w:eastAsia="宋体" w:cs="宋体"/>
                <w:sz w:val="24"/>
                <w:szCs w:val="24"/>
                <w:lang w:val="zh-CN"/>
              </w:rPr>
            </w:pPr>
            <w:r>
              <w:rPr>
                <w:rFonts w:hint="eastAsia" w:ascii="宋体" w:hAnsi="宋体" w:eastAsia="宋体" w:cs="宋体"/>
                <w:sz w:val="24"/>
                <w:szCs w:val="24"/>
                <w:lang w:val="zh-CN"/>
              </w:rPr>
              <w:t>办公地址：广东省韶关市武江区惠民南路128号</w:t>
            </w:r>
          </w:p>
          <w:p w14:paraId="3319B04C">
            <w:pPr>
              <w:widowControl w:val="0"/>
              <w:spacing w:line="360" w:lineRule="auto"/>
              <w:jc w:val="both"/>
              <w:rPr>
                <w:rFonts w:hint="eastAsia" w:ascii="宋体" w:hAnsi="宋体" w:eastAsia="宋体" w:cs="宋体"/>
                <w:sz w:val="24"/>
                <w:szCs w:val="24"/>
                <w:lang w:val="zh-CN"/>
              </w:rPr>
            </w:pPr>
            <w:r>
              <w:rPr>
                <w:rFonts w:hint="eastAsia" w:ascii="宋体" w:hAnsi="宋体" w:eastAsia="宋体" w:cs="宋体"/>
                <w:sz w:val="24"/>
                <w:szCs w:val="24"/>
                <w:lang w:val="zh-CN"/>
              </w:rPr>
              <w:t>联系人（部门）：梁工</w:t>
            </w:r>
          </w:p>
          <w:p w14:paraId="7AFD4420">
            <w:pPr>
              <w:widowControl w:val="0"/>
              <w:spacing w:line="360" w:lineRule="auto"/>
              <w:jc w:val="both"/>
              <w:rPr>
                <w:rFonts w:hint="eastAsia" w:ascii="宋体" w:hAnsi="宋体" w:eastAsia="宋体" w:cs="宋体"/>
                <w:sz w:val="24"/>
                <w:szCs w:val="24"/>
                <w:lang w:val="en-US" w:eastAsia="en-US"/>
              </w:rPr>
            </w:pPr>
            <w:r>
              <w:rPr>
                <w:rFonts w:hint="eastAsia" w:ascii="宋体" w:hAnsi="宋体" w:eastAsia="宋体" w:cs="宋体"/>
                <w:sz w:val="24"/>
                <w:szCs w:val="24"/>
                <w:lang w:val="zh-CN"/>
              </w:rPr>
              <w:t>联系电话：0751-8623830</w:t>
            </w:r>
          </w:p>
        </w:tc>
      </w:tr>
    </w:tbl>
    <w:p w14:paraId="3633BE88">
      <w:pPr>
        <w:rPr>
          <w:rFonts w:hint="eastAsia" w:ascii="宋体" w:hAnsi="宋体" w:eastAsia="宋体" w:cs="宋体"/>
        </w:rPr>
      </w:pPr>
    </w:p>
    <w:p w14:paraId="202FDF33">
      <w:pPr>
        <w:rPr>
          <w:rFonts w:hint="eastAsia" w:ascii="宋体" w:hAnsi="宋体" w:eastAsia="宋体" w:cs="宋体"/>
        </w:rPr>
      </w:pPr>
    </w:p>
    <w:p w14:paraId="6FFDB034">
      <w:pPr>
        <w:rPr>
          <w:rFonts w:hint="eastAsia" w:ascii="宋体" w:hAnsi="宋体" w:eastAsia="宋体" w:cs="宋体"/>
        </w:rPr>
      </w:pPr>
    </w:p>
    <w:p w14:paraId="23F190A9">
      <w:pPr>
        <w:rPr>
          <w:rFonts w:hint="eastAsia" w:ascii="宋体" w:hAnsi="宋体" w:eastAsia="宋体" w:cs="宋体"/>
        </w:rPr>
      </w:pPr>
    </w:p>
    <w:p w14:paraId="63CC66DC">
      <w:pPr>
        <w:rPr>
          <w:rFonts w:hint="eastAsia" w:ascii="宋体" w:hAnsi="宋体" w:eastAsia="宋体" w:cs="宋体"/>
        </w:rPr>
      </w:pPr>
      <w:bookmarkStart w:id="6" w:name="bookmark115"/>
      <w:bookmarkEnd w:id="6"/>
      <w:bookmarkStart w:id="7" w:name="_Toc10868"/>
    </w:p>
    <w:p w14:paraId="185FA4A9">
      <w:pPr>
        <w:spacing w:before="156" w:line="360" w:lineRule="auto"/>
        <w:ind w:left="17"/>
        <w:outlineLvl w:val="1"/>
        <w:rPr>
          <w:rFonts w:hint="eastAsia" w:ascii="宋体" w:hAnsi="宋体" w:eastAsia="宋体" w:cs="宋体"/>
          <w:b/>
          <w:bCs/>
          <w:color w:val="auto"/>
          <w:spacing w:val="-3"/>
          <w:sz w:val="24"/>
          <w:szCs w:val="24"/>
          <w:highlight w:val="none"/>
        </w:rPr>
      </w:pPr>
      <w:bookmarkStart w:id="8" w:name="_Toc18441"/>
      <w:r>
        <w:rPr>
          <w:rFonts w:hint="eastAsia" w:ascii="宋体" w:hAnsi="宋体" w:eastAsia="宋体" w:cs="宋体"/>
          <w:b/>
          <w:bCs/>
          <w:color w:val="auto"/>
          <w:spacing w:val="-3"/>
          <w:sz w:val="24"/>
          <w:szCs w:val="24"/>
          <w:highlight w:val="none"/>
        </w:rPr>
        <w:t>第二节</w:t>
      </w:r>
      <w:r>
        <w:rPr>
          <w:rFonts w:hint="eastAsia" w:ascii="宋体" w:hAnsi="宋体" w:eastAsia="宋体" w:cs="宋体"/>
          <w:b/>
          <w:bCs/>
          <w:color w:val="auto"/>
          <w:spacing w:val="-3"/>
          <w:sz w:val="24"/>
          <w:szCs w:val="24"/>
          <w:highlight w:val="none"/>
          <w:lang w:val="en-US" w:eastAsia="zh-CN"/>
        </w:rPr>
        <w:t xml:space="preserve">   </w:t>
      </w:r>
      <w:r>
        <w:rPr>
          <w:rFonts w:hint="eastAsia" w:ascii="宋体" w:hAnsi="宋体" w:eastAsia="宋体" w:cs="宋体"/>
          <w:b/>
          <w:bCs/>
          <w:color w:val="auto"/>
          <w:spacing w:val="-3"/>
          <w:sz w:val="24"/>
          <w:szCs w:val="24"/>
          <w:highlight w:val="none"/>
        </w:rPr>
        <w:t>重要事项时间地点一览表</w:t>
      </w:r>
      <w:bookmarkEnd w:id="7"/>
      <w:bookmarkEnd w:id="8"/>
    </w:p>
    <w:tbl>
      <w:tblPr>
        <w:tblStyle w:val="24"/>
        <w:tblW w:w="985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602"/>
        <w:gridCol w:w="1527"/>
        <w:gridCol w:w="7726"/>
      </w:tblGrid>
      <w:tr w14:paraId="71599B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50" w:hRule="exact"/>
          <w:jc w:val="center"/>
        </w:trPr>
        <w:tc>
          <w:tcPr>
            <w:tcW w:w="602" w:type="dxa"/>
            <w:tcBorders>
              <w:top w:val="single" w:color="080000" w:sz="4" w:space="0"/>
              <w:left w:val="single" w:color="080000" w:sz="4" w:space="0"/>
              <w:bottom w:val="single" w:color="080000" w:sz="4" w:space="0"/>
              <w:right w:val="single" w:color="080000" w:sz="4" w:space="0"/>
            </w:tcBorders>
            <w:noWrap/>
            <w:vAlign w:val="center"/>
          </w:tcPr>
          <w:p w14:paraId="374F5C48">
            <w:pPr>
              <w:pStyle w:val="34"/>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p>
        </w:tc>
        <w:tc>
          <w:tcPr>
            <w:tcW w:w="1527" w:type="dxa"/>
            <w:tcBorders>
              <w:top w:val="single" w:color="080000" w:sz="4" w:space="0"/>
              <w:left w:val="single" w:color="080000" w:sz="4" w:space="0"/>
              <w:bottom w:val="single" w:color="080000" w:sz="4" w:space="0"/>
              <w:right w:val="single" w:color="080000" w:sz="4" w:space="0"/>
            </w:tcBorders>
            <w:noWrap/>
            <w:vAlign w:val="center"/>
          </w:tcPr>
          <w:p w14:paraId="3A4F2023">
            <w:pPr>
              <w:pStyle w:val="34"/>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招标公告</w:t>
            </w:r>
          </w:p>
          <w:p w14:paraId="4F7CFA9B">
            <w:pPr>
              <w:pStyle w:val="34"/>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发布时间 </w:t>
            </w:r>
          </w:p>
        </w:tc>
        <w:tc>
          <w:tcPr>
            <w:tcW w:w="7726" w:type="dxa"/>
            <w:tcBorders>
              <w:top w:val="single" w:color="080000" w:sz="4" w:space="0"/>
              <w:left w:val="single" w:color="080000" w:sz="4" w:space="0"/>
              <w:bottom w:val="single" w:color="080000" w:sz="4" w:space="0"/>
              <w:right w:val="single" w:color="080000" w:sz="4" w:space="0"/>
            </w:tcBorders>
            <w:noWrap/>
            <w:vAlign w:val="center"/>
          </w:tcPr>
          <w:p w14:paraId="0F68EC28">
            <w:pPr>
              <w:pStyle w:val="34"/>
              <w:wordWrap w:val="0"/>
              <w:adjustRightInd w:val="0"/>
              <w:snapToGrid w:val="0"/>
              <w:spacing w:line="360" w:lineRule="auto"/>
              <w:ind w:firstLine="240" w:firstLineChars="100"/>
              <w:jc w:val="both"/>
              <w:rPr>
                <w:rFonts w:hint="eastAsia" w:ascii="宋体" w:hAnsi="宋体" w:eastAsia="宋体" w:cs="宋体"/>
                <w:snapToGrid w:val="0"/>
                <w:color w:val="auto"/>
                <w:kern w:val="0"/>
                <w:sz w:val="24"/>
                <w:highlight w:val="none"/>
                <w:lang w:val="en-US" w:eastAsia="zh-CN"/>
              </w:rPr>
            </w:pPr>
            <w:r>
              <w:rPr>
                <w:rFonts w:hint="eastAsia" w:ascii="宋体" w:hAnsi="宋体" w:cs="宋体"/>
                <w:snapToGrid w:val="0"/>
                <w:color w:val="auto"/>
                <w:kern w:val="0"/>
                <w:sz w:val="24"/>
                <w:highlight w:val="none"/>
                <w:lang w:val="en-US" w:eastAsia="zh-CN"/>
              </w:rPr>
              <w:t>2025</w:t>
            </w:r>
            <w:r>
              <w:rPr>
                <w:rFonts w:hint="eastAsia" w:ascii="宋体" w:hAnsi="宋体" w:eastAsia="宋体" w:cs="宋体"/>
                <w:snapToGrid w:val="0"/>
                <w:color w:val="auto"/>
                <w:kern w:val="0"/>
                <w:sz w:val="24"/>
                <w:highlight w:val="none"/>
                <w:lang w:val="en-US" w:eastAsia="zh-CN"/>
              </w:rPr>
              <w:t>年</w:t>
            </w:r>
            <w:r>
              <w:rPr>
                <w:rFonts w:hint="eastAsia" w:ascii="宋体" w:hAnsi="宋体" w:cs="宋体"/>
                <w:snapToGrid w:val="0"/>
                <w:color w:val="auto"/>
                <w:kern w:val="0"/>
                <w:sz w:val="24"/>
                <w:highlight w:val="none"/>
                <w:lang w:val="en-US" w:eastAsia="zh-CN"/>
              </w:rPr>
              <w:t>08</w:t>
            </w:r>
            <w:r>
              <w:rPr>
                <w:rFonts w:hint="eastAsia" w:ascii="宋体" w:hAnsi="宋体" w:eastAsia="宋体" w:cs="宋体"/>
                <w:snapToGrid w:val="0"/>
                <w:color w:val="auto"/>
                <w:kern w:val="0"/>
                <w:sz w:val="24"/>
                <w:highlight w:val="none"/>
                <w:lang w:val="en-US" w:eastAsia="zh-CN"/>
              </w:rPr>
              <w:t>月</w:t>
            </w:r>
            <w:r>
              <w:rPr>
                <w:rFonts w:hint="eastAsia" w:ascii="宋体" w:hAnsi="宋体" w:cs="宋体"/>
                <w:snapToGrid w:val="0"/>
                <w:color w:val="auto"/>
                <w:kern w:val="0"/>
                <w:sz w:val="24"/>
                <w:highlight w:val="none"/>
                <w:lang w:val="en-US" w:eastAsia="zh-CN"/>
              </w:rPr>
              <w:t>18</w:t>
            </w:r>
            <w:r>
              <w:rPr>
                <w:rFonts w:hint="eastAsia" w:ascii="宋体" w:hAnsi="宋体" w:eastAsia="宋体" w:cs="宋体"/>
                <w:snapToGrid w:val="0"/>
                <w:color w:val="auto"/>
                <w:kern w:val="0"/>
                <w:sz w:val="24"/>
                <w:highlight w:val="none"/>
                <w:lang w:val="en-US" w:eastAsia="zh-CN"/>
              </w:rPr>
              <w:t>日</w:t>
            </w:r>
            <w:r>
              <w:rPr>
                <w:rFonts w:hint="eastAsia" w:ascii="宋体" w:hAnsi="宋体" w:cs="宋体"/>
                <w:snapToGrid w:val="0"/>
                <w:color w:val="auto"/>
                <w:kern w:val="0"/>
                <w:sz w:val="24"/>
                <w:highlight w:val="none"/>
                <w:lang w:val="en-US" w:eastAsia="zh-CN"/>
              </w:rPr>
              <w:t>16</w:t>
            </w:r>
            <w:r>
              <w:rPr>
                <w:rFonts w:hint="eastAsia" w:ascii="宋体" w:hAnsi="宋体" w:eastAsia="宋体" w:cs="宋体"/>
                <w:snapToGrid w:val="0"/>
                <w:color w:val="auto"/>
                <w:kern w:val="0"/>
                <w:sz w:val="24"/>
                <w:highlight w:val="none"/>
                <w:lang w:val="en-US" w:eastAsia="zh-CN"/>
              </w:rPr>
              <w:t>时</w:t>
            </w:r>
            <w:r>
              <w:rPr>
                <w:rFonts w:hint="eastAsia" w:ascii="宋体" w:hAnsi="宋体" w:cs="宋体"/>
                <w:snapToGrid w:val="0"/>
                <w:color w:val="auto"/>
                <w:kern w:val="0"/>
                <w:sz w:val="24"/>
                <w:highlight w:val="none"/>
                <w:lang w:val="en-US" w:eastAsia="zh-CN"/>
              </w:rPr>
              <w:t>00</w:t>
            </w:r>
            <w:r>
              <w:rPr>
                <w:rFonts w:hint="eastAsia" w:ascii="宋体" w:hAnsi="宋体" w:eastAsia="宋体" w:cs="宋体"/>
                <w:snapToGrid w:val="0"/>
                <w:color w:val="auto"/>
                <w:kern w:val="0"/>
                <w:sz w:val="24"/>
                <w:highlight w:val="none"/>
                <w:lang w:val="en-US" w:eastAsia="zh-CN"/>
              </w:rPr>
              <w:t>分</w:t>
            </w:r>
          </w:p>
        </w:tc>
      </w:tr>
      <w:tr w14:paraId="201827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28" w:hRule="exact"/>
          <w:jc w:val="center"/>
        </w:trPr>
        <w:tc>
          <w:tcPr>
            <w:tcW w:w="602" w:type="dxa"/>
            <w:tcBorders>
              <w:top w:val="single" w:color="080000" w:sz="4" w:space="0"/>
              <w:left w:val="single" w:color="080000" w:sz="4" w:space="0"/>
              <w:bottom w:val="single" w:color="080000" w:sz="4" w:space="0"/>
              <w:right w:val="single" w:color="080000" w:sz="4" w:space="0"/>
            </w:tcBorders>
            <w:noWrap/>
            <w:vAlign w:val="center"/>
          </w:tcPr>
          <w:p w14:paraId="5E66AA9F">
            <w:pPr>
              <w:pStyle w:val="34"/>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p>
        </w:tc>
        <w:tc>
          <w:tcPr>
            <w:tcW w:w="1527" w:type="dxa"/>
            <w:tcBorders>
              <w:top w:val="single" w:color="080000" w:sz="4" w:space="0"/>
              <w:left w:val="single" w:color="080000" w:sz="4" w:space="0"/>
              <w:bottom w:val="single" w:color="080000" w:sz="4" w:space="0"/>
              <w:right w:val="single" w:color="080000" w:sz="4" w:space="0"/>
            </w:tcBorders>
            <w:noWrap/>
            <w:vAlign w:val="center"/>
          </w:tcPr>
          <w:p w14:paraId="7AB2F580">
            <w:pPr>
              <w:pStyle w:val="34"/>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获取招标文件</w:t>
            </w:r>
          </w:p>
          <w:p w14:paraId="0394C5DD">
            <w:pPr>
              <w:pStyle w:val="34"/>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截止时间 </w:t>
            </w:r>
          </w:p>
        </w:tc>
        <w:tc>
          <w:tcPr>
            <w:tcW w:w="7726" w:type="dxa"/>
            <w:tcBorders>
              <w:top w:val="single" w:color="080000" w:sz="4" w:space="0"/>
              <w:left w:val="single" w:color="080000" w:sz="4" w:space="0"/>
              <w:bottom w:val="single" w:color="080000" w:sz="4" w:space="0"/>
              <w:right w:val="single" w:color="080000" w:sz="4" w:space="0"/>
            </w:tcBorders>
            <w:noWrap/>
            <w:vAlign w:val="center"/>
          </w:tcPr>
          <w:p w14:paraId="773B1D0A">
            <w:pPr>
              <w:pStyle w:val="34"/>
              <w:wordWrap w:val="0"/>
              <w:adjustRightInd w:val="0"/>
              <w:snapToGrid w:val="0"/>
              <w:spacing w:line="360" w:lineRule="auto"/>
              <w:ind w:firstLine="240" w:firstLineChars="100"/>
              <w:jc w:val="both"/>
              <w:rPr>
                <w:rFonts w:hint="eastAsia" w:ascii="宋体" w:hAnsi="宋体" w:eastAsia="宋体" w:cs="宋体"/>
                <w:snapToGrid w:val="0"/>
                <w:color w:val="auto"/>
                <w:kern w:val="0"/>
                <w:sz w:val="24"/>
                <w:highlight w:val="none"/>
                <w:lang w:val="en-US" w:eastAsia="zh-CN"/>
              </w:rPr>
            </w:pPr>
            <w:r>
              <w:rPr>
                <w:rFonts w:hint="eastAsia" w:ascii="宋体" w:hAnsi="宋体" w:cs="宋体"/>
                <w:snapToGrid w:val="0"/>
                <w:color w:val="auto"/>
                <w:kern w:val="0"/>
                <w:sz w:val="24"/>
                <w:highlight w:val="none"/>
                <w:lang w:val="en-US" w:eastAsia="zh-CN"/>
              </w:rPr>
              <w:t>2025</w:t>
            </w:r>
            <w:r>
              <w:rPr>
                <w:rFonts w:hint="eastAsia" w:ascii="宋体" w:hAnsi="宋体" w:eastAsia="宋体" w:cs="宋体"/>
                <w:snapToGrid w:val="0"/>
                <w:color w:val="auto"/>
                <w:kern w:val="0"/>
                <w:sz w:val="24"/>
                <w:highlight w:val="none"/>
                <w:lang w:val="en-US" w:eastAsia="zh-CN"/>
              </w:rPr>
              <w:t>年</w:t>
            </w:r>
            <w:r>
              <w:rPr>
                <w:rFonts w:hint="eastAsia" w:ascii="宋体" w:hAnsi="宋体" w:cs="宋体"/>
                <w:snapToGrid w:val="0"/>
                <w:color w:val="auto"/>
                <w:kern w:val="0"/>
                <w:sz w:val="24"/>
                <w:highlight w:val="none"/>
                <w:lang w:val="en-US" w:eastAsia="zh-CN"/>
              </w:rPr>
              <w:t>09</w:t>
            </w:r>
            <w:r>
              <w:rPr>
                <w:rFonts w:hint="eastAsia" w:ascii="宋体" w:hAnsi="宋体" w:eastAsia="宋体" w:cs="宋体"/>
                <w:snapToGrid w:val="0"/>
                <w:color w:val="auto"/>
                <w:kern w:val="0"/>
                <w:sz w:val="24"/>
                <w:highlight w:val="none"/>
                <w:lang w:val="en-US" w:eastAsia="zh-CN"/>
              </w:rPr>
              <w:t>月</w:t>
            </w:r>
            <w:r>
              <w:rPr>
                <w:rFonts w:hint="eastAsia" w:ascii="宋体" w:hAnsi="宋体" w:cs="宋体"/>
                <w:snapToGrid w:val="0"/>
                <w:color w:val="auto"/>
                <w:kern w:val="0"/>
                <w:sz w:val="24"/>
                <w:highlight w:val="none"/>
                <w:lang w:val="en-US" w:eastAsia="zh-CN"/>
              </w:rPr>
              <w:t>09</w:t>
            </w:r>
            <w:r>
              <w:rPr>
                <w:rFonts w:hint="eastAsia" w:ascii="宋体" w:hAnsi="宋体" w:eastAsia="宋体" w:cs="宋体"/>
                <w:snapToGrid w:val="0"/>
                <w:color w:val="auto"/>
                <w:kern w:val="0"/>
                <w:sz w:val="24"/>
                <w:highlight w:val="none"/>
                <w:lang w:val="en-US" w:eastAsia="zh-CN"/>
              </w:rPr>
              <w:t>日09时30分</w:t>
            </w:r>
          </w:p>
        </w:tc>
      </w:tr>
      <w:tr w14:paraId="25C28D7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05" w:hRule="exact"/>
          <w:jc w:val="center"/>
        </w:trPr>
        <w:tc>
          <w:tcPr>
            <w:tcW w:w="602" w:type="dxa"/>
            <w:tcBorders>
              <w:top w:val="single" w:color="080000" w:sz="4" w:space="0"/>
              <w:left w:val="single" w:color="080000" w:sz="4" w:space="0"/>
              <w:bottom w:val="single" w:color="080000" w:sz="4" w:space="0"/>
              <w:right w:val="single" w:color="080000" w:sz="4" w:space="0"/>
            </w:tcBorders>
            <w:noWrap/>
            <w:vAlign w:val="center"/>
          </w:tcPr>
          <w:p w14:paraId="152C94F6">
            <w:pPr>
              <w:pStyle w:val="34"/>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p>
        </w:tc>
        <w:tc>
          <w:tcPr>
            <w:tcW w:w="1527" w:type="dxa"/>
            <w:tcBorders>
              <w:top w:val="single" w:color="080000" w:sz="4" w:space="0"/>
              <w:left w:val="single" w:color="080000" w:sz="4" w:space="0"/>
              <w:bottom w:val="single" w:color="080000" w:sz="4" w:space="0"/>
              <w:right w:val="single" w:color="080000" w:sz="4" w:space="0"/>
            </w:tcBorders>
            <w:noWrap/>
            <w:vAlign w:val="center"/>
          </w:tcPr>
          <w:p w14:paraId="39629958">
            <w:pPr>
              <w:pStyle w:val="34"/>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网上提问</w:t>
            </w:r>
          </w:p>
          <w:p w14:paraId="45B8CAE5">
            <w:pPr>
              <w:pStyle w:val="34"/>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截止时间 </w:t>
            </w:r>
          </w:p>
        </w:tc>
        <w:tc>
          <w:tcPr>
            <w:tcW w:w="7726" w:type="dxa"/>
            <w:tcBorders>
              <w:top w:val="single" w:color="080000" w:sz="4" w:space="0"/>
              <w:left w:val="single" w:color="080000" w:sz="4" w:space="0"/>
              <w:bottom w:val="single" w:color="080000" w:sz="4" w:space="0"/>
              <w:right w:val="single" w:color="080000" w:sz="4" w:space="0"/>
            </w:tcBorders>
            <w:noWrap/>
            <w:vAlign w:val="center"/>
          </w:tcPr>
          <w:p w14:paraId="6EE57C6A">
            <w:pPr>
              <w:pStyle w:val="34"/>
              <w:wordWrap w:val="0"/>
              <w:adjustRightInd w:val="0"/>
              <w:snapToGrid w:val="0"/>
              <w:spacing w:line="360" w:lineRule="auto"/>
              <w:ind w:firstLine="240" w:firstLineChars="100"/>
              <w:jc w:val="both"/>
              <w:rPr>
                <w:rFonts w:hint="eastAsia" w:ascii="宋体" w:hAnsi="宋体" w:eastAsia="宋体" w:cs="宋体"/>
                <w:snapToGrid w:val="0"/>
                <w:color w:val="auto"/>
                <w:kern w:val="0"/>
                <w:sz w:val="24"/>
                <w:highlight w:val="none"/>
                <w:lang w:val="en-US" w:eastAsia="zh-CN"/>
              </w:rPr>
            </w:pPr>
            <w:r>
              <w:rPr>
                <w:rFonts w:hint="eastAsia" w:ascii="宋体" w:hAnsi="宋体" w:cs="宋体"/>
                <w:snapToGrid w:val="0"/>
                <w:color w:val="auto"/>
                <w:kern w:val="0"/>
                <w:sz w:val="24"/>
                <w:highlight w:val="none"/>
                <w:lang w:val="en-US" w:eastAsia="zh-CN"/>
              </w:rPr>
              <w:t>2025</w:t>
            </w:r>
            <w:r>
              <w:rPr>
                <w:rFonts w:hint="eastAsia" w:ascii="宋体" w:hAnsi="宋体" w:eastAsia="宋体" w:cs="宋体"/>
                <w:snapToGrid w:val="0"/>
                <w:color w:val="auto"/>
                <w:kern w:val="0"/>
                <w:sz w:val="24"/>
                <w:highlight w:val="none"/>
                <w:lang w:val="en-US" w:eastAsia="zh-CN"/>
              </w:rPr>
              <w:t>年</w:t>
            </w:r>
            <w:r>
              <w:rPr>
                <w:rFonts w:hint="eastAsia" w:ascii="宋体" w:hAnsi="宋体" w:cs="宋体"/>
                <w:snapToGrid w:val="0"/>
                <w:color w:val="auto"/>
                <w:kern w:val="0"/>
                <w:sz w:val="24"/>
                <w:highlight w:val="none"/>
                <w:lang w:val="en-US" w:eastAsia="zh-CN"/>
              </w:rPr>
              <w:t>08</w:t>
            </w:r>
            <w:r>
              <w:rPr>
                <w:rFonts w:hint="eastAsia" w:ascii="宋体" w:hAnsi="宋体" w:eastAsia="宋体" w:cs="宋体"/>
                <w:snapToGrid w:val="0"/>
                <w:color w:val="auto"/>
                <w:kern w:val="0"/>
                <w:sz w:val="24"/>
                <w:highlight w:val="none"/>
                <w:lang w:val="en-US" w:eastAsia="zh-CN"/>
              </w:rPr>
              <w:t>月</w:t>
            </w:r>
            <w:r>
              <w:rPr>
                <w:rFonts w:hint="eastAsia" w:ascii="宋体" w:hAnsi="宋体" w:cs="宋体"/>
                <w:snapToGrid w:val="0"/>
                <w:color w:val="auto"/>
                <w:kern w:val="0"/>
                <w:sz w:val="24"/>
                <w:highlight w:val="none"/>
                <w:lang w:val="en-US" w:eastAsia="zh-CN"/>
              </w:rPr>
              <w:t>30</w:t>
            </w:r>
            <w:r>
              <w:rPr>
                <w:rFonts w:hint="eastAsia" w:ascii="宋体" w:hAnsi="宋体" w:eastAsia="宋体" w:cs="宋体"/>
                <w:snapToGrid w:val="0"/>
                <w:color w:val="auto"/>
                <w:kern w:val="0"/>
                <w:sz w:val="24"/>
                <w:highlight w:val="none"/>
                <w:lang w:val="en-US" w:eastAsia="zh-CN"/>
              </w:rPr>
              <w:t>日16时00分</w:t>
            </w:r>
          </w:p>
        </w:tc>
      </w:tr>
      <w:tr w14:paraId="4DF328C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20" w:hRule="exact"/>
          <w:jc w:val="center"/>
        </w:trPr>
        <w:tc>
          <w:tcPr>
            <w:tcW w:w="602" w:type="dxa"/>
            <w:tcBorders>
              <w:top w:val="single" w:color="080000" w:sz="4" w:space="0"/>
              <w:left w:val="single" w:color="080000" w:sz="4" w:space="0"/>
              <w:bottom w:val="single" w:color="080000" w:sz="4" w:space="0"/>
              <w:right w:val="single" w:color="080000" w:sz="4" w:space="0"/>
            </w:tcBorders>
            <w:noWrap/>
            <w:vAlign w:val="center"/>
          </w:tcPr>
          <w:p w14:paraId="473A7348">
            <w:pPr>
              <w:pStyle w:val="34"/>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w:t>
            </w:r>
          </w:p>
        </w:tc>
        <w:tc>
          <w:tcPr>
            <w:tcW w:w="1527" w:type="dxa"/>
            <w:tcBorders>
              <w:top w:val="single" w:color="080000" w:sz="4" w:space="0"/>
              <w:left w:val="single" w:color="080000" w:sz="4" w:space="0"/>
              <w:bottom w:val="single" w:color="080000" w:sz="4" w:space="0"/>
              <w:right w:val="single" w:color="080000" w:sz="4" w:space="0"/>
            </w:tcBorders>
            <w:noWrap/>
            <w:vAlign w:val="center"/>
          </w:tcPr>
          <w:p w14:paraId="6ADEFF61">
            <w:pPr>
              <w:pStyle w:val="34"/>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网上答疑</w:t>
            </w:r>
          </w:p>
          <w:p w14:paraId="7BD92372">
            <w:pPr>
              <w:pStyle w:val="34"/>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时间</w:t>
            </w:r>
          </w:p>
        </w:tc>
        <w:tc>
          <w:tcPr>
            <w:tcW w:w="7726" w:type="dxa"/>
            <w:tcBorders>
              <w:top w:val="single" w:color="080000" w:sz="4" w:space="0"/>
              <w:left w:val="single" w:color="080000" w:sz="4" w:space="0"/>
              <w:bottom w:val="single" w:color="080000" w:sz="4" w:space="0"/>
              <w:right w:val="single" w:color="080000" w:sz="4" w:space="0"/>
            </w:tcBorders>
            <w:noWrap/>
            <w:vAlign w:val="center"/>
          </w:tcPr>
          <w:p w14:paraId="5C2D5569">
            <w:pPr>
              <w:pStyle w:val="34"/>
              <w:wordWrap w:val="0"/>
              <w:adjustRightInd w:val="0"/>
              <w:snapToGrid w:val="0"/>
              <w:spacing w:line="360" w:lineRule="auto"/>
              <w:ind w:firstLine="240" w:firstLineChars="100"/>
              <w:jc w:val="left"/>
              <w:rPr>
                <w:rFonts w:hint="eastAsia" w:ascii="宋体" w:hAnsi="宋体" w:eastAsia="宋体" w:cs="宋体"/>
                <w:snapToGrid w:val="0"/>
                <w:color w:val="auto"/>
                <w:kern w:val="0"/>
                <w:sz w:val="24"/>
                <w:szCs w:val="24"/>
                <w:highlight w:val="none"/>
                <w:u w:val="none"/>
              </w:rPr>
            </w:pPr>
            <w:r>
              <w:rPr>
                <w:rFonts w:hint="eastAsia" w:ascii="宋体" w:hAnsi="宋体" w:cs="宋体"/>
                <w:snapToGrid w:val="0"/>
                <w:color w:val="auto"/>
                <w:kern w:val="0"/>
                <w:sz w:val="24"/>
                <w:highlight w:val="none"/>
                <w:lang w:val="en-US" w:eastAsia="zh-CN"/>
              </w:rPr>
              <w:t>2025</w:t>
            </w:r>
            <w:r>
              <w:rPr>
                <w:rFonts w:hint="eastAsia" w:ascii="宋体" w:hAnsi="宋体" w:eastAsia="宋体" w:cs="宋体"/>
                <w:snapToGrid w:val="0"/>
                <w:color w:val="auto"/>
                <w:kern w:val="0"/>
                <w:sz w:val="24"/>
                <w:highlight w:val="none"/>
                <w:lang w:val="en-US" w:eastAsia="zh-CN"/>
              </w:rPr>
              <w:t>年</w:t>
            </w:r>
            <w:r>
              <w:rPr>
                <w:rFonts w:hint="eastAsia" w:ascii="宋体" w:hAnsi="宋体" w:cs="宋体"/>
                <w:snapToGrid w:val="0"/>
                <w:color w:val="auto"/>
                <w:kern w:val="0"/>
                <w:sz w:val="24"/>
                <w:highlight w:val="none"/>
                <w:lang w:val="en-US" w:eastAsia="zh-CN"/>
              </w:rPr>
              <w:t>08</w:t>
            </w:r>
            <w:r>
              <w:rPr>
                <w:rFonts w:hint="eastAsia" w:ascii="宋体" w:hAnsi="宋体" w:eastAsia="宋体" w:cs="宋体"/>
                <w:snapToGrid w:val="0"/>
                <w:color w:val="auto"/>
                <w:kern w:val="0"/>
                <w:sz w:val="24"/>
                <w:highlight w:val="none"/>
                <w:lang w:val="en-US" w:eastAsia="zh-CN"/>
              </w:rPr>
              <w:t>月</w:t>
            </w:r>
            <w:r>
              <w:rPr>
                <w:rFonts w:hint="eastAsia" w:ascii="宋体" w:hAnsi="宋体" w:cs="宋体"/>
                <w:snapToGrid w:val="0"/>
                <w:color w:val="auto"/>
                <w:kern w:val="0"/>
                <w:sz w:val="24"/>
                <w:highlight w:val="none"/>
                <w:lang w:val="en-US" w:eastAsia="zh-CN"/>
              </w:rPr>
              <w:t>30</w:t>
            </w:r>
            <w:r>
              <w:rPr>
                <w:rFonts w:hint="eastAsia" w:ascii="宋体" w:hAnsi="宋体" w:eastAsia="宋体" w:cs="宋体"/>
                <w:snapToGrid w:val="0"/>
                <w:color w:val="auto"/>
                <w:kern w:val="0"/>
                <w:sz w:val="24"/>
                <w:highlight w:val="none"/>
                <w:lang w:val="en-US" w:eastAsia="zh-CN"/>
              </w:rPr>
              <w:t>日16时30分</w:t>
            </w:r>
            <w:r>
              <w:rPr>
                <w:rFonts w:hint="eastAsia" w:ascii="宋体" w:hAnsi="宋体" w:eastAsia="宋体" w:cs="宋体"/>
                <w:snapToGrid w:val="0"/>
                <w:color w:val="auto"/>
                <w:kern w:val="0"/>
                <w:sz w:val="24"/>
                <w:szCs w:val="24"/>
                <w:highlight w:val="none"/>
                <w:u w:val="none"/>
              </w:rPr>
              <w:t>至</w:t>
            </w:r>
            <w:r>
              <w:rPr>
                <w:rFonts w:hint="eastAsia" w:ascii="宋体" w:hAnsi="宋体" w:cs="宋体"/>
                <w:snapToGrid w:val="0"/>
                <w:color w:val="auto"/>
                <w:kern w:val="0"/>
                <w:sz w:val="24"/>
                <w:szCs w:val="24"/>
                <w:highlight w:val="none"/>
                <w:u w:val="none"/>
                <w:lang w:val="en-US" w:eastAsia="zh-CN"/>
              </w:rPr>
              <w:t>2025</w:t>
            </w:r>
            <w:r>
              <w:rPr>
                <w:rFonts w:hint="eastAsia" w:ascii="宋体" w:hAnsi="宋体" w:eastAsia="宋体" w:cs="宋体"/>
                <w:snapToGrid w:val="0"/>
                <w:color w:val="auto"/>
                <w:kern w:val="0"/>
                <w:sz w:val="24"/>
                <w:highlight w:val="none"/>
                <w:lang w:val="en-US" w:eastAsia="zh-CN"/>
              </w:rPr>
              <w:t>年</w:t>
            </w:r>
            <w:r>
              <w:rPr>
                <w:rFonts w:hint="eastAsia" w:ascii="宋体" w:hAnsi="宋体" w:cs="宋体"/>
                <w:snapToGrid w:val="0"/>
                <w:color w:val="auto"/>
                <w:kern w:val="0"/>
                <w:sz w:val="24"/>
                <w:highlight w:val="none"/>
                <w:lang w:val="en-US" w:eastAsia="zh-CN"/>
              </w:rPr>
              <w:t>09</w:t>
            </w:r>
            <w:r>
              <w:rPr>
                <w:rFonts w:hint="eastAsia" w:ascii="宋体" w:hAnsi="宋体" w:eastAsia="宋体" w:cs="宋体"/>
                <w:snapToGrid w:val="0"/>
                <w:color w:val="auto"/>
                <w:kern w:val="0"/>
                <w:sz w:val="24"/>
                <w:highlight w:val="none"/>
                <w:lang w:val="en-US" w:eastAsia="zh-CN"/>
              </w:rPr>
              <w:t>月</w:t>
            </w:r>
            <w:r>
              <w:rPr>
                <w:rFonts w:hint="eastAsia" w:ascii="宋体" w:hAnsi="宋体" w:cs="宋体"/>
                <w:snapToGrid w:val="0"/>
                <w:color w:val="auto"/>
                <w:kern w:val="0"/>
                <w:sz w:val="24"/>
                <w:highlight w:val="none"/>
                <w:lang w:val="en-US" w:eastAsia="zh-CN"/>
              </w:rPr>
              <w:t>02</w:t>
            </w:r>
            <w:r>
              <w:rPr>
                <w:rFonts w:hint="eastAsia" w:ascii="宋体" w:hAnsi="宋体" w:eastAsia="宋体" w:cs="宋体"/>
                <w:snapToGrid w:val="0"/>
                <w:color w:val="auto"/>
                <w:kern w:val="0"/>
                <w:sz w:val="24"/>
                <w:highlight w:val="none"/>
                <w:lang w:val="en-US" w:eastAsia="zh-CN"/>
              </w:rPr>
              <w:t>日16时00分</w:t>
            </w:r>
          </w:p>
        </w:tc>
      </w:tr>
      <w:tr w14:paraId="4CEC3A2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17" w:hRule="exact"/>
          <w:jc w:val="center"/>
        </w:trPr>
        <w:tc>
          <w:tcPr>
            <w:tcW w:w="602" w:type="dxa"/>
            <w:tcBorders>
              <w:top w:val="single" w:color="080000" w:sz="4" w:space="0"/>
              <w:left w:val="single" w:color="080000" w:sz="4" w:space="0"/>
              <w:bottom w:val="single" w:color="080000" w:sz="4" w:space="0"/>
              <w:right w:val="single" w:color="080000" w:sz="4" w:space="0"/>
            </w:tcBorders>
            <w:noWrap/>
            <w:vAlign w:val="center"/>
          </w:tcPr>
          <w:p w14:paraId="31730499">
            <w:pPr>
              <w:pStyle w:val="34"/>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w:t>
            </w:r>
          </w:p>
        </w:tc>
        <w:tc>
          <w:tcPr>
            <w:tcW w:w="1527" w:type="dxa"/>
            <w:tcBorders>
              <w:top w:val="single" w:color="080000" w:sz="4" w:space="0"/>
              <w:left w:val="single" w:color="080000" w:sz="4" w:space="0"/>
              <w:bottom w:val="single" w:color="080000" w:sz="4" w:space="0"/>
              <w:right w:val="single" w:color="080000" w:sz="4" w:space="0"/>
            </w:tcBorders>
            <w:noWrap/>
            <w:vAlign w:val="center"/>
          </w:tcPr>
          <w:p w14:paraId="5B21FAAC">
            <w:pPr>
              <w:pStyle w:val="34"/>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投标保证缴</w:t>
            </w:r>
          </w:p>
          <w:p w14:paraId="61124B54">
            <w:pPr>
              <w:pStyle w:val="34"/>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纳截止时间</w:t>
            </w:r>
          </w:p>
        </w:tc>
        <w:tc>
          <w:tcPr>
            <w:tcW w:w="7726" w:type="dxa"/>
            <w:tcBorders>
              <w:top w:val="single" w:color="080000" w:sz="4" w:space="0"/>
              <w:left w:val="single" w:color="080000" w:sz="4" w:space="0"/>
              <w:bottom w:val="single" w:color="080000" w:sz="4" w:space="0"/>
              <w:right w:val="single" w:color="080000" w:sz="4" w:space="0"/>
            </w:tcBorders>
            <w:noWrap/>
            <w:vAlign w:val="center"/>
          </w:tcPr>
          <w:p w14:paraId="1ADC98A9">
            <w:pPr>
              <w:pStyle w:val="34"/>
              <w:wordWrap w:val="0"/>
              <w:adjustRightInd w:val="0"/>
              <w:snapToGrid w:val="0"/>
              <w:spacing w:line="360" w:lineRule="auto"/>
              <w:ind w:firstLine="240" w:firstLineChars="100"/>
              <w:rPr>
                <w:rFonts w:hint="eastAsia" w:ascii="宋体" w:hAnsi="宋体" w:eastAsia="宋体" w:cs="宋体"/>
                <w:snapToGrid w:val="0"/>
                <w:color w:val="auto"/>
                <w:kern w:val="0"/>
                <w:sz w:val="24"/>
                <w:szCs w:val="24"/>
                <w:highlight w:val="none"/>
                <w:u w:val="none"/>
              </w:rPr>
            </w:pPr>
            <w:r>
              <w:rPr>
                <w:rFonts w:hint="eastAsia" w:ascii="宋体" w:hAnsi="宋体" w:eastAsia="宋体" w:cs="宋体"/>
                <w:snapToGrid w:val="0"/>
                <w:color w:val="auto"/>
                <w:kern w:val="0"/>
                <w:sz w:val="24"/>
                <w:szCs w:val="24"/>
                <w:highlight w:val="none"/>
                <w:u w:val="none"/>
              </w:rPr>
              <w:t>投标保证金到账截止时间：</w:t>
            </w:r>
            <w:r>
              <w:rPr>
                <w:rFonts w:hint="eastAsia" w:ascii="宋体" w:hAnsi="宋体" w:cs="宋体"/>
                <w:snapToGrid w:val="0"/>
                <w:color w:val="auto"/>
                <w:kern w:val="0"/>
                <w:sz w:val="24"/>
                <w:highlight w:val="none"/>
                <w:lang w:val="en-US" w:eastAsia="zh-CN"/>
              </w:rPr>
              <w:t>2025</w:t>
            </w:r>
            <w:r>
              <w:rPr>
                <w:rFonts w:hint="eastAsia" w:ascii="宋体" w:hAnsi="宋体" w:eastAsia="宋体" w:cs="宋体"/>
                <w:snapToGrid w:val="0"/>
                <w:color w:val="auto"/>
                <w:kern w:val="0"/>
                <w:sz w:val="24"/>
                <w:highlight w:val="none"/>
                <w:lang w:val="en-US" w:eastAsia="zh-CN"/>
              </w:rPr>
              <w:t>年</w:t>
            </w:r>
            <w:r>
              <w:rPr>
                <w:rFonts w:hint="eastAsia" w:ascii="宋体" w:hAnsi="宋体" w:cs="宋体"/>
                <w:snapToGrid w:val="0"/>
                <w:color w:val="auto"/>
                <w:kern w:val="0"/>
                <w:sz w:val="24"/>
                <w:highlight w:val="none"/>
                <w:lang w:val="en-US" w:eastAsia="zh-CN"/>
              </w:rPr>
              <w:t>09</w:t>
            </w:r>
            <w:r>
              <w:rPr>
                <w:rFonts w:hint="eastAsia" w:ascii="宋体" w:hAnsi="宋体" w:eastAsia="宋体" w:cs="宋体"/>
                <w:snapToGrid w:val="0"/>
                <w:color w:val="auto"/>
                <w:kern w:val="0"/>
                <w:sz w:val="24"/>
                <w:highlight w:val="none"/>
                <w:lang w:val="en-US" w:eastAsia="zh-CN"/>
              </w:rPr>
              <w:t>月</w:t>
            </w:r>
            <w:r>
              <w:rPr>
                <w:rFonts w:hint="eastAsia" w:ascii="宋体" w:hAnsi="宋体" w:cs="宋体"/>
                <w:snapToGrid w:val="0"/>
                <w:color w:val="auto"/>
                <w:kern w:val="0"/>
                <w:sz w:val="24"/>
                <w:highlight w:val="none"/>
                <w:lang w:val="en-US" w:eastAsia="zh-CN"/>
              </w:rPr>
              <w:t>08</w:t>
            </w:r>
            <w:r>
              <w:rPr>
                <w:rFonts w:hint="eastAsia" w:ascii="宋体" w:hAnsi="宋体" w:eastAsia="宋体" w:cs="宋体"/>
                <w:snapToGrid w:val="0"/>
                <w:color w:val="auto"/>
                <w:kern w:val="0"/>
                <w:sz w:val="24"/>
                <w:highlight w:val="none"/>
                <w:lang w:val="en-US" w:eastAsia="zh-CN"/>
              </w:rPr>
              <w:t>日09时30分</w:t>
            </w:r>
          </w:p>
          <w:p w14:paraId="461BA50F">
            <w:pPr>
              <w:pStyle w:val="34"/>
              <w:wordWrap w:val="0"/>
              <w:adjustRightInd w:val="0"/>
              <w:snapToGrid w:val="0"/>
              <w:spacing w:line="360" w:lineRule="auto"/>
              <w:ind w:firstLine="240" w:firstLineChars="100"/>
              <w:rPr>
                <w:rFonts w:hint="eastAsia" w:ascii="宋体" w:hAnsi="宋体" w:eastAsia="宋体" w:cs="宋体"/>
                <w:snapToGrid w:val="0"/>
                <w:color w:val="auto"/>
                <w:kern w:val="0"/>
                <w:sz w:val="24"/>
                <w:szCs w:val="24"/>
                <w:highlight w:val="none"/>
                <w:u w:val="none"/>
              </w:rPr>
            </w:pPr>
            <w:r>
              <w:rPr>
                <w:rFonts w:hint="eastAsia" w:ascii="宋体" w:hAnsi="宋体" w:eastAsia="宋体" w:cs="宋体"/>
                <w:snapToGrid w:val="0"/>
                <w:color w:val="auto"/>
                <w:kern w:val="0"/>
                <w:sz w:val="24"/>
                <w:szCs w:val="24"/>
                <w:highlight w:val="none"/>
                <w:u w:val="none"/>
              </w:rPr>
              <w:t>投标保证担保上传截止时间：</w:t>
            </w:r>
            <w:r>
              <w:rPr>
                <w:rFonts w:hint="eastAsia" w:ascii="宋体" w:hAnsi="宋体" w:cs="宋体"/>
                <w:snapToGrid w:val="0"/>
                <w:color w:val="auto"/>
                <w:kern w:val="0"/>
                <w:sz w:val="24"/>
                <w:highlight w:val="none"/>
                <w:lang w:val="en-US" w:eastAsia="zh-CN"/>
              </w:rPr>
              <w:t>2025</w:t>
            </w:r>
            <w:r>
              <w:rPr>
                <w:rFonts w:hint="eastAsia" w:ascii="宋体" w:hAnsi="宋体" w:eastAsia="宋体" w:cs="宋体"/>
                <w:snapToGrid w:val="0"/>
                <w:color w:val="auto"/>
                <w:kern w:val="0"/>
                <w:sz w:val="24"/>
                <w:highlight w:val="none"/>
                <w:lang w:val="en-US" w:eastAsia="zh-CN"/>
              </w:rPr>
              <w:t>年</w:t>
            </w:r>
            <w:r>
              <w:rPr>
                <w:rFonts w:hint="eastAsia" w:ascii="宋体" w:hAnsi="宋体" w:cs="宋体"/>
                <w:snapToGrid w:val="0"/>
                <w:color w:val="auto"/>
                <w:kern w:val="0"/>
                <w:sz w:val="24"/>
                <w:highlight w:val="none"/>
                <w:lang w:val="en-US" w:eastAsia="zh-CN"/>
              </w:rPr>
              <w:t>09</w:t>
            </w:r>
            <w:r>
              <w:rPr>
                <w:rFonts w:hint="eastAsia" w:ascii="宋体" w:hAnsi="宋体" w:eastAsia="宋体" w:cs="宋体"/>
                <w:snapToGrid w:val="0"/>
                <w:color w:val="auto"/>
                <w:kern w:val="0"/>
                <w:sz w:val="24"/>
                <w:highlight w:val="none"/>
                <w:lang w:val="en-US" w:eastAsia="zh-CN"/>
              </w:rPr>
              <w:t>月</w:t>
            </w:r>
            <w:r>
              <w:rPr>
                <w:rFonts w:hint="eastAsia" w:ascii="宋体" w:hAnsi="宋体" w:cs="宋体"/>
                <w:snapToGrid w:val="0"/>
                <w:color w:val="auto"/>
                <w:kern w:val="0"/>
                <w:sz w:val="24"/>
                <w:highlight w:val="none"/>
                <w:lang w:val="en-US" w:eastAsia="zh-CN"/>
              </w:rPr>
              <w:t>08</w:t>
            </w:r>
            <w:r>
              <w:rPr>
                <w:rFonts w:hint="eastAsia" w:ascii="宋体" w:hAnsi="宋体" w:eastAsia="宋体" w:cs="宋体"/>
                <w:snapToGrid w:val="0"/>
                <w:color w:val="auto"/>
                <w:kern w:val="0"/>
                <w:sz w:val="24"/>
                <w:highlight w:val="none"/>
                <w:lang w:val="en-US" w:eastAsia="zh-CN"/>
              </w:rPr>
              <w:t>日09时30分</w:t>
            </w:r>
          </w:p>
          <w:p w14:paraId="1DEB2FA3">
            <w:pPr>
              <w:pStyle w:val="34"/>
              <w:wordWrap w:val="0"/>
              <w:adjustRightInd w:val="0"/>
              <w:snapToGrid w:val="0"/>
              <w:spacing w:line="360" w:lineRule="auto"/>
              <w:ind w:firstLine="240" w:firstLineChars="100"/>
              <w:rPr>
                <w:rFonts w:hint="eastAsia" w:ascii="宋体" w:hAnsi="宋体" w:eastAsia="宋体" w:cs="宋体"/>
                <w:snapToGrid w:val="0"/>
                <w:color w:val="auto"/>
                <w:kern w:val="0"/>
                <w:sz w:val="24"/>
                <w:szCs w:val="24"/>
                <w:highlight w:val="none"/>
                <w:u w:val="none"/>
              </w:rPr>
            </w:pPr>
            <w:r>
              <w:rPr>
                <w:rFonts w:hint="eastAsia" w:ascii="宋体" w:hAnsi="宋体" w:eastAsia="宋体" w:cs="宋体"/>
                <w:snapToGrid w:val="0"/>
                <w:color w:val="auto"/>
                <w:kern w:val="0"/>
                <w:sz w:val="24"/>
                <w:szCs w:val="24"/>
                <w:highlight w:val="none"/>
                <w:u w:val="none"/>
              </w:rPr>
              <w:t>投标保证保险投保截止时间：</w:t>
            </w:r>
            <w:r>
              <w:rPr>
                <w:rFonts w:hint="eastAsia" w:ascii="宋体" w:hAnsi="宋体" w:cs="宋体"/>
                <w:snapToGrid w:val="0"/>
                <w:color w:val="auto"/>
                <w:kern w:val="0"/>
                <w:sz w:val="24"/>
                <w:highlight w:val="none"/>
                <w:lang w:val="en-US" w:eastAsia="zh-CN"/>
              </w:rPr>
              <w:t>2025</w:t>
            </w:r>
            <w:r>
              <w:rPr>
                <w:rFonts w:hint="eastAsia" w:ascii="宋体" w:hAnsi="宋体" w:eastAsia="宋体" w:cs="宋体"/>
                <w:snapToGrid w:val="0"/>
                <w:color w:val="auto"/>
                <w:kern w:val="0"/>
                <w:sz w:val="24"/>
                <w:highlight w:val="none"/>
                <w:lang w:val="en-US" w:eastAsia="zh-CN"/>
              </w:rPr>
              <w:t>年</w:t>
            </w:r>
            <w:r>
              <w:rPr>
                <w:rFonts w:hint="eastAsia" w:ascii="宋体" w:hAnsi="宋体" w:cs="宋体"/>
                <w:snapToGrid w:val="0"/>
                <w:color w:val="auto"/>
                <w:kern w:val="0"/>
                <w:sz w:val="24"/>
                <w:highlight w:val="none"/>
                <w:lang w:val="en-US" w:eastAsia="zh-CN"/>
              </w:rPr>
              <w:t>09</w:t>
            </w:r>
            <w:r>
              <w:rPr>
                <w:rFonts w:hint="eastAsia" w:ascii="宋体" w:hAnsi="宋体" w:eastAsia="宋体" w:cs="宋体"/>
                <w:snapToGrid w:val="0"/>
                <w:color w:val="auto"/>
                <w:kern w:val="0"/>
                <w:sz w:val="24"/>
                <w:highlight w:val="none"/>
                <w:lang w:val="en-US" w:eastAsia="zh-CN"/>
              </w:rPr>
              <w:t>月</w:t>
            </w:r>
            <w:r>
              <w:rPr>
                <w:rFonts w:hint="eastAsia" w:ascii="宋体" w:hAnsi="宋体" w:cs="宋体"/>
                <w:snapToGrid w:val="0"/>
                <w:color w:val="auto"/>
                <w:kern w:val="0"/>
                <w:sz w:val="24"/>
                <w:highlight w:val="none"/>
                <w:lang w:val="en-US" w:eastAsia="zh-CN"/>
              </w:rPr>
              <w:t>08</w:t>
            </w:r>
            <w:r>
              <w:rPr>
                <w:rFonts w:hint="eastAsia" w:ascii="宋体" w:hAnsi="宋体" w:eastAsia="宋体" w:cs="宋体"/>
                <w:snapToGrid w:val="0"/>
                <w:color w:val="auto"/>
                <w:kern w:val="0"/>
                <w:sz w:val="24"/>
                <w:highlight w:val="none"/>
                <w:lang w:val="en-US" w:eastAsia="zh-CN"/>
              </w:rPr>
              <w:t>日09时30分</w:t>
            </w:r>
          </w:p>
        </w:tc>
      </w:tr>
      <w:tr w14:paraId="012438F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78" w:hRule="exact"/>
          <w:jc w:val="center"/>
        </w:trPr>
        <w:tc>
          <w:tcPr>
            <w:tcW w:w="602" w:type="dxa"/>
            <w:tcBorders>
              <w:top w:val="single" w:color="080000" w:sz="4" w:space="0"/>
              <w:left w:val="single" w:color="080000" w:sz="4" w:space="0"/>
              <w:bottom w:val="single" w:color="080000" w:sz="4" w:space="0"/>
              <w:right w:val="single" w:color="080000" w:sz="4" w:space="0"/>
            </w:tcBorders>
            <w:noWrap/>
            <w:vAlign w:val="center"/>
          </w:tcPr>
          <w:p w14:paraId="394AC2B7">
            <w:pPr>
              <w:pStyle w:val="34"/>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w:t>
            </w:r>
          </w:p>
        </w:tc>
        <w:tc>
          <w:tcPr>
            <w:tcW w:w="1527" w:type="dxa"/>
            <w:tcBorders>
              <w:top w:val="single" w:color="080000" w:sz="4" w:space="0"/>
              <w:left w:val="single" w:color="080000" w:sz="4" w:space="0"/>
              <w:bottom w:val="single" w:color="080000" w:sz="4" w:space="0"/>
              <w:right w:val="single" w:color="080000" w:sz="4" w:space="0"/>
            </w:tcBorders>
            <w:noWrap/>
            <w:vAlign w:val="center"/>
          </w:tcPr>
          <w:p w14:paraId="6E2A5C91">
            <w:pPr>
              <w:pStyle w:val="34"/>
              <w:wordWrap w:val="0"/>
              <w:adjustRightInd w:val="0"/>
              <w:snapToGrid w:val="0"/>
              <w:spacing w:line="360" w:lineRule="auto"/>
              <w:ind w:firstLine="240" w:firstLineChars="100"/>
              <w:jc w:val="both"/>
              <w:rPr>
                <w:rFonts w:hint="eastAsia" w:ascii="宋体" w:hAnsi="宋体" w:eastAsia="宋体" w:cs="宋体"/>
                <w:snapToGrid w:val="0"/>
                <w:color w:val="auto"/>
                <w:kern w:val="0"/>
                <w:sz w:val="24"/>
                <w:highlight w:val="none"/>
                <w:lang w:val="en-US" w:eastAsia="zh-CN"/>
              </w:rPr>
            </w:pPr>
            <w:r>
              <w:rPr>
                <w:rFonts w:hint="eastAsia" w:ascii="宋体" w:hAnsi="宋体" w:eastAsia="宋体" w:cs="宋体"/>
                <w:snapToGrid w:val="0"/>
                <w:color w:val="auto"/>
                <w:kern w:val="0"/>
                <w:sz w:val="24"/>
                <w:highlight w:val="none"/>
                <w:lang w:val="en-US" w:eastAsia="zh-CN"/>
              </w:rPr>
              <w:t>电子投标</w:t>
            </w:r>
          </w:p>
          <w:p w14:paraId="260E1535">
            <w:pPr>
              <w:pStyle w:val="34"/>
              <w:wordWrap w:val="0"/>
              <w:adjustRightInd w:val="0"/>
              <w:snapToGrid w:val="0"/>
              <w:spacing w:line="360" w:lineRule="auto"/>
              <w:ind w:firstLine="240" w:firstLineChars="100"/>
              <w:jc w:val="both"/>
              <w:rPr>
                <w:rFonts w:hint="eastAsia" w:ascii="宋体" w:hAnsi="宋体" w:eastAsia="宋体" w:cs="宋体"/>
                <w:snapToGrid w:val="0"/>
                <w:color w:val="auto"/>
                <w:kern w:val="0"/>
                <w:sz w:val="24"/>
                <w:highlight w:val="none"/>
                <w:lang w:val="en-US" w:eastAsia="zh-CN"/>
              </w:rPr>
            </w:pPr>
            <w:r>
              <w:rPr>
                <w:rFonts w:hint="eastAsia" w:ascii="宋体" w:hAnsi="宋体" w:eastAsia="宋体" w:cs="宋体"/>
                <w:snapToGrid w:val="0"/>
                <w:color w:val="auto"/>
                <w:kern w:val="0"/>
                <w:sz w:val="24"/>
                <w:highlight w:val="none"/>
                <w:lang w:val="en-US" w:eastAsia="zh-CN"/>
              </w:rPr>
              <w:t xml:space="preserve">截止时间 </w:t>
            </w:r>
          </w:p>
        </w:tc>
        <w:tc>
          <w:tcPr>
            <w:tcW w:w="7726" w:type="dxa"/>
            <w:tcBorders>
              <w:top w:val="single" w:color="080000" w:sz="4" w:space="0"/>
              <w:left w:val="single" w:color="080000" w:sz="4" w:space="0"/>
              <w:bottom w:val="single" w:color="080000" w:sz="4" w:space="0"/>
              <w:right w:val="single" w:color="080000" w:sz="4" w:space="0"/>
            </w:tcBorders>
            <w:noWrap/>
            <w:vAlign w:val="center"/>
          </w:tcPr>
          <w:p w14:paraId="0C0C367C">
            <w:pPr>
              <w:pStyle w:val="34"/>
              <w:wordWrap w:val="0"/>
              <w:adjustRightInd w:val="0"/>
              <w:snapToGrid w:val="0"/>
              <w:spacing w:line="360" w:lineRule="auto"/>
              <w:ind w:firstLine="240" w:firstLineChars="100"/>
              <w:jc w:val="both"/>
              <w:rPr>
                <w:rFonts w:hint="eastAsia" w:ascii="宋体" w:hAnsi="宋体" w:eastAsia="宋体" w:cs="宋体"/>
                <w:snapToGrid w:val="0"/>
                <w:color w:val="auto"/>
                <w:kern w:val="0"/>
                <w:sz w:val="24"/>
                <w:highlight w:val="none"/>
                <w:lang w:val="en-US" w:eastAsia="zh-CN"/>
              </w:rPr>
            </w:pPr>
            <w:r>
              <w:rPr>
                <w:rFonts w:hint="eastAsia" w:ascii="宋体" w:hAnsi="宋体" w:cs="宋体"/>
                <w:snapToGrid w:val="0"/>
                <w:color w:val="auto"/>
                <w:kern w:val="0"/>
                <w:sz w:val="24"/>
                <w:highlight w:val="none"/>
                <w:lang w:val="en-US" w:eastAsia="zh-CN"/>
              </w:rPr>
              <w:t>2025</w:t>
            </w:r>
            <w:r>
              <w:rPr>
                <w:rFonts w:hint="eastAsia" w:ascii="宋体" w:hAnsi="宋体" w:eastAsia="宋体" w:cs="宋体"/>
                <w:snapToGrid w:val="0"/>
                <w:color w:val="auto"/>
                <w:kern w:val="0"/>
                <w:sz w:val="24"/>
                <w:highlight w:val="none"/>
                <w:lang w:val="en-US" w:eastAsia="zh-CN"/>
              </w:rPr>
              <w:t>年</w:t>
            </w:r>
            <w:r>
              <w:rPr>
                <w:rFonts w:hint="eastAsia" w:ascii="宋体" w:hAnsi="宋体" w:cs="宋体"/>
                <w:snapToGrid w:val="0"/>
                <w:color w:val="auto"/>
                <w:kern w:val="0"/>
                <w:sz w:val="24"/>
                <w:highlight w:val="none"/>
                <w:lang w:val="en-US" w:eastAsia="zh-CN"/>
              </w:rPr>
              <w:t>09</w:t>
            </w:r>
            <w:r>
              <w:rPr>
                <w:rFonts w:hint="eastAsia" w:ascii="宋体" w:hAnsi="宋体" w:eastAsia="宋体" w:cs="宋体"/>
                <w:snapToGrid w:val="0"/>
                <w:color w:val="auto"/>
                <w:kern w:val="0"/>
                <w:sz w:val="24"/>
                <w:highlight w:val="none"/>
                <w:lang w:val="en-US" w:eastAsia="zh-CN"/>
              </w:rPr>
              <w:t>月</w:t>
            </w:r>
            <w:r>
              <w:rPr>
                <w:rFonts w:hint="eastAsia" w:ascii="宋体" w:hAnsi="宋体" w:cs="宋体"/>
                <w:snapToGrid w:val="0"/>
                <w:color w:val="auto"/>
                <w:kern w:val="0"/>
                <w:sz w:val="24"/>
                <w:highlight w:val="none"/>
                <w:lang w:val="en-US" w:eastAsia="zh-CN"/>
              </w:rPr>
              <w:t>09</w:t>
            </w:r>
            <w:r>
              <w:rPr>
                <w:rFonts w:hint="eastAsia" w:ascii="宋体" w:hAnsi="宋体" w:eastAsia="宋体" w:cs="宋体"/>
                <w:snapToGrid w:val="0"/>
                <w:color w:val="auto"/>
                <w:kern w:val="0"/>
                <w:sz w:val="24"/>
                <w:highlight w:val="none"/>
                <w:lang w:val="en-US" w:eastAsia="zh-CN"/>
              </w:rPr>
              <w:t>日09时30分</w:t>
            </w:r>
          </w:p>
        </w:tc>
      </w:tr>
      <w:tr w14:paraId="390BB35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14" w:hRule="exact"/>
          <w:jc w:val="center"/>
        </w:trPr>
        <w:tc>
          <w:tcPr>
            <w:tcW w:w="602" w:type="dxa"/>
            <w:tcBorders>
              <w:top w:val="single" w:color="080000" w:sz="4" w:space="0"/>
              <w:left w:val="single" w:color="080000" w:sz="4" w:space="0"/>
              <w:bottom w:val="single" w:color="080000" w:sz="4" w:space="0"/>
              <w:right w:val="single" w:color="080000" w:sz="4" w:space="0"/>
            </w:tcBorders>
            <w:noWrap/>
            <w:vAlign w:val="center"/>
          </w:tcPr>
          <w:p w14:paraId="61F09BB2">
            <w:pPr>
              <w:pStyle w:val="34"/>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w:t>
            </w:r>
          </w:p>
        </w:tc>
        <w:tc>
          <w:tcPr>
            <w:tcW w:w="1527" w:type="dxa"/>
            <w:tcBorders>
              <w:top w:val="single" w:color="080000" w:sz="4" w:space="0"/>
              <w:left w:val="single" w:color="080000" w:sz="4" w:space="0"/>
              <w:bottom w:val="single" w:color="080000" w:sz="4" w:space="0"/>
              <w:right w:val="single" w:color="080000" w:sz="4" w:space="0"/>
            </w:tcBorders>
            <w:noWrap/>
            <w:vAlign w:val="center"/>
          </w:tcPr>
          <w:p w14:paraId="226F03A7">
            <w:pPr>
              <w:pStyle w:val="34"/>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投标相关资料（如有）递交时间</w:t>
            </w:r>
          </w:p>
        </w:tc>
        <w:tc>
          <w:tcPr>
            <w:tcW w:w="7726" w:type="dxa"/>
            <w:tcBorders>
              <w:top w:val="single" w:color="080000" w:sz="4" w:space="0"/>
              <w:left w:val="single" w:color="080000" w:sz="4" w:space="0"/>
              <w:bottom w:val="single" w:color="080000" w:sz="4" w:space="0"/>
              <w:right w:val="single" w:color="080000" w:sz="4" w:space="0"/>
            </w:tcBorders>
            <w:noWrap/>
            <w:vAlign w:val="center"/>
          </w:tcPr>
          <w:p w14:paraId="628FBCF9">
            <w:pPr>
              <w:pStyle w:val="34"/>
              <w:wordWrap w:val="0"/>
              <w:adjustRightInd w:val="0"/>
              <w:snapToGrid w:val="0"/>
              <w:spacing w:line="360" w:lineRule="auto"/>
              <w:ind w:firstLine="240" w:firstLineChars="100"/>
              <w:jc w:val="left"/>
              <w:rPr>
                <w:rFonts w:hint="eastAsia" w:ascii="宋体" w:hAnsi="宋体" w:eastAsia="宋体" w:cs="宋体"/>
                <w:snapToGrid w:val="0"/>
                <w:color w:val="auto"/>
                <w:kern w:val="0"/>
                <w:sz w:val="24"/>
                <w:szCs w:val="24"/>
                <w:highlight w:val="none"/>
                <w:u w:val="none"/>
              </w:rPr>
            </w:pPr>
            <w:r>
              <w:rPr>
                <w:rFonts w:hint="eastAsia" w:ascii="宋体" w:hAnsi="宋体" w:cs="宋体"/>
                <w:snapToGrid w:val="0"/>
                <w:color w:val="auto"/>
                <w:kern w:val="0"/>
                <w:sz w:val="24"/>
                <w:highlight w:val="none"/>
                <w:lang w:val="en-US" w:eastAsia="zh-CN"/>
              </w:rPr>
              <w:t>2025</w:t>
            </w:r>
            <w:r>
              <w:rPr>
                <w:rFonts w:hint="eastAsia" w:ascii="宋体" w:hAnsi="宋体" w:eastAsia="宋体" w:cs="宋体"/>
                <w:snapToGrid w:val="0"/>
                <w:color w:val="auto"/>
                <w:kern w:val="0"/>
                <w:sz w:val="24"/>
                <w:highlight w:val="none"/>
                <w:lang w:val="en-US" w:eastAsia="zh-CN"/>
              </w:rPr>
              <w:t>年</w:t>
            </w:r>
            <w:r>
              <w:rPr>
                <w:rFonts w:hint="eastAsia" w:ascii="宋体" w:hAnsi="宋体" w:cs="宋体"/>
                <w:snapToGrid w:val="0"/>
                <w:color w:val="auto"/>
                <w:kern w:val="0"/>
                <w:sz w:val="24"/>
                <w:highlight w:val="none"/>
                <w:lang w:val="en-US" w:eastAsia="zh-CN"/>
              </w:rPr>
              <w:t>09</w:t>
            </w:r>
            <w:r>
              <w:rPr>
                <w:rFonts w:hint="eastAsia" w:ascii="宋体" w:hAnsi="宋体" w:eastAsia="宋体" w:cs="宋体"/>
                <w:snapToGrid w:val="0"/>
                <w:color w:val="auto"/>
                <w:kern w:val="0"/>
                <w:sz w:val="24"/>
                <w:highlight w:val="none"/>
                <w:lang w:val="en-US" w:eastAsia="zh-CN"/>
              </w:rPr>
              <w:t>月</w:t>
            </w:r>
            <w:r>
              <w:rPr>
                <w:rFonts w:hint="eastAsia" w:ascii="宋体" w:hAnsi="宋体" w:cs="宋体"/>
                <w:snapToGrid w:val="0"/>
                <w:color w:val="auto"/>
                <w:kern w:val="0"/>
                <w:sz w:val="24"/>
                <w:highlight w:val="none"/>
                <w:lang w:val="en-US" w:eastAsia="zh-CN"/>
              </w:rPr>
              <w:t>09</w:t>
            </w:r>
            <w:r>
              <w:rPr>
                <w:rFonts w:hint="eastAsia" w:ascii="宋体" w:hAnsi="宋体" w:eastAsia="宋体" w:cs="宋体"/>
                <w:snapToGrid w:val="0"/>
                <w:color w:val="auto"/>
                <w:kern w:val="0"/>
                <w:sz w:val="24"/>
                <w:highlight w:val="none"/>
                <w:lang w:val="en-US" w:eastAsia="zh-CN"/>
              </w:rPr>
              <w:t>日09时00分</w:t>
            </w:r>
            <w:r>
              <w:rPr>
                <w:rFonts w:hint="eastAsia" w:ascii="宋体" w:hAnsi="宋体" w:eastAsia="宋体" w:cs="宋体"/>
                <w:snapToGrid w:val="0"/>
                <w:color w:val="auto"/>
                <w:kern w:val="0"/>
                <w:sz w:val="24"/>
                <w:szCs w:val="24"/>
                <w:highlight w:val="none"/>
                <w:u w:val="none"/>
              </w:rPr>
              <w:t>至</w:t>
            </w:r>
            <w:r>
              <w:rPr>
                <w:rFonts w:hint="eastAsia" w:ascii="宋体" w:hAnsi="宋体" w:cs="宋体"/>
                <w:snapToGrid w:val="0"/>
                <w:color w:val="auto"/>
                <w:kern w:val="0"/>
                <w:sz w:val="24"/>
                <w:highlight w:val="none"/>
                <w:lang w:val="en-US" w:eastAsia="zh-CN"/>
              </w:rPr>
              <w:t>2025</w:t>
            </w:r>
            <w:r>
              <w:rPr>
                <w:rFonts w:hint="eastAsia" w:ascii="宋体" w:hAnsi="宋体" w:eastAsia="宋体" w:cs="宋体"/>
                <w:snapToGrid w:val="0"/>
                <w:color w:val="auto"/>
                <w:kern w:val="0"/>
                <w:sz w:val="24"/>
                <w:highlight w:val="none"/>
                <w:lang w:val="en-US" w:eastAsia="zh-CN"/>
              </w:rPr>
              <w:t>年</w:t>
            </w:r>
            <w:r>
              <w:rPr>
                <w:rFonts w:hint="eastAsia" w:ascii="宋体" w:hAnsi="宋体" w:cs="宋体"/>
                <w:snapToGrid w:val="0"/>
                <w:color w:val="auto"/>
                <w:kern w:val="0"/>
                <w:sz w:val="24"/>
                <w:highlight w:val="none"/>
                <w:lang w:val="en-US" w:eastAsia="zh-CN"/>
              </w:rPr>
              <w:t>09</w:t>
            </w:r>
            <w:r>
              <w:rPr>
                <w:rFonts w:hint="eastAsia" w:ascii="宋体" w:hAnsi="宋体" w:eastAsia="宋体" w:cs="宋体"/>
                <w:snapToGrid w:val="0"/>
                <w:color w:val="auto"/>
                <w:kern w:val="0"/>
                <w:sz w:val="24"/>
                <w:highlight w:val="none"/>
                <w:lang w:val="en-US" w:eastAsia="zh-CN"/>
              </w:rPr>
              <w:t>月</w:t>
            </w:r>
            <w:r>
              <w:rPr>
                <w:rFonts w:hint="eastAsia" w:ascii="宋体" w:hAnsi="宋体" w:cs="宋体"/>
                <w:snapToGrid w:val="0"/>
                <w:color w:val="auto"/>
                <w:kern w:val="0"/>
                <w:sz w:val="24"/>
                <w:highlight w:val="none"/>
                <w:lang w:val="en-US" w:eastAsia="zh-CN"/>
              </w:rPr>
              <w:t>09</w:t>
            </w:r>
            <w:r>
              <w:rPr>
                <w:rFonts w:hint="eastAsia" w:ascii="宋体" w:hAnsi="宋体" w:eastAsia="宋体" w:cs="宋体"/>
                <w:snapToGrid w:val="0"/>
                <w:color w:val="auto"/>
                <w:kern w:val="0"/>
                <w:sz w:val="24"/>
                <w:highlight w:val="none"/>
                <w:lang w:val="en-US" w:eastAsia="zh-CN"/>
              </w:rPr>
              <w:t>日09时30分</w:t>
            </w:r>
          </w:p>
        </w:tc>
      </w:tr>
      <w:tr w14:paraId="2D1D258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85" w:hRule="exact"/>
          <w:jc w:val="center"/>
        </w:trPr>
        <w:tc>
          <w:tcPr>
            <w:tcW w:w="602" w:type="dxa"/>
            <w:tcBorders>
              <w:top w:val="single" w:color="080000" w:sz="4" w:space="0"/>
              <w:left w:val="single" w:color="080000" w:sz="4" w:space="0"/>
              <w:bottom w:val="single" w:color="080000" w:sz="4" w:space="0"/>
              <w:right w:val="single" w:color="080000" w:sz="4" w:space="0"/>
            </w:tcBorders>
            <w:noWrap/>
            <w:vAlign w:val="center"/>
          </w:tcPr>
          <w:p w14:paraId="72BCF6AA">
            <w:pPr>
              <w:pStyle w:val="34"/>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w:t>
            </w:r>
          </w:p>
        </w:tc>
        <w:tc>
          <w:tcPr>
            <w:tcW w:w="1527" w:type="dxa"/>
            <w:tcBorders>
              <w:top w:val="single" w:color="080000" w:sz="4" w:space="0"/>
              <w:left w:val="single" w:color="080000" w:sz="4" w:space="0"/>
              <w:bottom w:val="single" w:color="080000" w:sz="4" w:space="0"/>
              <w:right w:val="single" w:color="080000" w:sz="4" w:space="0"/>
            </w:tcBorders>
            <w:noWrap/>
            <w:vAlign w:val="center"/>
          </w:tcPr>
          <w:p w14:paraId="2D65EBA6">
            <w:pPr>
              <w:pStyle w:val="34"/>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投标相关资料（如有）递交地点</w:t>
            </w:r>
          </w:p>
        </w:tc>
        <w:tc>
          <w:tcPr>
            <w:tcW w:w="7726" w:type="dxa"/>
            <w:tcBorders>
              <w:top w:val="single" w:color="080000" w:sz="4" w:space="0"/>
              <w:left w:val="single" w:color="080000" w:sz="4" w:space="0"/>
              <w:bottom w:val="single" w:color="080000" w:sz="4" w:space="0"/>
              <w:right w:val="single" w:color="080000" w:sz="4" w:space="0"/>
            </w:tcBorders>
            <w:noWrap/>
            <w:vAlign w:val="center"/>
          </w:tcPr>
          <w:p w14:paraId="4D932D98">
            <w:pPr>
              <w:pStyle w:val="20"/>
              <w:wordWrap w:val="0"/>
              <w:adjustRightInd w:val="0"/>
              <w:snapToGrid w:val="0"/>
              <w:spacing w:line="360" w:lineRule="auto"/>
              <w:ind w:firstLine="240" w:firstLineChars="100"/>
              <w:jc w:val="left"/>
              <w:rPr>
                <w:rFonts w:hint="eastAsia" w:ascii="宋体" w:hAnsi="宋体" w:eastAsia="宋体" w:cs="宋体"/>
                <w:snapToGrid w:val="0"/>
                <w:color w:val="auto"/>
                <w:kern w:val="0"/>
                <w:sz w:val="24"/>
                <w:szCs w:val="24"/>
                <w:highlight w:val="none"/>
                <w:u w:val="none"/>
                <w:lang w:eastAsia="zh-CN"/>
              </w:rPr>
            </w:pPr>
            <w:r>
              <w:rPr>
                <w:rFonts w:hint="eastAsia" w:ascii="宋体" w:hAnsi="宋体" w:eastAsia="宋体" w:cs="宋体"/>
                <w:snapToGrid w:val="0"/>
                <w:color w:val="auto"/>
                <w:kern w:val="0"/>
                <w:sz w:val="24"/>
                <w:szCs w:val="24"/>
                <w:highlight w:val="none"/>
                <w:u w:val="none"/>
                <w:lang w:eastAsia="zh-CN"/>
              </w:rPr>
              <w:t>递交</w:t>
            </w:r>
            <w:r>
              <w:rPr>
                <w:rFonts w:hint="eastAsia" w:ascii="宋体" w:hAnsi="宋体" w:eastAsia="宋体" w:cs="宋体"/>
                <w:snapToGrid w:val="0"/>
                <w:color w:val="auto"/>
                <w:kern w:val="0"/>
                <w:sz w:val="24"/>
                <w:szCs w:val="24"/>
                <w:highlight w:val="none"/>
                <w:u w:val="none"/>
              </w:rPr>
              <w:t>场所：</w:t>
            </w:r>
            <w:r>
              <w:rPr>
                <w:rFonts w:hint="eastAsia" w:ascii="宋体" w:hAnsi="宋体" w:eastAsia="宋体" w:cs="宋体"/>
                <w:snapToGrid w:val="0"/>
                <w:color w:val="auto"/>
                <w:kern w:val="0"/>
                <w:sz w:val="24"/>
                <w:szCs w:val="24"/>
                <w:highlight w:val="none"/>
                <w:u w:val="none"/>
                <w:lang w:val="en-US" w:eastAsia="zh-CN"/>
              </w:rPr>
              <w:t>韶关市公共资源交易中心</w:t>
            </w:r>
          </w:p>
          <w:p w14:paraId="6164DD43">
            <w:pPr>
              <w:pStyle w:val="49"/>
              <w:widowControl w:val="0"/>
              <w:wordWrap w:val="0"/>
              <w:snapToGrid w:val="0"/>
              <w:spacing w:before="0" w:beforeAutospacing="0" w:after="0" w:afterAutospacing="0" w:line="360" w:lineRule="auto"/>
              <w:ind w:firstLine="240" w:firstLineChars="100"/>
              <w:rPr>
                <w:rFonts w:hint="eastAsia" w:ascii="宋体" w:hAnsi="宋体" w:eastAsia="宋体" w:cs="宋体"/>
                <w:snapToGrid w:val="0"/>
                <w:color w:val="auto"/>
                <w:kern w:val="0"/>
                <w:sz w:val="24"/>
                <w:szCs w:val="24"/>
                <w:highlight w:val="none"/>
                <w:u w:val="none"/>
                <w:lang w:eastAsia="zh-CN"/>
              </w:rPr>
            </w:pPr>
            <w:r>
              <w:rPr>
                <w:rFonts w:hint="eastAsia" w:ascii="宋体" w:hAnsi="宋体" w:eastAsia="宋体" w:cs="宋体"/>
                <w:snapToGrid w:val="0"/>
                <w:color w:val="auto"/>
                <w:kern w:val="0"/>
                <w:sz w:val="24"/>
                <w:szCs w:val="24"/>
                <w:highlight w:val="none"/>
                <w:u w:val="none"/>
              </w:rPr>
              <w:t>地址：</w:t>
            </w:r>
            <w:r>
              <w:rPr>
                <w:rFonts w:hint="eastAsia" w:ascii="宋体" w:hAnsi="宋体" w:eastAsia="宋体" w:cs="宋体"/>
                <w:snapToGrid w:val="0"/>
                <w:color w:val="auto"/>
                <w:kern w:val="0"/>
                <w:sz w:val="24"/>
                <w:szCs w:val="24"/>
                <w:highlight w:val="none"/>
              </w:rPr>
              <w:t>广东省韶关市武江区西联镇</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具体房间号以当日现场通知为准</w:t>
            </w:r>
            <w:r>
              <w:rPr>
                <w:rFonts w:hint="eastAsia" w:ascii="宋体" w:hAnsi="宋体" w:eastAsia="宋体" w:cs="宋体"/>
                <w:snapToGrid w:val="0"/>
                <w:color w:val="auto"/>
                <w:kern w:val="0"/>
                <w:sz w:val="24"/>
                <w:szCs w:val="24"/>
                <w:highlight w:val="none"/>
                <w:lang w:eastAsia="zh-CN"/>
              </w:rPr>
              <w:t>。</w:t>
            </w:r>
          </w:p>
        </w:tc>
      </w:tr>
      <w:tr w14:paraId="1C05BFD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95" w:hRule="exact"/>
          <w:jc w:val="center"/>
        </w:trPr>
        <w:tc>
          <w:tcPr>
            <w:tcW w:w="602" w:type="dxa"/>
            <w:tcBorders>
              <w:top w:val="single" w:color="080000" w:sz="4" w:space="0"/>
              <w:left w:val="single" w:color="080000" w:sz="4" w:space="0"/>
              <w:bottom w:val="single" w:color="080000" w:sz="4" w:space="0"/>
              <w:right w:val="single" w:color="080000" w:sz="4" w:space="0"/>
            </w:tcBorders>
            <w:noWrap/>
            <w:vAlign w:val="center"/>
          </w:tcPr>
          <w:p w14:paraId="1CD38B72">
            <w:pPr>
              <w:pStyle w:val="34"/>
              <w:wordWrap w:val="0"/>
              <w:adjustRightInd w:val="0"/>
              <w:snapToGrid w:val="0"/>
              <w:spacing w:line="360" w:lineRule="auto"/>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9</w:t>
            </w:r>
          </w:p>
        </w:tc>
        <w:tc>
          <w:tcPr>
            <w:tcW w:w="1527" w:type="dxa"/>
            <w:tcBorders>
              <w:top w:val="single" w:color="080000" w:sz="4" w:space="0"/>
              <w:left w:val="single" w:color="080000" w:sz="4" w:space="0"/>
              <w:bottom w:val="single" w:color="080000" w:sz="4" w:space="0"/>
              <w:right w:val="single" w:color="080000" w:sz="4" w:space="0"/>
            </w:tcBorders>
            <w:noWrap/>
            <w:vAlign w:val="center"/>
          </w:tcPr>
          <w:p w14:paraId="097BBC34">
            <w:pPr>
              <w:pStyle w:val="34"/>
              <w:wordWrap w:val="0"/>
              <w:adjustRightInd w:val="0"/>
              <w:snapToGrid w:val="0"/>
              <w:spacing w:line="360" w:lineRule="auto"/>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开标时间</w:t>
            </w:r>
          </w:p>
        </w:tc>
        <w:tc>
          <w:tcPr>
            <w:tcW w:w="7726" w:type="dxa"/>
            <w:tcBorders>
              <w:top w:val="single" w:color="080000" w:sz="4" w:space="0"/>
              <w:left w:val="single" w:color="080000" w:sz="4" w:space="0"/>
              <w:bottom w:val="single" w:color="080000" w:sz="4" w:space="0"/>
              <w:right w:val="single" w:color="080000" w:sz="4" w:space="0"/>
            </w:tcBorders>
            <w:noWrap/>
            <w:vAlign w:val="center"/>
          </w:tcPr>
          <w:p w14:paraId="6B807D9F">
            <w:pPr>
              <w:pStyle w:val="34"/>
              <w:wordWrap w:val="0"/>
              <w:adjustRightInd w:val="0"/>
              <w:snapToGrid w:val="0"/>
              <w:spacing w:line="360" w:lineRule="auto"/>
              <w:jc w:val="both"/>
              <w:rPr>
                <w:rFonts w:hint="eastAsia" w:ascii="宋体" w:hAnsi="宋体" w:eastAsia="宋体" w:cs="宋体"/>
                <w:snapToGrid w:val="0"/>
                <w:color w:val="auto"/>
                <w:kern w:val="0"/>
                <w:sz w:val="24"/>
                <w:highlight w:val="none"/>
              </w:rPr>
            </w:pPr>
            <w:r>
              <w:rPr>
                <w:rFonts w:hint="eastAsia" w:ascii="宋体" w:hAnsi="宋体" w:cs="宋体"/>
                <w:snapToGrid w:val="0"/>
                <w:color w:val="auto"/>
                <w:kern w:val="0"/>
                <w:sz w:val="24"/>
                <w:szCs w:val="24"/>
                <w:highlight w:val="none"/>
                <w:u w:val="none"/>
                <w:lang w:val="en-US" w:eastAsia="zh-CN"/>
              </w:rPr>
              <w:t xml:space="preserve">  </w:t>
            </w:r>
            <w:r>
              <w:rPr>
                <w:rFonts w:hint="eastAsia" w:ascii="宋体" w:hAnsi="宋体" w:cs="宋体"/>
                <w:snapToGrid w:val="0"/>
                <w:color w:val="auto"/>
                <w:kern w:val="0"/>
                <w:sz w:val="24"/>
                <w:highlight w:val="none"/>
                <w:lang w:val="en-US" w:eastAsia="zh-CN"/>
              </w:rPr>
              <w:t>2025</w:t>
            </w:r>
            <w:r>
              <w:rPr>
                <w:rFonts w:hint="eastAsia" w:ascii="宋体" w:hAnsi="宋体" w:eastAsia="宋体" w:cs="宋体"/>
                <w:snapToGrid w:val="0"/>
                <w:color w:val="auto"/>
                <w:kern w:val="0"/>
                <w:sz w:val="24"/>
                <w:highlight w:val="none"/>
                <w:lang w:val="en-US" w:eastAsia="zh-CN"/>
              </w:rPr>
              <w:t>年</w:t>
            </w:r>
            <w:r>
              <w:rPr>
                <w:rFonts w:hint="eastAsia" w:ascii="宋体" w:hAnsi="宋体" w:cs="宋体"/>
                <w:snapToGrid w:val="0"/>
                <w:color w:val="auto"/>
                <w:kern w:val="0"/>
                <w:sz w:val="24"/>
                <w:highlight w:val="none"/>
                <w:lang w:val="en-US" w:eastAsia="zh-CN"/>
              </w:rPr>
              <w:t>09</w:t>
            </w:r>
            <w:r>
              <w:rPr>
                <w:rFonts w:hint="eastAsia" w:ascii="宋体" w:hAnsi="宋体" w:eastAsia="宋体" w:cs="宋体"/>
                <w:snapToGrid w:val="0"/>
                <w:color w:val="auto"/>
                <w:kern w:val="0"/>
                <w:sz w:val="24"/>
                <w:highlight w:val="none"/>
                <w:lang w:val="en-US" w:eastAsia="zh-CN"/>
              </w:rPr>
              <w:t>月</w:t>
            </w:r>
            <w:r>
              <w:rPr>
                <w:rFonts w:hint="eastAsia" w:ascii="宋体" w:hAnsi="宋体" w:cs="宋体"/>
                <w:snapToGrid w:val="0"/>
                <w:color w:val="auto"/>
                <w:kern w:val="0"/>
                <w:sz w:val="24"/>
                <w:highlight w:val="none"/>
                <w:lang w:val="en-US" w:eastAsia="zh-CN"/>
              </w:rPr>
              <w:t>09</w:t>
            </w:r>
            <w:r>
              <w:rPr>
                <w:rFonts w:hint="eastAsia" w:ascii="宋体" w:hAnsi="宋体" w:eastAsia="宋体" w:cs="宋体"/>
                <w:snapToGrid w:val="0"/>
                <w:color w:val="auto"/>
                <w:kern w:val="0"/>
                <w:sz w:val="24"/>
                <w:highlight w:val="none"/>
                <w:lang w:val="en-US" w:eastAsia="zh-CN"/>
              </w:rPr>
              <w:t>日09时30分</w:t>
            </w:r>
          </w:p>
        </w:tc>
      </w:tr>
      <w:tr w14:paraId="5BB9412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82" w:hRule="exact"/>
          <w:jc w:val="center"/>
        </w:trPr>
        <w:tc>
          <w:tcPr>
            <w:tcW w:w="602" w:type="dxa"/>
            <w:tcBorders>
              <w:top w:val="single" w:color="080000" w:sz="4" w:space="0"/>
              <w:left w:val="single" w:color="080000" w:sz="4" w:space="0"/>
              <w:bottom w:val="single" w:color="080000" w:sz="4" w:space="0"/>
              <w:right w:val="single" w:color="080000" w:sz="4" w:space="0"/>
            </w:tcBorders>
            <w:noWrap/>
            <w:vAlign w:val="center"/>
          </w:tcPr>
          <w:p w14:paraId="3E6761C9">
            <w:pPr>
              <w:pStyle w:val="34"/>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w:t>
            </w:r>
          </w:p>
        </w:tc>
        <w:tc>
          <w:tcPr>
            <w:tcW w:w="1527" w:type="dxa"/>
            <w:tcBorders>
              <w:top w:val="single" w:color="080000" w:sz="4" w:space="0"/>
              <w:left w:val="single" w:color="080000" w:sz="4" w:space="0"/>
              <w:bottom w:val="single" w:color="080000" w:sz="4" w:space="0"/>
              <w:right w:val="single" w:color="080000" w:sz="4" w:space="0"/>
            </w:tcBorders>
            <w:noWrap/>
            <w:vAlign w:val="center"/>
          </w:tcPr>
          <w:p w14:paraId="06ACC4E8">
            <w:pPr>
              <w:pStyle w:val="34"/>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开标地点</w:t>
            </w:r>
          </w:p>
        </w:tc>
        <w:tc>
          <w:tcPr>
            <w:tcW w:w="7726" w:type="dxa"/>
            <w:tcBorders>
              <w:top w:val="single" w:color="080000" w:sz="4" w:space="0"/>
              <w:left w:val="single" w:color="080000" w:sz="4" w:space="0"/>
              <w:bottom w:val="single" w:color="080000" w:sz="4" w:space="0"/>
              <w:right w:val="single" w:color="080000" w:sz="4" w:space="0"/>
            </w:tcBorders>
            <w:noWrap/>
            <w:vAlign w:val="center"/>
          </w:tcPr>
          <w:p w14:paraId="50EB6ACD">
            <w:pPr>
              <w:pStyle w:val="20"/>
              <w:wordWrap w:val="0"/>
              <w:adjustRightInd w:val="0"/>
              <w:snapToGrid w:val="0"/>
              <w:spacing w:line="360" w:lineRule="auto"/>
              <w:ind w:firstLine="240" w:firstLineChars="100"/>
              <w:jc w:val="left"/>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开标场所：</w:t>
            </w:r>
            <w:r>
              <w:rPr>
                <w:rFonts w:hint="eastAsia" w:ascii="宋体" w:hAnsi="宋体" w:eastAsia="宋体" w:cs="宋体"/>
                <w:snapToGrid w:val="0"/>
                <w:color w:val="auto"/>
                <w:kern w:val="0"/>
                <w:sz w:val="24"/>
                <w:szCs w:val="24"/>
                <w:highlight w:val="none"/>
                <w:lang w:val="en-US" w:eastAsia="zh-CN"/>
              </w:rPr>
              <w:t>韶关市公共资源交易中心</w:t>
            </w:r>
          </w:p>
          <w:p w14:paraId="59F1C8C1">
            <w:pPr>
              <w:pStyle w:val="49"/>
              <w:widowControl w:val="0"/>
              <w:wordWrap w:val="0"/>
              <w:snapToGrid w:val="0"/>
              <w:spacing w:before="0" w:beforeAutospacing="0" w:after="0" w:afterAutospacing="0" w:line="360" w:lineRule="auto"/>
              <w:ind w:firstLine="240" w:firstLineChars="1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地址：广东省韶关市武江区西联镇</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具体房间号以当日现场通知为准。</w:t>
            </w:r>
          </w:p>
        </w:tc>
      </w:tr>
      <w:tr w14:paraId="5D5E8F4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83" w:hRule="exact"/>
          <w:jc w:val="center"/>
        </w:trPr>
        <w:tc>
          <w:tcPr>
            <w:tcW w:w="602" w:type="dxa"/>
            <w:tcBorders>
              <w:top w:val="single" w:color="080000" w:sz="4" w:space="0"/>
              <w:left w:val="single" w:color="080000" w:sz="4" w:space="0"/>
              <w:bottom w:val="single" w:color="080000" w:sz="4" w:space="0"/>
              <w:right w:val="single" w:color="080000" w:sz="4" w:space="0"/>
            </w:tcBorders>
            <w:noWrap/>
            <w:vAlign w:val="center"/>
          </w:tcPr>
          <w:p w14:paraId="4B2B6B00">
            <w:pPr>
              <w:pStyle w:val="34"/>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w:t>
            </w:r>
          </w:p>
        </w:tc>
        <w:tc>
          <w:tcPr>
            <w:tcW w:w="1527" w:type="dxa"/>
            <w:tcBorders>
              <w:top w:val="single" w:color="080000" w:sz="4" w:space="0"/>
              <w:left w:val="single" w:color="080000" w:sz="4" w:space="0"/>
              <w:bottom w:val="single" w:color="080000" w:sz="4" w:space="0"/>
              <w:right w:val="single" w:color="080000" w:sz="4" w:space="0"/>
            </w:tcBorders>
            <w:noWrap/>
            <w:vAlign w:val="center"/>
          </w:tcPr>
          <w:p w14:paraId="3FFA4335">
            <w:pPr>
              <w:pStyle w:val="34"/>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其他</w:t>
            </w:r>
          </w:p>
        </w:tc>
        <w:tc>
          <w:tcPr>
            <w:tcW w:w="7726" w:type="dxa"/>
            <w:tcBorders>
              <w:top w:val="single" w:color="080000" w:sz="4" w:space="0"/>
              <w:left w:val="single" w:color="080000" w:sz="4" w:space="0"/>
              <w:bottom w:val="single" w:color="080000" w:sz="4" w:space="0"/>
              <w:right w:val="single" w:color="080000" w:sz="4" w:space="0"/>
            </w:tcBorders>
            <w:noWrap/>
            <w:vAlign w:val="center"/>
          </w:tcPr>
          <w:p w14:paraId="62484FFA">
            <w:pPr>
              <w:pStyle w:val="20"/>
              <w:wordWrap w:val="0"/>
              <w:adjustRightInd w:val="0"/>
              <w:snapToGrid w:val="0"/>
              <w:spacing w:line="360" w:lineRule="auto"/>
              <w:ind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shd w:val="clear" w:color="auto" w:fill="FFFFFF"/>
              </w:rPr>
              <w:t>投标人应按有关计划时间安排办理企业CA认证、企业入库等，获取招标文件后自行下载招标文件、资料文件及招标答疑书等。若由于投标人自身原因未能及时取得上述资料的，由此发生的任何责任由投标人自负。</w:t>
            </w:r>
          </w:p>
        </w:tc>
      </w:tr>
    </w:tbl>
    <w:p w14:paraId="783CCCE4">
      <w:pPr>
        <w:rPr>
          <w:rFonts w:hint="eastAsia" w:ascii="宋体" w:hAnsi="宋体" w:eastAsia="宋体" w:cs="宋体"/>
        </w:rPr>
      </w:pPr>
    </w:p>
    <w:p w14:paraId="0C391831">
      <w:pPr>
        <w:rPr>
          <w:rFonts w:hint="eastAsia" w:ascii="宋体" w:hAnsi="宋体" w:eastAsia="宋体" w:cs="宋体"/>
        </w:rPr>
      </w:pPr>
    </w:p>
    <w:p w14:paraId="06F3CE5A">
      <w:pPr>
        <w:rPr>
          <w:rFonts w:hint="eastAsia" w:ascii="宋体" w:hAnsi="宋体" w:eastAsia="宋体" w:cs="宋体"/>
        </w:rPr>
      </w:pPr>
    </w:p>
    <w:p w14:paraId="10FF82C7">
      <w:pPr>
        <w:rPr>
          <w:rFonts w:hint="eastAsia" w:ascii="宋体" w:hAnsi="宋体" w:eastAsia="宋体" w:cs="宋体"/>
        </w:rPr>
      </w:pPr>
    </w:p>
    <w:p w14:paraId="4740C1D3">
      <w:pPr>
        <w:rPr>
          <w:rFonts w:hint="eastAsia" w:ascii="宋体" w:hAnsi="宋体" w:eastAsia="宋体" w:cs="宋体"/>
        </w:rPr>
      </w:pPr>
    </w:p>
    <w:p w14:paraId="4E3F0761">
      <w:pPr>
        <w:rPr>
          <w:rFonts w:hint="eastAsia" w:ascii="宋体" w:hAnsi="宋体" w:eastAsia="宋体" w:cs="宋体"/>
        </w:rPr>
      </w:pPr>
    </w:p>
    <w:p w14:paraId="11E1D095">
      <w:pPr>
        <w:rPr>
          <w:rFonts w:hint="eastAsia" w:ascii="宋体" w:hAnsi="宋体" w:eastAsia="宋体" w:cs="宋体"/>
        </w:rPr>
      </w:pPr>
    </w:p>
    <w:p w14:paraId="6187EEB5">
      <w:pPr>
        <w:rPr>
          <w:rFonts w:hint="eastAsia" w:ascii="宋体" w:hAnsi="宋体" w:eastAsia="宋体" w:cs="宋体"/>
        </w:rPr>
      </w:pPr>
    </w:p>
    <w:p w14:paraId="73C561D0">
      <w:pPr>
        <w:rPr>
          <w:rFonts w:hint="eastAsia" w:ascii="宋体" w:hAnsi="宋体" w:eastAsia="宋体" w:cs="宋体"/>
        </w:rPr>
      </w:pPr>
      <w:bookmarkStart w:id="9" w:name="_Toc29292"/>
    </w:p>
    <w:p w14:paraId="12CA5012">
      <w:pPr>
        <w:spacing w:before="156" w:line="360" w:lineRule="auto"/>
        <w:ind w:left="17"/>
        <w:outlineLvl w:val="1"/>
        <w:rPr>
          <w:rFonts w:hint="eastAsia" w:ascii="宋体" w:hAnsi="宋体" w:eastAsia="宋体" w:cs="宋体"/>
          <w:b/>
          <w:bCs/>
          <w:color w:val="auto"/>
          <w:spacing w:val="-3"/>
          <w:sz w:val="24"/>
          <w:szCs w:val="24"/>
          <w:highlight w:val="none"/>
        </w:rPr>
      </w:pPr>
      <w:bookmarkStart w:id="10" w:name="_Toc14940"/>
      <w:r>
        <w:rPr>
          <w:rFonts w:hint="eastAsia" w:ascii="宋体" w:hAnsi="宋体" w:eastAsia="宋体" w:cs="宋体"/>
          <w:b/>
          <w:bCs/>
          <w:color w:val="auto"/>
          <w:spacing w:val="-3"/>
          <w:sz w:val="24"/>
          <w:szCs w:val="24"/>
          <w:highlight w:val="none"/>
        </w:rPr>
        <w:t>第三节</w:t>
      </w:r>
      <w:r>
        <w:rPr>
          <w:rFonts w:hint="eastAsia" w:ascii="宋体" w:hAnsi="宋体" w:eastAsia="宋体" w:cs="宋体"/>
          <w:b/>
          <w:bCs/>
          <w:color w:val="auto"/>
          <w:spacing w:val="-3"/>
          <w:sz w:val="24"/>
          <w:szCs w:val="24"/>
          <w:highlight w:val="none"/>
          <w:lang w:val="en-US" w:eastAsia="zh-CN"/>
        </w:rPr>
        <w:t xml:space="preserve">   </w:t>
      </w:r>
      <w:r>
        <w:rPr>
          <w:rFonts w:hint="eastAsia" w:ascii="宋体" w:hAnsi="宋体" w:eastAsia="宋体" w:cs="宋体"/>
          <w:b/>
          <w:bCs/>
          <w:color w:val="auto"/>
          <w:spacing w:val="-3"/>
          <w:sz w:val="24"/>
          <w:szCs w:val="24"/>
          <w:highlight w:val="none"/>
        </w:rPr>
        <w:t>投标人须知正文</w:t>
      </w:r>
      <w:bookmarkEnd w:id="9"/>
      <w:bookmarkEnd w:id="10"/>
    </w:p>
    <w:p w14:paraId="4094FC0C">
      <w:pPr>
        <w:keepNext w:val="0"/>
        <w:keepLines w:val="0"/>
        <w:pageBreakBefore w:val="0"/>
        <w:widowControl/>
        <w:suppressLineNumbers w:val="0"/>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snapToGrid w:val="0"/>
          <w:color w:val="auto"/>
          <w:sz w:val="24"/>
          <w:szCs w:val="24"/>
          <w:highlight w:val="none"/>
        </w:rPr>
      </w:pPr>
      <w:bookmarkStart w:id="11" w:name="_Toc24668"/>
      <w:r>
        <w:rPr>
          <w:rFonts w:hint="eastAsia" w:ascii="宋体" w:hAnsi="宋体" w:eastAsia="宋体" w:cs="宋体"/>
          <w:b w:val="0"/>
          <w:bCs w:val="0"/>
          <w:caps w:val="0"/>
          <w:smallCaps w:val="0"/>
          <w:snapToGrid w:val="0"/>
          <w:color w:val="auto"/>
          <w:spacing w:val="0"/>
          <w:kern w:val="0"/>
          <w:sz w:val="24"/>
          <w:szCs w:val="24"/>
          <w:highlight w:val="none"/>
          <w:u w:val="single"/>
          <w:lang w:val="en-US" w:eastAsia="zh-CN"/>
        </w:rPr>
        <w:t>武江区重阳镇水口及大夫前村农产业示范带配套基础设施提升项目</w:t>
      </w: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经</w:t>
      </w:r>
      <w:r>
        <w:rPr>
          <w:rFonts w:hint="eastAsia" w:ascii="宋体" w:hAnsi="宋体" w:eastAsia="宋体" w:cs="宋体"/>
          <w:b w:val="0"/>
          <w:bCs w:val="0"/>
          <w:caps w:val="0"/>
          <w:smallCaps w:val="0"/>
          <w:snapToGrid w:val="0"/>
          <w:color w:val="auto"/>
          <w:spacing w:val="0"/>
          <w:kern w:val="0"/>
          <w:sz w:val="24"/>
          <w:szCs w:val="24"/>
          <w:highlight w:val="none"/>
          <w:u w:val="single"/>
          <w:lang w:val="en-US" w:eastAsia="zh-CN"/>
        </w:rPr>
        <w:t>韶关市武江区发展和改革局以《韶关市武江区发展和改革局关于武江区重阳镇水口及大夫前村农产业示范带配套基础设施提升项目可行性研究报告的批复》（韶武发改投审[2023]79号）；韶关市武江区发展和改革局以《韶关市武江区发展和改革局关于武江区重阳镇水口及大夫前村农产业示范带配套基础设施提升项目初步设计概算的批复》（韶武发改投审[2024]22号 ）</w:t>
      </w: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，项目代码为</w:t>
      </w:r>
      <w:r>
        <w:rPr>
          <w:rFonts w:hint="eastAsia" w:ascii="宋体" w:hAnsi="宋体" w:eastAsia="宋体" w:cs="宋体"/>
          <w:b w:val="0"/>
          <w:bCs w:val="0"/>
          <w:caps w:val="0"/>
          <w:smallCaps w:val="0"/>
          <w:snapToGrid w:val="0"/>
          <w:color w:val="auto"/>
          <w:spacing w:val="0"/>
          <w:kern w:val="0"/>
          <w:sz w:val="24"/>
          <w:szCs w:val="24"/>
          <w:highlight w:val="none"/>
          <w:u w:val="single"/>
          <w:lang w:val="en-US" w:eastAsia="zh-CN"/>
        </w:rPr>
        <w:t>2309-440203-20-01-828782</w:t>
      </w: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。批准建设本项目业主</w:t>
      </w:r>
      <w:r>
        <w:rPr>
          <w:rFonts w:hint="eastAsia" w:ascii="宋体" w:hAnsi="宋体" w:eastAsia="宋体" w:cs="宋体"/>
          <w:b w:val="0"/>
          <w:bCs w:val="0"/>
          <w:caps w:val="0"/>
          <w:smallCaps w:val="0"/>
          <w:snapToGrid w:val="0"/>
          <w:color w:val="auto"/>
          <w:spacing w:val="0"/>
          <w:kern w:val="0"/>
          <w:sz w:val="24"/>
          <w:szCs w:val="24"/>
          <w:highlight w:val="none"/>
          <w:u w:val="single"/>
          <w:lang w:val="en-US" w:eastAsia="zh-CN"/>
        </w:rPr>
        <w:t>为韶关市武江区重阳镇人民政府</w:t>
      </w: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，建设资金来自为</w:t>
      </w:r>
      <w:r>
        <w:rPr>
          <w:rFonts w:hint="eastAsia" w:ascii="宋体" w:hAnsi="宋体" w:eastAsia="宋体" w:cs="宋体"/>
          <w:b w:val="0"/>
          <w:bCs w:val="0"/>
          <w:caps w:val="0"/>
          <w:smallCaps w:val="0"/>
          <w:snapToGrid w:val="0"/>
          <w:color w:val="auto"/>
          <w:spacing w:val="0"/>
          <w:kern w:val="0"/>
          <w:sz w:val="24"/>
          <w:szCs w:val="24"/>
          <w:highlight w:val="none"/>
          <w:u w:val="single"/>
          <w:lang w:val="en-US" w:eastAsia="zh-CN"/>
        </w:rPr>
        <w:t>区财政统筹</w:t>
      </w: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，出资比例为</w:t>
      </w:r>
      <w:r>
        <w:rPr>
          <w:rFonts w:hint="eastAsia" w:ascii="宋体" w:hAnsi="宋体" w:eastAsia="宋体" w:cs="宋体"/>
          <w:b w:val="0"/>
          <w:bCs w:val="0"/>
          <w:caps w:val="0"/>
          <w:smallCaps w:val="0"/>
          <w:snapToGrid w:val="0"/>
          <w:color w:val="auto"/>
          <w:spacing w:val="0"/>
          <w:kern w:val="0"/>
          <w:sz w:val="24"/>
          <w:szCs w:val="24"/>
          <w:highlight w:val="none"/>
          <w:u w:val="single"/>
          <w:lang w:val="en-US" w:eastAsia="zh-CN"/>
        </w:rPr>
        <w:t>100%</w:t>
      </w: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，招标人为</w:t>
      </w:r>
      <w:r>
        <w:rPr>
          <w:rFonts w:hint="eastAsia" w:ascii="宋体" w:hAnsi="宋体" w:eastAsia="宋体" w:cs="宋体"/>
          <w:b w:val="0"/>
          <w:bCs w:val="0"/>
          <w:caps w:val="0"/>
          <w:smallCaps w:val="0"/>
          <w:snapToGrid w:val="0"/>
          <w:color w:val="auto"/>
          <w:spacing w:val="0"/>
          <w:kern w:val="0"/>
          <w:sz w:val="24"/>
          <w:szCs w:val="24"/>
          <w:highlight w:val="none"/>
          <w:u w:val="single"/>
          <w:lang w:val="en-US" w:eastAsia="zh-CN"/>
        </w:rPr>
        <w:t>韶关市武江区重阳镇人民政府</w:t>
      </w: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，招标代理机构为</w:t>
      </w:r>
      <w:r>
        <w:rPr>
          <w:rFonts w:hint="eastAsia" w:ascii="宋体" w:hAnsi="宋体" w:eastAsia="宋体" w:cs="宋体"/>
          <w:b w:val="0"/>
          <w:bCs w:val="0"/>
          <w:caps w:val="0"/>
          <w:smallCaps w:val="0"/>
          <w:snapToGrid w:val="0"/>
          <w:color w:val="auto"/>
          <w:spacing w:val="0"/>
          <w:kern w:val="0"/>
          <w:sz w:val="24"/>
          <w:szCs w:val="24"/>
          <w:highlight w:val="none"/>
          <w:u w:val="single"/>
          <w:lang w:val="en-US" w:eastAsia="zh-CN"/>
        </w:rPr>
        <w:t>广东宝骏工程咨询有限公司</w:t>
      </w: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。项目已具备招标条件，现对该项目的</w:t>
      </w:r>
      <w:r>
        <w:rPr>
          <w:rFonts w:hint="eastAsia" w:ascii="宋体" w:hAnsi="宋体" w:eastAsia="宋体" w:cs="宋体"/>
          <w:b w:val="0"/>
          <w:bCs w:val="0"/>
          <w:caps w:val="0"/>
          <w:smallCaps w:val="0"/>
          <w:snapToGrid w:val="0"/>
          <w:color w:val="auto"/>
          <w:spacing w:val="0"/>
          <w:kern w:val="0"/>
          <w:sz w:val="24"/>
          <w:szCs w:val="24"/>
          <w:highlight w:val="none"/>
          <w:u w:val="single"/>
          <w:lang w:val="en-US" w:eastAsia="zh-CN"/>
        </w:rPr>
        <w:t>施工</w:t>
      </w: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进行</w:t>
      </w:r>
      <w:r>
        <w:rPr>
          <w:rFonts w:hint="eastAsia" w:ascii="宋体" w:hAnsi="宋体" w:eastAsia="宋体" w:cs="宋体"/>
          <w:b w:val="0"/>
          <w:bCs w:val="0"/>
          <w:caps w:val="0"/>
          <w:smallCaps w:val="0"/>
          <w:snapToGrid w:val="0"/>
          <w:color w:val="auto"/>
          <w:spacing w:val="0"/>
          <w:kern w:val="0"/>
          <w:sz w:val="24"/>
          <w:szCs w:val="24"/>
          <w:highlight w:val="none"/>
          <w:u w:val="single"/>
          <w:lang w:val="en-US" w:eastAsia="zh-CN"/>
        </w:rPr>
        <w:t>公开招标。</w:t>
      </w:r>
    </w:p>
    <w:p w14:paraId="55C36900">
      <w:pPr>
        <w:spacing w:before="78" w:line="360" w:lineRule="auto"/>
        <w:ind w:left="496"/>
        <w:outlineLvl w:val="2"/>
        <w:rPr>
          <w:rFonts w:hint="eastAsia" w:ascii="宋体" w:hAnsi="宋体" w:eastAsia="宋体" w:cs="宋体"/>
          <w:color w:val="auto"/>
          <w:sz w:val="24"/>
          <w:szCs w:val="24"/>
          <w:highlight w:val="none"/>
        </w:rPr>
      </w:pPr>
      <w:bookmarkStart w:id="12" w:name="_Toc28909"/>
      <w:r>
        <w:rPr>
          <w:rFonts w:hint="eastAsia" w:ascii="宋体" w:hAnsi="宋体" w:eastAsia="宋体" w:cs="宋体"/>
          <w:b/>
          <w:bCs/>
          <w:color w:val="auto"/>
          <w:spacing w:val="-4"/>
          <w:sz w:val="24"/>
          <w:szCs w:val="24"/>
          <w:highlight w:val="none"/>
        </w:rPr>
        <w:t>1</w:t>
      </w:r>
      <w:r>
        <w:rPr>
          <w:rFonts w:hint="eastAsia" w:ascii="宋体" w:hAnsi="宋体" w:eastAsia="宋体" w:cs="宋体"/>
          <w:b/>
          <w:bCs/>
          <w:color w:val="auto"/>
          <w:spacing w:val="-23"/>
          <w:sz w:val="24"/>
          <w:szCs w:val="24"/>
          <w:highlight w:val="none"/>
          <w:lang w:eastAsia="zh-CN"/>
        </w:rPr>
        <w:t>.</w:t>
      </w:r>
      <w:r>
        <w:rPr>
          <w:rFonts w:hint="eastAsia" w:ascii="宋体" w:hAnsi="宋体" w:eastAsia="宋体" w:cs="宋体"/>
          <w:b/>
          <w:bCs/>
          <w:color w:val="auto"/>
          <w:spacing w:val="-4"/>
          <w:sz w:val="24"/>
          <w:szCs w:val="24"/>
          <w:highlight w:val="none"/>
        </w:rPr>
        <w:t>项目概况、招标范围和标段划分、投标费用等</w:t>
      </w:r>
      <w:bookmarkEnd w:id="11"/>
      <w:bookmarkEnd w:id="12"/>
    </w:p>
    <w:p w14:paraId="6512D44E">
      <w:pPr>
        <w:numPr>
          <w:ilvl w:val="1"/>
          <w:numId w:val="0"/>
        </w:numPr>
        <w:spacing w:before="151" w:line="360" w:lineRule="auto"/>
        <w:ind w:left="496" w:leftChars="0" w:firstLine="0" w:firstLineChars="0"/>
        <w:rPr>
          <w:rFonts w:hint="eastAsia" w:ascii="宋体" w:hAnsi="宋体" w:eastAsia="宋体" w:cs="宋体"/>
          <w:color w:val="auto"/>
          <w:spacing w:val="-5"/>
          <w:sz w:val="24"/>
          <w:szCs w:val="24"/>
          <w:highlight w:val="none"/>
        </w:rPr>
      </w:pPr>
      <w:r>
        <w:rPr>
          <w:rFonts w:hint="eastAsia" w:ascii="宋体" w:hAnsi="宋体" w:eastAsia="宋体" w:cs="宋体"/>
          <w:b/>
          <w:bCs/>
          <w:snapToGrid w:val="0"/>
          <w:color w:val="auto"/>
          <w:spacing w:val="-5"/>
          <w:sz w:val="24"/>
          <w:szCs w:val="24"/>
          <w:lang w:val="en-US" w:eastAsia="en-US" w:bidi="ar-SA"/>
        </w:rPr>
        <w:t>1.1</w:t>
      </w:r>
      <w:r>
        <w:rPr>
          <w:rFonts w:hint="eastAsia" w:ascii="宋体" w:hAnsi="宋体" w:eastAsia="宋体" w:cs="宋体"/>
          <w:b/>
          <w:bCs/>
          <w:color w:val="auto"/>
          <w:spacing w:val="9"/>
          <w:sz w:val="24"/>
          <w:szCs w:val="24"/>
          <w:highlight w:val="none"/>
        </w:rPr>
        <w:t xml:space="preserve"> </w:t>
      </w:r>
      <w:r>
        <w:rPr>
          <w:rFonts w:hint="eastAsia" w:ascii="宋体" w:hAnsi="宋体" w:eastAsia="宋体" w:cs="宋体"/>
          <w:b/>
          <w:bCs/>
          <w:color w:val="auto"/>
          <w:spacing w:val="9"/>
          <w:sz w:val="24"/>
          <w:szCs w:val="24"/>
          <w:highlight w:val="none"/>
          <w:lang w:val="en-US" w:eastAsia="zh-CN"/>
        </w:rPr>
        <w:t xml:space="preserve"> </w:t>
      </w:r>
      <w:r>
        <w:rPr>
          <w:rFonts w:hint="eastAsia" w:ascii="宋体" w:hAnsi="宋体" w:eastAsia="宋体" w:cs="宋体"/>
          <w:color w:val="auto"/>
          <w:spacing w:val="-5"/>
          <w:sz w:val="24"/>
          <w:szCs w:val="24"/>
          <w:highlight w:val="none"/>
        </w:rPr>
        <w:t>项目概况</w:t>
      </w:r>
    </w:p>
    <w:p w14:paraId="6C0E213B">
      <w:pPr>
        <w:numPr>
          <w:ilvl w:val="0"/>
          <w:numId w:val="0"/>
        </w:numPr>
        <w:spacing w:before="151" w:line="360" w:lineRule="auto"/>
        <w:ind w:left="496" w:leftChars="0"/>
        <w:rPr>
          <w:rFonts w:hint="eastAsia" w:ascii="宋体" w:hAnsi="宋体" w:eastAsia="宋体" w:cs="宋体"/>
          <w:color w:val="auto"/>
          <w:sz w:val="24"/>
          <w:szCs w:val="24"/>
          <w:highlight w:val="none"/>
          <w:u w:val="none"/>
          <w:lang w:val="en-US" w:eastAsia="zh-CN"/>
        </w:rPr>
      </w:pPr>
      <w:r>
        <w:rPr>
          <w:rFonts w:hint="eastAsia" w:ascii="宋体" w:hAnsi="宋体" w:eastAsia="宋体" w:cs="宋体"/>
          <w:b/>
          <w:bCs/>
          <w:color w:val="auto"/>
          <w:spacing w:val="-2"/>
          <w:sz w:val="24"/>
          <w:szCs w:val="24"/>
          <w:highlight w:val="none"/>
        </w:rPr>
        <w:t xml:space="preserve">1.1.1  </w:t>
      </w:r>
      <w:r>
        <w:rPr>
          <w:rFonts w:hint="eastAsia" w:ascii="宋体" w:hAnsi="宋体" w:eastAsia="宋体" w:cs="宋体"/>
          <w:color w:val="auto"/>
          <w:spacing w:val="-2"/>
          <w:sz w:val="24"/>
          <w:szCs w:val="24"/>
          <w:highlight w:val="none"/>
        </w:rPr>
        <w:t>建设地点：</w:t>
      </w:r>
      <w:r>
        <w:rPr>
          <w:rFonts w:hint="eastAsia" w:ascii="宋体" w:hAnsi="宋体" w:eastAsia="宋体" w:cs="宋体"/>
          <w:color w:val="auto"/>
          <w:sz w:val="24"/>
          <w:szCs w:val="24"/>
          <w:highlight w:val="none"/>
          <w:u w:val="single"/>
          <w:lang w:val="en-US" w:eastAsia="zh-CN"/>
        </w:rPr>
        <w:t>韶关市武江区重阳镇</w:t>
      </w:r>
      <w:r>
        <w:rPr>
          <w:rFonts w:hint="eastAsia" w:ascii="宋体" w:hAnsi="宋体" w:eastAsia="宋体" w:cs="宋体"/>
          <w:color w:val="auto"/>
          <w:sz w:val="24"/>
          <w:szCs w:val="24"/>
          <w:highlight w:val="none"/>
          <w:u w:val="none"/>
          <w:lang w:val="en-US" w:eastAsia="zh-CN"/>
        </w:rPr>
        <w:t>。</w:t>
      </w:r>
    </w:p>
    <w:p w14:paraId="4FB7DEF3">
      <w:pPr>
        <w:pStyle w:val="58"/>
        <w:tabs>
          <w:tab w:val="left" w:pos="7020"/>
        </w:tabs>
        <w:spacing w:line="360" w:lineRule="auto"/>
        <w:ind w:firstLine="524" w:firstLineChars="221"/>
        <w:jc w:val="left"/>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1.1.2  </w:t>
      </w:r>
      <w:r>
        <w:rPr>
          <w:rFonts w:hint="eastAsia" w:ascii="宋体" w:hAnsi="宋体" w:eastAsia="宋体" w:cs="宋体"/>
          <w:color w:val="auto"/>
          <w:spacing w:val="-2"/>
          <w:sz w:val="24"/>
          <w:szCs w:val="24"/>
          <w:highlight w:val="none"/>
        </w:rPr>
        <w:t>建设内容和规模：</w:t>
      </w:r>
      <w:r>
        <w:rPr>
          <w:rFonts w:hint="eastAsia" w:hAnsi="宋体" w:cs="宋体"/>
          <w:color w:val="auto"/>
          <w:spacing w:val="-2"/>
          <w:sz w:val="24"/>
          <w:szCs w:val="24"/>
          <w:highlight w:val="none"/>
          <w:u w:val="single"/>
          <w:lang w:val="en-US" w:eastAsia="zh-CN"/>
        </w:rPr>
        <w:t>项目建设为武江区重阳镇水口及大夫前村农产业示范带配套基础设施提升项目工程，建设农耕便道、农业科普园、道路、停车场、公厕等。</w:t>
      </w:r>
    </w:p>
    <w:p w14:paraId="0402EAEE">
      <w:pPr>
        <w:keepNext w:val="0"/>
        <w:keepLines w:val="0"/>
        <w:widowControl/>
        <w:suppressLineNumbers w:val="0"/>
        <w:spacing w:line="360" w:lineRule="auto"/>
        <w:ind w:firstLine="474" w:firstLineChars="200"/>
        <w:jc w:val="left"/>
        <w:rPr>
          <w:rFonts w:hint="eastAsia" w:ascii="宋体" w:hAnsi="宋体" w:eastAsia="宋体" w:cs="宋体"/>
          <w:sz w:val="24"/>
          <w:szCs w:val="24"/>
          <w:lang w:val="en-US" w:eastAsia="zh-CN"/>
        </w:rPr>
      </w:pPr>
      <w:r>
        <w:rPr>
          <w:rFonts w:hint="eastAsia" w:ascii="宋体" w:hAnsi="宋体" w:eastAsia="宋体" w:cs="宋体"/>
          <w:b/>
          <w:bCs/>
          <w:color w:val="auto"/>
          <w:spacing w:val="-2"/>
          <w:sz w:val="24"/>
          <w:szCs w:val="24"/>
          <w:highlight w:val="none"/>
        </w:rPr>
        <w:t xml:space="preserve">1.1.3  </w:t>
      </w:r>
      <w:r>
        <w:rPr>
          <w:rFonts w:hint="eastAsia" w:ascii="宋体" w:hAnsi="宋体" w:eastAsia="宋体" w:cs="宋体"/>
          <w:sz w:val="24"/>
          <w:szCs w:val="24"/>
        </w:rPr>
        <w:t>项目总投资</w:t>
      </w:r>
      <w:r>
        <w:rPr>
          <w:rFonts w:hint="eastAsia" w:ascii="宋体" w:hAnsi="宋体" w:eastAsia="宋体" w:cs="宋体"/>
          <w:sz w:val="24"/>
          <w:szCs w:val="24"/>
          <w:lang w:val="en-US" w:eastAsia="zh-CN"/>
        </w:rPr>
        <w:t>：项目初步设计概算总投资942.22万元,其中建安工程费860.42万元，工程建设其他费用81.80万元,基本预备费0万元。</w:t>
      </w:r>
    </w:p>
    <w:p w14:paraId="5F1DBCD4">
      <w:pPr>
        <w:spacing w:before="152" w:line="36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1.2  </w:t>
      </w:r>
      <w:r>
        <w:rPr>
          <w:rFonts w:hint="eastAsia" w:ascii="宋体" w:hAnsi="宋体" w:eastAsia="宋体" w:cs="宋体"/>
          <w:color w:val="auto"/>
          <w:spacing w:val="-2"/>
          <w:sz w:val="24"/>
          <w:szCs w:val="24"/>
          <w:highlight w:val="none"/>
        </w:rPr>
        <w:t>招标范围和标段划分</w:t>
      </w:r>
    </w:p>
    <w:p w14:paraId="3AAF1533">
      <w:pPr>
        <w:spacing w:before="152" w:line="360" w:lineRule="auto"/>
        <w:ind w:left="496"/>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rPr>
        <w:t xml:space="preserve">1.2.1  </w:t>
      </w:r>
      <w:r>
        <w:rPr>
          <w:rFonts w:hint="eastAsia" w:ascii="宋体" w:hAnsi="宋体" w:eastAsia="宋体" w:cs="宋体"/>
          <w:color w:val="auto"/>
          <w:spacing w:val="-2"/>
          <w:sz w:val="24"/>
          <w:szCs w:val="24"/>
          <w:highlight w:val="none"/>
        </w:rPr>
        <w:t>招标范围：</w:t>
      </w:r>
      <w:r>
        <w:rPr>
          <w:rFonts w:hint="eastAsia" w:ascii="宋体" w:hAnsi="宋体" w:eastAsia="宋体" w:cs="宋体"/>
          <w:color w:val="auto"/>
          <w:spacing w:val="-1"/>
          <w:sz w:val="24"/>
          <w:szCs w:val="24"/>
          <w:highlight w:val="none"/>
        </w:rPr>
        <w:t>按审查合格的施工图纸及工程量清单内容施工</w:t>
      </w:r>
      <w:r>
        <w:rPr>
          <w:rFonts w:hint="eastAsia" w:ascii="宋体" w:hAnsi="宋体" w:eastAsia="宋体" w:cs="宋体"/>
          <w:color w:val="auto"/>
          <w:spacing w:val="-1"/>
          <w:sz w:val="24"/>
          <w:szCs w:val="24"/>
          <w:highlight w:val="none"/>
          <w:lang w:eastAsia="zh-CN"/>
        </w:rPr>
        <w:t>。</w:t>
      </w:r>
    </w:p>
    <w:p w14:paraId="1E6C1E53">
      <w:pPr>
        <w:spacing w:before="151" w:line="360" w:lineRule="auto"/>
        <w:ind w:left="13" w:right="65" w:firstLine="533"/>
        <w:rPr>
          <w:rFonts w:hint="eastAsia" w:ascii="宋体" w:hAnsi="宋体" w:eastAsia="宋体" w:cs="宋体"/>
          <w:b w:val="0"/>
          <w:bCs w:val="0"/>
          <w:color w:val="auto"/>
          <w:spacing w:val="-1"/>
          <w:sz w:val="24"/>
          <w:szCs w:val="24"/>
          <w:highlight w:val="none"/>
        </w:rPr>
      </w:pPr>
      <w:bookmarkStart w:id="13" w:name="_Toc20855"/>
      <w:bookmarkStart w:id="14" w:name="_Toc28202"/>
      <w:bookmarkStart w:id="15" w:name="_Toc30251"/>
      <w:bookmarkStart w:id="16" w:name="_Toc14190"/>
      <w:r>
        <w:rPr>
          <w:rFonts w:hint="eastAsia" w:ascii="宋体" w:hAnsi="宋体" w:eastAsia="宋体" w:cs="宋体"/>
          <w:b/>
          <w:bCs/>
          <w:color w:val="auto"/>
          <w:spacing w:val="-1"/>
          <w:sz w:val="24"/>
          <w:szCs w:val="24"/>
          <w:highlight w:val="none"/>
        </w:rPr>
        <w:t xml:space="preserve">1.2.2  </w:t>
      </w:r>
      <w:r>
        <w:rPr>
          <w:rFonts w:hint="eastAsia" w:ascii="宋体" w:hAnsi="宋体" w:eastAsia="宋体" w:cs="宋体"/>
          <w:b w:val="0"/>
          <w:bCs w:val="0"/>
          <w:color w:val="auto"/>
          <w:spacing w:val="-1"/>
          <w:sz w:val="24"/>
          <w:szCs w:val="24"/>
          <w:highlight w:val="none"/>
        </w:rPr>
        <w:t>标段划分：本招标项目不划分标段。</w:t>
      </w:r>
      <w:bookmarkEnd w:id="13"/>
      <w:bookmarkEnd w:id="14"/>
      <w:bookmarkEnd w:id="15"/>
      <w:bookmarkEnd w:id="16"/>
    </w:p>
    <w:p w14:paraId="3E431764">
      <w:pPr>
        <w:spacing w:before="151" w:line="360" w:lineRule="auto"/>
        <w:ind w:left="13" w:right="65" w:firstLine="533"/>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  </w:t>
      </w:r>
      <w:r>
        <w:rPr>
          <w:rFonts w:hint="eastAsia" w:ascii="宋体" w:hAnsi="宋体" w:eastAsia="宋体" w:cs="宋体"/>
          <w:color w:val="auto"/>
          <w:spacing w:val="-1"/>
          <w:sz w:val="24"/>
          <w:szCs w:val="24"/>
          <w:highlight w:val="none"/>
        </w:rPr>
        <w:t>投标费用：投标人应承担所有准备和参加投标的相关费用，不</w:t>
      </w:r>
      <w:r>
        <w:rPr>
          <w:rFonts w:hint="eastAsia" w:ascii="宋体" w:hAnsi="宋体" w:eastAsia="宋体" w:cs="宋体"/>
          <w:color w:val="auto"/>
          <w:spacing w:val="-2"/>
          <w:sz w:val="24"/>
          <w:szCs w:val="24"/>
          <w:highlight w:val="none"/>
        </w:rPr>
        <w:t>论投标结果如</w:t>
      </w:r>
      <w:r>
        <w:rPr>
          <w:rFonts w:hint="eastAsia" w:ascii="宋体" w:hAnsi="宋体" w:eastAsia="宋体" w:cs="宋体"/>
          <w:color w:val="auto"/>
          <w:spacing w:val="-1"/>
          <w:sz w:val="24"/>
          <w:szCs w:val="24"/>
          <w:highlight w:val="none"/>
        </w:rPr>
        <w:t>何，招标人均无义务和责任承担这些费用。</w:t>
      </w:r>
    </w:p>
    <w:p w14:paraId="712CC623">
      <w:pPr>
        <w:spacing w:before="22" w:line="36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6"/>
          <w:sz w:val="24"/>
          <w:szCs w:val="24"/>
          <w:highlight w:val="none"/>
        </w:rPr>
        <w:t xml:space="preserve">1.4  </w:t>
      </w:r>
      <w:r>
        <w:rPr>
          <w:rFonts w:hint="eastAsia" w:ascii="宋体" w:hAnsi="宋体" w:eastAsia="宋体" w:cs="宋体"/>
          <w:color w:val="auto"/>
          <w:spacing w:val="-6"/>
          <w:sz w:val="24"/>
          <w:szCs w:val="24"/>
          <w:highlight w:val="none"/>
        </w:rPr>
        <w:t>招标代理费用：</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82"/>
          <w:sz w:val="24"/>
          <w:szCs w:val="24"/>
          <w:highlight w:val="none"/>
          <w:shd w:val="clear" w:color="auto" w:fill="FFFFFF"/>
        </w:rPr>
        <w:t xml:space="preserve"> </w:t>
      </w:r>
      <w:r>
        <w:rPr>
          <w:rFonts w:hint="eastAsia" w:ascii="宋体" w:hAnsi="宋体" w:eastAsia="宋体" w:cs="宋体"/>
          <w:color w:val="auto"/>
          <w:spacing w:val="-6"/>
          <w:sz w:val="24"/>
          <w:szCs w:val="24"/>
          <w:highlight w:val="none"/>
          <w:shd w:val="clear" w:color="auto" w:fill="FFFFFF"/>
        </w:rPr>
        <w:t>由</w:t>
      </w:r>
      <w:r>
        <w:rPr>
          <w:rFonts w:hint="eastAsia" w:ascii="宋体" w:hAnsi="宋体" w:eastAsia="宋体" w:cs="宋体"/>
          <w:color w:val="auto"/>
          <w:spacing w:val="6"/>
          <w:sz w:val="24"/>
          <w:szCs w:val="24"/>
          <w:highlight w:val="none"/>
        </w:rPr>
        <w:t>项目业主</w:t>
      </w:r>
      <w:r>
        <w:rPr>
          <w:rFonts w:hint="eastAsia" w:ascii="宋体" w:hAnsi="宋体" w:eastAsia="宋体" w:cs="宋体"/>
          <w:color w:val="auto"/>
          <w:spacing w:val="-6"/>
          <w:sz w:val="24"/>
          <w:szCs w:val="24"/>
          <w:highlight w:val="none"/>
          <w:shd w:val="clear" w:color="auto" w:fill="FFFFFF"/>
        </w:rPr>
        <w:t>支</w:t>
      </w:r>
      <w:r>
        <w:rPr>
          <w:rFonts w:hint="eastAsia" w:ascii="宋体" w:hAnsi="宋体" w:eastAsia="宋体" w:cs="宋体"/>
          <w:color w:val="auto"/>
          <w:spacing w:val="-6"/>
          <w:sz w:val="24"/>
          <w:szCs w:val="24"/>
          <w:highlight w:val="none"/>
        </w:rPr>
        <w:t>付</w:t>
      </w:r>
      <w:r>
        <w:rPr>
          <w:rFonts w:hint="eastAsia" w:ascii="宋体" w:hAnsi="宋体" w:eastAsia="宋体" w:cs="宋体"/>
          <w:color w:val="auto"/>
          <w:position w:val="-6"/>
          <w:sz w:val="24"/>
          <w:szCs w:val="24"/>
          <w:highlight w:val="none"/>
          <w:shd w:val="clear" w:color="auto" w:fill="FFFFFF"/>
          <w:lang w:eastAsia="zh-CN"/>
        </w:rPr>
        <w:t xml:space="preserve"> </w:t>
      </w:r>
      <w:r>
        <w:rPr>
          <w:rFonts w:hint="eastAsia" w:ascii="宋体" w:hAnsi="宋体" w:eastAsia="宋体" w:cs="宋体"/>
          <w:color w:val="auto"/>
          <w:spacing w:val="-6"/>
          <w:sz w:val="24"/>
          <w:szCs w:val="24"/>
          <w:highlight w:val="none"/>
          <w:shd w:val="clear" w:color="auto" w:fill="FFFFFF"/>
          <w:lang w:eastAsia="zh-CN"/>
        </w:rPr>
        <w:t>☑</w:t>
      </w:r>
      <w:r>
        <w:rPr>
          <w:rFonts w:hint="eastAsia" w:ascii="宋体" w:hAnsi="宋体" w:eastAsia="宋体" w:cs="宋体"/>
          <w:color w:val="auto"/>
          <w:spacing w:val="-81"/>
          <w:sz w:val="24"/>
          <w:szCs w:val="24"/>
          <w:highlight w:val="none"/>
          <w:shd w:val="clear" w:color="auto" w:fill="FFFFFF"/>
        </w:rPr>
        <w:t xml:space="preserve"> </w:t>
      </w:r>
      <w:r>
        <w:rPr>
          <w:rFonts w:hint="eastAsia" w:ascii="宋体" w:hAnsi="宋体" w:eastAsia="宋体" w:cs="宋体"/>
          <w:color w:val="auto"/>
          <w:spacing w:val="-6"/>
          <w:sz w:val="24"/>
          <w:szCs w:val="24"/>
          <w:highlight w:val="none"/>
          <w:shd w:val="clear" w:color="auto" w:fill="FFFFFF"/>
        </w:rPr>
        <w:t>由中标人支付。</w:t>
      </w:r>
    </w:p>
    <w:p w14:paraId="531FCE6E">
      <w:pPr>
        <w:wordWrap w:val="0"/>
        <w:adjustRightInd w:val="0"/>
        <w:snapToGrid w:val="0"/>
        <w:spacing w:line="360" w:lineRule="auto"/>
        <w:ind w:firstLine="482" w:firstLineChars="200"/>
        <w:jc w:val="left"/>
        <w:outlineLvl w:val="2"/>
        <w:rPr>
          <w:rFonts w:hint="eastAsia" w:ascii="宋体" w:hAnsi="宋体" w:eastAsia="宋体" w:cs="宋体"/>
          <w:b/>
          <w:bCs/>
          <w:color w:val="auto"/>
          <w:sz w:val="24"/>
          <w:szCs w:val="24"/>
          <w:highlight w:val="none"/>
        </w:rPr>
      </w:pPr>
      <w:bookmarkStart w:id="17" w:name="_Toc11595"/>
      <w:r>
        <w:rPr>
          <w:rFonts w:hint="eastAsia" w:ascii="宋体" w:hAnsi="宋体" w:eastAsia="宋体" w:cs="宋体"/>
          <w:b/>
          <w:bCs/>
          <w:color w:val="auto"/>
          <w:sz w:val="24"/>
          <w:szCs w:val="24"/>
          <w:highlight w:val="none"/>
        </w:rPr>
        <w:t>2</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bCs/>
          <w:color w:val="auto"/>
          <w:sz w:val="24"/>
          <w:szCs w:val="24"/>
          <w:highlight w:val="none"/>
          <w:lang w:eastAsia="zh-CN"/>
        </w:rPr>
        <w:t>投标人</w:t>
      </w:r>
      <w:r>
        <w:rPr>
          <w:rFonts w:hint="eastAsia" w:ascii="宋体" w:hAnsi="宋体" w:eastAsia="宋体" w:cs="宋体"/>
          <w:b/>
          <w:bCs/>
          <w:color w:val="auto"/>
          <w:sz w:val="24"/>
          <w:szCs w:val="24"/>
          <w:highlight w:val="none"/>
        </w:rPr>
        <w:t>资质要求</w:t>
      </w:r>
      <w:bookmarkEnd w:id="17"/>
    </w:p>
    <w:p w14:paraId="2C1CD63E">
      <w:pPr>
        <w:pStyle w:val="57"/>
        <w:pageBreakBefore w:val="0"/>
        <w:kinsoku/>
        <w:overflowPunct/>
        <w:topLinePunct w:val="0"/>
        <w:autoSpaceDE/>
        <w:autoSpaceDN/>
        <w:bidi w:val="0"/>
        <w:snapToGrid w:val="0"/>
        <w:spacing w:line="360" w:lineRule="auto"/>
        <w:ind w:firstLine="482" w:firstLineChars="200"/>
        <w:jc w:val="left"/>
        <w:rPr>
          <w:rStyle w:val="48"/>
          <w:rFonts w:hint="eastAsia" w:ascii="宋体" w:hAnsi="宋体" w:eastAsia="宋体" w:cs="宋体"/>
          <w:color w:val="auto"/>
          <w:kern w:val="0"/>
          <w:sz w:val="24"/>
          <w:szCs w:val="24"/>
          <w:highlight w:val="none"/>
          <w:lang w:eastAsia="zh-CN"/>
        </w:rPr>
      </w:pPr>
      <w:r>
        <w:rPr>
          <w:rStyle w:val="48"/>
          <w:rFonts w:hint="eastAsia" w:ascii="宋体" w:hAnsi="宋体" w:eastAsia="宋体" w:cs="宋体"/>
          <w:b/>
          <w:bCs/>
          <w:color w:val="auto"/>
          <w:kern w:val="0"/>
          <w:sz w:val="24"/>
          <w:szCs w:val="24"/>
          <w:highlight w:val="none"/>
          <w:lang w:val="en-US" w:eastAsia="zh-CN"/>
        </w:rPr>
        <w:t>2.</w:t>
      </w:r>
      <w:r>
        <w:rPr>
          <w:rStyle w:val="48"/>
          <w:rFonts w:hint="eastAsia" w:ascii="宋体" w:hAnsi="宋体" w:eastAsia="宋体" w:cs="宋体"/>
          <w:b/>
          <w:bCs/>
          <w:color w:val="auto"/>
          <w:kern w:val="0"/>
          <w:sz w:val="24"/>
          <w:szCs w:val="24"/>
          <w:highlight w:val="none"/>
        </w:rPr>
        <w:t>1</w:t>
      </w:r>
      <w:r>
        <w:rPr>
          <w:rStyle w:val="48"/>
          <w:rFonts w:hint="eastAsia" w:ascii="宋体" w:hAnsi="宋体" w:eastAsia="宋体" w:cs="宋体"/>
          <w:color w:val="auto"/>
          <w:kern w:val="0"/>
          <w:sz w:val="24"/>
          <w:szCs w:val="24"/>
          <w:highlight w:val="none"/>
          <w:lang w:eastAsia="zh-CN"/>
        </w:rPr>
        <w:t>本次招标</w:t>
      </w:r>
      <w:r>
        <w:rPr>
          <w:rStyle w:val="48"/>
          <w:rFonts w:hint="eastAsia" w:ascii="宋体" w:hAnsi="宋体" w:eastAsia="宋体" w:cs="宋体"/>
          <w:color w:val="auto"/>
          <w:kern w:val="0"/>
          <w:sz w:val="24"/>
          <w:szCs w:val="24"/>
          <w:highlight w:val="none"/>
          <w:u w:val="single"/>
          <w:lang w:eastAsia="zh-CN"/>
        </w:rPr>
        <w:t>不接受</w:t>
      </w:r>
      <w:r>
        <w:rPr>
          <w:rStyle w:val="48"/>
          <w:rFonts w:hint="eastAsia" w:ascii="宋体" w:hAnsi="宋体" w:eastAsia="宋体" w:cs="宋体"/>
          <w:color w:val="auto"/>
          <w:kern w:val="0"/>
          <w:sz w:val="24"/>
          <w:szCs w:val="24"/>
          <w:highlight w:val="none"/>
          <w:lang w:eastAsia="zh-CN"/>
        </w:rPr>
        <w:t>联合体投标。</w:t>
      </w:r>
    </w:p>
    <w:p w14:paraId="522C5F58">
      <w:pPr>
        <w:pStyle w:val="57"/>
        <w:pageBreakBefore w:val="0"/>
        <w:kinsoku/>
        <w:overflowPunct/>
        <w:topLinePunct w:val="0"/>
        <w:autoSpaceDE/>
        <w:autoSpaceDN/>
        <w:bidi w:val="0"/>
        <w:snapToGrid w:val="0"/>
        <w:spacing w:line="360" w:lineRule="auto"/>
        <w:ind w:firstLine="482" w:firstLineChars="200"/>
        <w:jc w:val="left"/>
        <w:rPr>
          <w:rStyle w:val="48"/>
          <w:rFonts w:hint="eastAsia" w:ascii="宋体" w:hAnsi="宋体" w:eastAsia="宋体" w:cs="宋体"/>
          <w:color w:val="auto"/>
          <w:kern w:val="0"/>
          <w:sz w:val="24"/>
          <w:szCs w:val="24"/>
          <w:highlight w:val="none"/>
          <w:lang w:val="en-US" w:eastAsia="zh-CN"/>
        </w:rPr>
      </w:pPr>
      <w:r>
        <w:rPr>
          <w:rStyle w:val="48"/>
          <w:rFonts w:hint="eastAsia" w:ascii="宋体" w:hAnsi="宋体" w:eastAsia="宋体" w:cs="宋体"/>
          <w:b/>
          <w:bCs/>
          <w:color w:val="auto"/>
          <w:kern w:val="0"/>
          <w:sz w:val="24"/>
          <w:szCs w:val="24"/>
          <w:highlight w:val="none"/>
          <w:lang w:val="en-US" w:eastAsia="zh-CN"/>
        </w:rPr>
        <w:t>2.2</w:t>
      </w:r>
      <w:r>
        <w:rPr>
          <w:rStyle w:val="48"/>
          <w:rFonts w:hint="eastAsia" w:ascii="宋体" w:hAnsi="宋体" w:eastAsia="宋体" w:cs="宋体"/>
          <w:color w:val="auto"/>
          <w:kern w:val="0"/>
          <w:sz w:val="24"/>
          <w:szCs w:val="24"/>
          <w:highlight w:val="none"/>
          <w:lang w:val="en-US" w:eastAsia="zh-CN"/>
        </w:rPr>
        <w:t>资格资质要求</w:t>
      </w:r>
    </w:p>
    <w:p w14:paraId="7F8C533F">
      <w:pPr>
        <w:pStyle w:val="9"/>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2.1</w:t>
      </w:r>
      <w:r>
        <w:rPr>
          <w:rFonts w:hint="eastAsia" w:ascii="宋体" w:hAnsi="宋体" w:eastAsia="宋体" w:cs="宋体"/>
          <w:color w:val="auto"/>
          <w:sz w:val="24"/>
          <w:szCs w:val="24"/>
          <w:highlight w:val="none"/>
        </w:rPr>
        <w:t xml:space="preserve"> 投标人须具备独立法人资格，按国家法律经营。</w:t>
      </w:r>
    </w:p>
    <w:p w14:paraId="3D9D6AF2">
      <w:pPr>
        <w:pStyle w:val="9"/>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2.2</w:t>
      </w:r>
      <w:r>
        <w:rPr>
          <w:rFonts w:hint="eastAsia" w:ascii="宋体" w:hAnsi="宋体" w:eastAsia="宋体" w:cs="宋体"/>
          <w:color w:val="auto"/>
          <w:sz w:val="24"/>
          <w:szCs w:val="24"/>
          <w:highlight w:val="none"/>
        </w:rPr>
        <w:t xml:space="preserve"> 投标人须持有建设行政主管部门颁发的企业资质证书及安全生产许可证。</w:t>
      </w:r>
    </w:p>
    <w:p w14:paraId="31719858">
      <w:pPr>
        <w:pStyle w:val="9"/>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2.3</w:t>
      </w:r>
      <w:r>
        <w:rPr>
          <w:rFonts w:hint="eastAsia" w:ascii="宋体" w:hAnsi="宋体" w:eastAsia="宋体" w:cs="宋体"/>
          <w:color w:val="auto"/>
          <w:sz w:val="24"/>
          <w:szCs w:val="24"/>
          <w:highlight w:val="none"/>
        </w:rPr>
        <w:t xml:space="preserve"> 投标人须具备以下资质：</w:t>
      </w:r>
      <w:r>
        <w:rPr>
          <w:rFonts w:hint="eastAsia" w:ascii="宋体" w:hAnsi="宋体" w:eastAsia="宋体" w:cs="宋体"/>
          <w:color w:val="auto"/>
          <w:sz w:val="24"/>
          <w:szCs w:val="24"/>
          <w:highlight w:val="none"/>
          <w:u w:val="single"/>
        </w:rPr>
        <w:t>市政公用工程施工总承包叁级以上（含叁级）资质</w:t>
      </w:r>
      <w:r>
        <w:rPr>
          <w:rFonts w:hint="eastAsia" w:ascii="宋体" w:hAnsi="宋体" w:eastAsia="宋体" w:cs="宋体"/>
          <w:color w:val="auto"/>
          <w:sz w:val="24"/>
          <w:szCs w:val="24"/>
          <w:highlight w:val="none"/>
        </w:rPr>
        <w:t>。</w:t>
      </w:r>
    </w:p>
    <w:p w14:paraId="1DE6637B">
      <w:pPr>
        <w:spacing w:before="78" w:line="360" w:lineRule="auto"/>
        <w:ind w:left="489"/>
        <w:rPr>
          <w:rFonts w:hint="eastAsia" w:ascii="宋体" w:hAnsi="宋体" w:eastAsia="宋体" w:cs="宋体"/>
          <w:b/>
          <w:bCs/>
          <w:color w:val="auto"/>
          <w:spacing w:val="-1"/>
          <w:sz w:val="24"/>
          <w:szCs w:val="24"/>
          <w:highlight w:val="none"/>
        </w:rPr>
      </w:pPr>
      <w:r>
        <w:rPr>
          <w:rFonts w:hint="eastAsia" w:ascii="宋体" w:hAnsi="宋体" w:eastAsia="宋体" w:cs="宋体"/>
          <w:b/>
          <w:bCs/>
          <w:color w:val="auto"/>
          <w:spacing w:val="-1"/>
          <w:sz w:val="24"/>
          <w:szCs w:val="24"/>
          <w:highlight w:val="none"/>
          <w:lang w:val="en-US" w:eastAsia="zh-CN"/>
        </w:rPr>
        <w:t>2.</w:t>
      </w:r>
      <w:r>
        <w:rPr>
          <w:rFonts w:hint="eastAsia" w:ascii="宋体" w:hAnsi="宋体" w:eastAsia="宋体" w:cs="宋体"/>
          <w:b/>
          <w:bCs/>
          <w:color w:val="auto"/>
          <w:spacing w:val="-1"/>
          <w:sz w:val="24"/>
          <w:szCs w:val="24"/>
          <w:highlight w:val="none"/>
        </w:rPr>
        <w:t>3</w:t>
      </w:r>
      <w:r>
        <w:rPr>
          <w:rFonts w:hint="eastAsia" w:ascii="宋体" w:hAnsi="宋体" w:eastAsia="宋体" w:cs="宋体"/>
          <w:b/>
          <w:bCs/>
          <w:color w:val="auto"/>
          <w:spacing w:val="-1"/>
          <w:sz w:val="24"/>
          <w:szCs w:val="24"/>
          <w:highlight w:val="none"/>
          <w:lang w:val="en-US" w:eastAsia="zh-CN"/>
        </w:rPr>
        <w:t xml:space="preserve"> </w:t>
      </w:r>
      <w:r>
        <w:rPr>
          <w:rFonts w:hint="eastAsia" w:ascii="宋体" w:hAnsi="宋体" w:eastAsia="宋体" w:cs="宋体"/>
          <w:b w:val="0"/>
          <w:bCs w:val="0"/>
          <w:color w:val="auto"/>
          <w:spacing w:val="-1"/>
          <w:sz w:val="24"/>
          <w:szCs w:val="24"/>
          <w:highlight w:val="none"/>
        </w:rPr>
        <w:t>相关人员要求</w:t>
      </w:r>
    </w:p>
    <w:p w14:paraId="51E60F3F">
      <w:pPr>
        <w:widowControl/>
        <w:spacing w:line="360" w:lineRule="auto"/>
        <w:ind w:firstLine="482" w:firstLineChars="200"/>
        <w:jc w:val="left"/>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3.1</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kern w:val="0"/>
          <w:sz w:val="24"/>
          <w:szCs w:val="24"/>
          <w:highlight w:val="none"/>
          <w:lang w:bidi="ar"/>
        </w:rPr>
        <w:t>拟派项目经理为</w:t>
      </w:r>
      <w:r>
        <w:rPr>
          <w:rFonts w:hint="eastAsia" w:ascii="宋体" w:hAnsi="宋体" w:eastAsia="宋体" w:cs="宋体"/>
          <w:color w:val="auto"/>
          <w:kern w:val="0"/>
          <w:sz w:val="24"/>
          <w:szCs w:val="24"/>
          <w:highlight w:val="none"/>
          <w:u w:val="single"/>
          <w:lang w:bidi="ar"/>
        </w:rPr>
        <w:t>市政公用工程</w:t>
      </w:r>
      <w:r>
        <w:rPr>
          <w:rFonts w:hint="eastAsia" w:ascii="宋体" w:hAnsi="宋体" w:eastAsia="宋体" w:cs="宋体"/>
          <w:color w:val="auto"/>
          <w:kern w:val="0"/>
          <w:sz w:val="24"/>
          <w:szCs w:val="24"/>
          <w:highlight w:val="none"/>
          <w:lang w:bidi="ar"/>
        </w:rPr>
        <w:t>专业一级或二级注册建造师，应持有住建部门印发的在使用有效期内的有效电子注册证书（根据广东省住房和城乡建设厅（粤建市函〔2023〕469号）文件精神，二级注册建造师可随注册企业在全国范围内执业）。同时均须具备有效安全生产考核合格证明（B证），且未担任其他在施（包括已中标未开工、已开工未竣工）建设工程项目的项目经理。</w:t>
      </w:r>
    </w:p>
    <w:p w14:paraId="16B50FA1">
      <w:pPr>
        <w:widowControl/>
        <w:spacing w:line="360" w:lineRule="auto"/>
        <w:ind w:firstLine="482" w:firstLineChars="200"/>
        <w:jc w:val="left"/>
        <w:rPr>
          <w:rFonts w:hint="eastAsia" w:ascii="宋体" w:hAnsi="宋体" w:eastAsia="宋体" w:cs="宋体"/>
          <w:color w:val="auto"/>
          <w:kern w:val="0"/>
          <w:sz w:val="24"/>
          <w:szCs w:val="24"/>
          <w:highlight w:val="none"/>
          <w:lang w:bidi="ar"/>
        </w:rPr>
      </w:pPr>
      <w:r>
        <w:rPr>
          <w:rFonts w:hint="eastAsia" w:ascii="宋体" w:hAnsi="宋体" w:eastAsia="宋体" w:cs="宋体"/>
          <w:b/>
          <w:bCs/>
          <w:color w:val="auto"/>
          <w:kern w:val="0"/>
          <w:sz w:val="24"/>
          <w:szCs w:val="24"/>
          <w:highlight w:val="none"/>
          <w:lang w:val="en-US" w:eastAsia="zh-CN" w:bidi="ar"/>
        </w:rPr>
        <w:t>2.</w:t>
      </w:r>
      <w:r>
        <w:rPr>
          <w:rFonts w:hint="eastAsia" w:ascii="宋体" w:hAnsi="宋体" w:eastAsia="宋体" w:cs="宋体"/>
          <w:b/>
          <w:bCs/>
          <w:color w:val="auto"/>
          <w:kern w:val="0"/>
          <w:sz w:val="24"/>
          <w:szCs w:val="24"/>
          <w:highlight w:val="none"/>
          <w:lang w:bidi="ar"/>
        </w:rPr>
        <w:t>3.2</w:t>
      </w:r>
      <w:r>
        <w:rPr>
          <w:rFonts w:hint="eastAsia" w:ascii="宋体" w:hAnsi="宋体" w:eastAsia="宋体" w:cs="宋体"/>
          <w:color w:val="auto"/>
          <w:kern w:val="0"/>
          <w:sz w:val="24"/>
          <w:szCs w:val="24"/>
          <w:highlight w:val="none"/>
          <w:lang w:val="en-US" w:eastAsia="zh-CN" w:bidi="ar"/>
        </w:rPr>
        <w:t xml:space="preserve"> </w:t>
      </w:r>
      <w:r>
        <w:rPr>
          <w:rFonts w:hint="eastAsia" w:ascii="宋体" w:hAnsi="宋体" w:eastAsia="宋体" w:cs="宋体"/>
          <w:color w:val="auto"/>
          <w:kern w:val="0"/>
          <w:sz w:val="24"/>
          <w:szCs w:val="24"/>
          <w:highlight w:val="none"/>
          <w:lang w:bidi="ar"/>
        </w:rPr>
        <w:t>拟派项目技术负责人须具备</w:t>
      </w:r>
      <w:r>
        <w:rPr>
          <w:rFonts w:hint="eastAsia" w:ascii="宋体" w:hAnsi="宋体" w:eastAsia="宋体" w:cs="宋体"/>
          <w:color w:val="auto"/>
          <w:kern w:val="0"/>
          <w:sz w:val="24"/>
          <w:szCs w:val="24"/>
          <w:highlight w:val="none"/>
          <w:u w:val="single"/>
          <w:lang w:eastAsia="zh-CN" w:bidi="ar"/>
        </w:rPr>
        <w:t>市政工程</w:t>
      </w:r>
      <w:r>
        <w:rPr>
          <w:rFonts w:hint="eastAsia" w:ascii="宋体" w:hAnsi="宋体" w:eastAsia="宋体" w:cs="宋体"/>
          <w:color w:val="auto"/>
          <w:kern w:val="0"/>
          <w:sz w:val="24"/>
          <w:szCs w:val="24"/>
          <w:highlight w:val="none"/>
          <w:lang w:bidi="ar"/>
        </w:rPr>
        <w:t>相关专业</w:t>
      </w:r>
      <w:r>
        <w:rPr>
          <w:rFonts w:hint="eastAsia" w:ascii="宋体" w:hAnsi="宋体" w:eastAsia="宋体" w:cs="宋体"/>
          <w:color w:val="auto"/>
          <w:kern w:val="0"/>
          <w:sz w:val="24"/>
          <w:szCs w:val="24"/>
          <w:highlight w:val="none"/>
          <w:lang w:val="en-US" w:eastAsia="zh-CN" w:bidi="ar"/>
        </w:rPr>
        <w:t xml:space="preserve"> </w:t>
      </w:r>
      <w:r>
        <w:rPr>
          <w:rFonts w:hint="eastAsia" w:ascii="宋体" w:hAnsi="宋体" w:eastAsia="宋体" w:cs="宋体"/>
          <w:color w:val="auto"/>
          <w:kern w:val="0"/>
          <w:sz w:val="24"/>
          <w:szCs w:val="24"/>
          <w:highlight w:val="none"/>
          <w:u w:val="single"/>
          <w:lang w:bidi="ar"/>
        </w:rPr>
        <w:t>中</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lang w:bidi="ar"/>
        </w:rPr>
        <w:t>级或以上技术职称。</w:t>
      </w:r>
    </w:p>
    <w:p w14:paraId="37B17EBC">
      <w:pPr>
        <w:widowControl/>
        <w:spacing w:line="360" w:lineRule="auto"/>
        <w:ind w:firstLine="482" w:firstLineChars="200"/>
        <w:jc w:val="left"/>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3.3</w:t>
      </w:r>
      <w:r>
        <w:rPr>
          <w:rFonts w:hint="eastAsia" w:ascii="宋体" w:hAnsi="宋体" w:eastAsia="宋体" w:cs="宋体"/>
          <w:color w:val="auto"/>
          <w:sz w:val="24"/>
          <w:szCs w:val="24"/>
          <w:highlight w:val="none"/>
        </w:rPr>
        <w:t xml:space="preserve"> 投标人拟派专职安全生产管理人员须具备有效安全生产考核合格证明（C证，安全生产考核合格证书或“广东省建筑施工企业管理人员安全生产考核系统”考核合格信息打印页），且不少于</w:t>
      </w:r>
      <w:r>
        <w:rPr>
          <w:rFonts w:hint="eastAsia" w:ascii="宋体" w:hAnsi="宋体" w:eastAsia="宋体" w:cs="宋体"/>
          <w:color w:val="auto"/>
          <w:sz w:val="24"/>
          <w:szCs w:val="24"/>
          <w:highlight w:val="none"/>
          <w:u w:val="single"/>
        </w:rPr>
        <w:t>1</w:t>
      </w:r>
      <w:r>
        <w:rPr>
          <w:rFonts w:hint="eastAsia" w:ascii="宋体" w:hAnsi="宋体" w:eastAsia="宋体" w:cs="宋体"/>
          <w:color w:val="auto"/>
          <w:sz w:val="24"/>
          <w:szCs w:val="24"/>
          <w:highlight w:val="none"/>
        </w:rPr>
        <w:t>人。</w:t>
      </w:r>
    </w:p>
    <w:p w14:paraId="663CCED1">
      <w:pPr>
        <w:wordWrap w:val="0"/>
        <w:adjustRightInd w:val="0"/>
        <w:snapToGrid w:val="0"/>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3.4</w:t>
      </w:r>
      <w:r>
        <w:rPr>
          <w:rFonts w:hint="eastAsia" w:ascii="宋体" w:hAnsi="宋体" w:eastAsia="宋体" w:cs="宋体"/>
          <w:color w:val="auto"/>
          <w:sz w:val="24"/>
          <w:szCs w:val="24"/>
          <w:highlight w:val="none"/>
        </w:rPr>
        <w:t xml:space="preserve"> 投标人与其拟派往本项目管理机构的所有人员之间必须具备合法、唯一的劳动聘用关系。拟派人员中具备注册执业资格的，其注册单位须与投标人保持一致。</w:t>
      </w:r>
    </w:p>
    <w:p w14:paraId="4D73ADC8">
      <w:pPr>
        <w:spacing w:before="78" w:line="360" w:lineRule="auto"/>
        <w:ind w:left="48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2.4  </w:t>
      </w:r>
      <w:r>
        <w:rPr>
          <w:rFonts w:hint="eastAsia" w:ascii="宋体" w:hAnsi="宋体" w:eastAsia="宋体" w:cs="宋体"/>
          <w:color w:val="auto"/>
          <w:spacing w:val="-1"/>
          <w:sz w:val="24"/>
          <w:szCs w:val="24"/>
          <w:highlight w:val="none"/>
        </w:rPr>
        <w:t>禁止投标条款</w:t>
      </w:r>
    </w:p>
    <w:p w14:paraId="65C506C1">
      <w:pPr>
        <w:spacing w:before="153" w:line="360" w:lineRule="auto"/>
        <w:ind w:left="48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2.4.1  </w:t>
      </w:r>
      <w:r>
        <w:rPr>
          <w:rFonts w:hint="eastAsia" w:ascii="宋体" w:hAnsi="宋体" w:eastAsia="宋体" w:cs="宋体"/>
          <w:color w:val="auto"/>
          <w:spacing w:val="-1"/>
          <w:sz w:val="24"/>
          <w:szCs w:val="24"/>
          <w:highlight w:val="none"/>
        </w:rPr>
        <w:t>投标人不得存在下列情形之一：</w:t>
      </w:r>
    </w:p>
    <w:p w14:paraId="57058069">
      <w:pPr>
        <w:spacing w:before="153" w:line="360"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（1）为招标人不具有独立法人资格的附属机构（单位</w:t>
      </w:r>
      <w:r>
        <w:rPr>
          <w:rFonts w:hint="eastAsia" w:ascii="宋体" w:hAnsi="宋体" w:eastAsia="宋体" w:cs="宋体"/>
          <w:color w:val="auto"/>
          <w:spacing w:val="1"/>
          <w:sz w:val="24"/>
          <w:szCs w:val="24"/>
          <w:highlight w:val="none"/>
        </w:rPr>
        <w:t>）；</w:t>
      </w:r>
    </w:p>
    <w:p w14:paraId="770C7F52">
      <w:pPr>
        <w:spacing w:before="157" w:line="360"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（2）为本招标项目前期准备提供设计或咨询服务的；</w:t>
      </w:r>
    </w:p>
    <w:p w14:paraId="464593DC">
      <w:pPr>
        <w:spacing w:before="154" w:line="360"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（3）与本招标项目的其他投标人为同一个单位负责人；</w:t>
      </w:r>
    </w:p>
    <w:p w14:paraId="1569B005">
      <w:pPr>
        <w:spacing w:before="155" w:line="360"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（4）与本招标项目的其他投标人存在控股、管理关系；</w:t>
      </w:r>
    </w:p>
    <w:p w14:paraId="129D7125">
      <w:pPr>
        <w:keepNext w:val="0"/>
        <w:keepLines w:val="0"/>
        <w:pageBreakBefore w:val="0"/>
        <w:widowControl w:val="0"/>
        <w:overflowPunct/>
        <w:topLinePunct w:val="0"/>
        <w:bidi w:val="0"/>
        <w:adjustRightInd w:val="0"/>
        <w:snapToGrid w:val="0"/>
        <w:spacing w:before="157" w:line="360"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（5）为本招标项目的监理人；</w:t>
      </w:r>
    </w:p>
    <w:p w14:paraId="5AF11870">
      <w:pPr>
        <w:keepNext w:val="0"/>
        <w:keepLines w:val="0"/>
        <w:pageBreakBefore w:val="0"/>
        <w:widowControl w:val="0"/>
        <w:overflowPunct/>
        <w:topLinePunct w:val="0"/>
        <w:bidi w:val="0"/>
        <w:adjustRightInd w:val="0"/>
        <w:snapToGrid w:val="0"/>
        <w:spacing w:before="154" w:line="360"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（6）为本招标项目的代建人；</w:t>
      </w:r>
    </w:p>
    <w:p w14:paraId="37029DB6">
      <w:pPr>
        <w:keepNext w:val="0"/>
        <w:keepLines w:val="0"/>
        <w:pageBreakBefore w:val="0"/>
        <w:widowControl w:val="0"/>
        <w:overflowPunct/>
        <w:topLinePunct w:val="0"/>
        <w:bidi w:val="0"/>
        <w:adjustRightInd w:val="0"/>
        <w:snapToGrid w:val="0"/>
        <w:spacing w:before="155" w:line="360"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（7）为本招标项目的招标代理机构；</w:t>
      </w:r>
    </w:p>
    <w:p w14:paraId="1166289D">
      <w:pPr>
        <w:keepNext w:val="0"/>
        <w:keepLines w:val="0"/>
        <w:pageBreakBefore w:val="0"/>
        <w:widowControl w:val="0"/>
        <w:overflowPunct/>
        <w:topLinePunct w:val="0"/>
        <w:bidi w:val="0"/>
        <w:adjustRightInd w:val="0"/>
        <w:snapToGrid w:val="0"/>
        <w:spacing w:before="157" w:line="360"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（8）与本招标项目的监理人或代建人或招标代理机构同为一个法定代表人；</w:t>
      </w:r>
    </w:p>
    <w:p w14:paraId="0C5F291D">
      <w:pPr>
        <w:keepNext w:val="0"/>
        <w:keepLines w:val="0"/>
        <w:pageBreakBefore w:val="0"/>
        <w:widowControl w:val="0"/>
        <w:overflowPunct/>
        <w:topLinePunct w:val="0"/>
        <w:bidi w:val="0"/>
        <w:adjustRightInd w:val="0"/>
        <w:snapToGrid w:val="0"/>
        <w:spacing w:before="154" w:line="360"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（9）与本招标项目的监理人或代建人或招标代理机构存在控股或参股关系；</w:t>
      </w:r>
    </w:p>
    <w:p w14:paraId="1754781E">
      <w:pPr>
        <w:keepNext w:val="0"/>
        <w:keepLines w:val="0"/>
        <w:pageBreakBefore w:val="0"/>
        <w:widowControl w:val="0"/>
        <w:overflowPunct/>
        <w:topLinePunct w:val="0"/>
        <w:bidi w:val="0"/>
        <w:adjustRightInd w:val="0"/>
        <w:snapToGrid w:val="0"/>
        <w:spacing w:before="155" w:line="360" w:lineRule="auto"/>
        <w:ind w:firstLine="468"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（10）与本招标项目的监理人或代建人或招标代理机构存在相互</w:t>
      </w:r>
      <w:r>
        <w:rPr>
          <w:rFonts w:hint="eastAsia" w:ascii="宋体" w:hAnsi="宋体" w:eastAsia="宋体" w:cs="宋体"/>
          <w:color w:val="auto"/>
          <w:spacing w:val="-4"/>
          <w:sz w:val="24"/>
          <w:szCs w:val="24"/>
          <w:highlight w:val="none"/>
        </w:rPr>
        <w:t>任职或工作关系；</w:t>
      </w:r>
    </w:p>
    <w:p w14:paraId="3E4D3A29">
      <w:pPr>
        <w:keepNext w:val="0"/>
        <w:keepLines w:val="0"/>
        <w:pageBreakBefore w:val="0"/>
        <w:widowControl w:val="0"/>
        <w:overflowPunct/>
        <w:topLinePunct w:val="0"/>
        <w:bidi w:val="0"/>
        <w:adjustRightInd w:val="0"/>
        <w:snapToGrid w:val="0"/>
        <w:spacing w:before="157" w:line="360"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（11）被依法暂停或者取消投标资格；</w:t>
      </w:r>
    </w:p>
    <w:p w14:paraId="4540A860">
      <w:pPr>
        <w:keepNext w:val="0"/>
        <w:keepLines w:val="0"/>
        <w:pageBreakBefore w:val="0"/>
        <w:widowControl w:val="0"/>
        <w:overflowPunct/>
        <w:topLinePunct w:val="0"/>
        <w:bidi w:val="0"/>
        <w:adjustRightInd w:val="0"/>
        <w:snapToGrid w:val="0"/>
        <w:spacing w:before="154" w:line="360"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（12）被责令停产停业、暂扣或者吊销许可证、暂扣或者吊销执照；</w:t>
      </w:r>
    </w:p>
    <w:p w14:paraId="204F9BEE">
      <w:pPr>
        <w:pStyle w:val="34"/>
        <w:keepNext w:val="0"/>
        <w:keepLines w:val="0"/>
        <w:pageBreakBefore w:val="0"/>
        <w:widowControl w:val="0"/>
        <w:wordWrap w:val="0"/>
        <w:overflowPunct/>
        <w:topLinePunct w:val="0"/>
        <w:bidi w:val="0"/>
        <w:adjustRightInd w:val="0"/>
        <w:snapToGrid w:val="0"/>
        <w:spacing w:line="360" w:lineRule="auto"/>
        <w:ind w:firstLine="480"/>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（13）进入清算程序，或被宣告破产，或其他丧失履约能力的情形；</w:t>
      </w:r>
      <w:bookmarkStart w:id="18" w:name="bookmark116"/>
      <w:bookmarkEnd w:id="18"/>
      <w:r>
        <w:rPr>
          <w:rFonts w:hint="eastAsia" w:ascii="宋体" w:hAnsi="宋体" w:eastAsia="宋体" w:cs="宋体"/>
          <w:snapToGrid w:val="0"/>
          <w:color w:val="auto"/>
          <w:kern w:val="0"/>
          <w:sz w:val="24"/>
          <w:highlight w:val="none"/>
        </w:rPr>
        <w:t>处罚决定或司法机关出具的有关法律文书为准）；</w:t>
      </w:r>
    </w:p>
    <w:p w14:paraId="1BA42F11">
      <w:pPr>
        <w:pStyle w:val="34"/>
        <w:keepNext w:val="0"/>
        <w:keepLines w:val="0"/>
        <w:pageBreakBefore w:val="0"/>
        <w:widowControl w:val="0"/>
        <w:wordWrap w:val="0"/>
        <w:overflowPunct/>
        <w:topLinePunct w:val="0"/>
        <w:bidi w:val="0"/>
        <w:adjustRightInd w:val="0"/>
        <w:snapToGrid w:val="0"/>
        <w:spacing w:line="360" w:lineRule="auto"/>
        <w:ind w:firstLine="480"/>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（14）在最近三年内发生重大工程质量或安全问题（以相关行业主管部门的行政处罚决定或司法机关出具的有关法律文书为准）；</w:t>
      </w:r>
    </w:p>
    <w:p w14:paraId="1601A147">
      <w:pPr>
        <w:pStyle w:val="34"/>
        <w:keepNext w:val="0"/>
        <w:keepLines w:val="0"/>
        <w:pageBreakBefore w:val="0"/>
        <w:widowControl w:val="0"/>
        <w:wordWrap w:val="0"/>
        <w:overflowPunct/>
        <w:topLinePunct w:val="0"/>
        <w:bidi w:val="0"/>
        <w:adjustRightInd w:val="0"/>
        <w:snapToGrid w:val="0"/>
        <w:spacing w:line="360" w:lineRule="auto"/>
        <w:ind w:firstLine="480"/>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（15）被“信用中国”网站（https://www.creditchina.gov.cn）发布的《法人和非法人组织公共信用信息报告》列为严重失信主体名单的。</w:t>
      </w:r>
    </w:p>
    <w:p w14:paraId="356AECBA">
      <w:pPr>
        <w:pStyle w:val="34"/>
        <w:keepNext w:val="0"/>
        <w:keepLines w:val="0"/>
        <w:pageBreakBefore w:val="0"/>
        <w:widowControl w:val="0"/>
        <w:wordWrap w:val="0"/>
        <w:overflowPunct/>
        <w:topLinePunct w:val="0"/>
        <w:bidi w:val="0"/>
        <w:adjustRightInd w:val="0"/>
        <w:snapToGrid w:val="0"/>
        <w:spacing w:line="360" w:lineRule="auto"/>
        <w:ind w:firstLine="480"/>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2.4.2  招标人拒绝以下名单中的单位参加本次投标：</w:t>
      </w:r>
    </w:p>
    <w:tbl>
      <w:tblPr>
        <w:tblStyle w:val="24"/>
        <w:tblW w:w="0" w:type="auto"/>
        <w:tblInd w:w="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6"/>
        <w:gridCol w:w="4654"/>
        <w:gridCol w:w="4380"/>
      </w:tblGrid>
      <w:tr w14:paraId="2DAAD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716" w:type="dxa"/>
            <w:noWrap w:val="0"/>
            <w:vAlign w:val="center"/>
          </w:tcPr>
          <w:p w14:paraId="255C1DE3">
            <w:pPr>
              <w:spacing w:line="240" w:lineRule="auto"/>
              <w:jc w:val="center"/>
              <w:rPr>
                <w:rFonts w:hint="eastAsia" w:ascii="宋体" w:hAnsi="宋体" w:eastAsia="宋体" w:cs="宋体"/>
                <w:sz w:val="24"/>
                <w:szCs w:val="24"/>
              </w:rPr>
            </w:pPr>
            <w:r>
              <w:rPr>
                <w:rFonts w:hint="eastAsia" w:ascii="宋体" w:hAnsi="宋体" w:eastAsia="宋体" w:cs="宋体"/>
                <w:sz w:val="24"/>
                <w:szCs w:val="24"/>
              </w:rPr>
              <w:t>序号</w:t>
            </w:r>
          </w:p>
        </w:tc>
        <w:tc>
          <w:tcPr>
            <w:tcW w:w="4654" w:type="dxa"/>
            <w:noWrap w:val="0"/>
            <w:vAlign w:val="center"/>
          </w:tcPr>
          <w:p w14:paraId="022B7226">
            <w:pPr>
              <w:spacing w:line="240" w:lineRule="auto"/>
              <w:jc w:val="center"/>
              <w:rPr>
                <w:rFonts w:hint="eastAsia" w:ascii="宋体" w:hAnsi="宋体" w:eastAsia="宋体" w:cs="宋体"/>
                <w:sz w:val="24"/>
                <w:szCs w:val="24"/>
              </w:rPr>
            </w:pPr>
            <w:r>
              <w:rPr>
                <w:rFonts w:hint="eastAsia" w:ascii="宋体" w:hAnsi="宋体" w:eastAsia="宋体" w:cs="宋体"/>
                <w:sz w:val="24"/>
                <w:szCs w:val="24"/>
              </w:rPr>
              <w:t>单位名称</w:t>
            </w:r>
          </w:p>
        </w:tc>
        <w:tc>
          <w:tcPr>
            <w:tcW w:w="4380" w:type="dxa"/>
            <w:noWrap w:val="0"/>
            <w:vAlign w:val="center"/>
          </w:tcPr>
          <w:p w14:paraId="0EE3AEF8">
            <w:pPr>
              <w:spacing w:line="240" w:lineRule="auto"/>
              <w:jc w:val="center"/>
              <w:rPr>
                <w:rFonts w:hint="eastAsia" w:ascii="宋体" w:hAnsi="宋体" w:eastAsia="宋体" w:cs="宋体"/>
                <w:sz w:val="24"/>
                <w:szCs w:val="24"/>
              </w:rPr>
            </w:pPr>
            <w:r>
              <w:rPr>
                <w:rFonts w:hint="eastAsia" w:ascii="宋体" w:hAnsi="宋体" w:eastAsia="宋体" w:cs="宋体"/>
                <w:sz w:val="24"/>
                <w:szCs w:val="24"/>
              </w:rPr>
              <w:t>拒绝原因</w:t>
            </w:r>
          </w:p>
        </w:tc>
      </w:tr>
      <w:tr w14:paraId="73A0C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16" w:type="dxa"/>
            <w:noWrap w:val="0"/>
            <w:vAlign w:val="center"/>
          </w:tcPr>
          <w:p w14:paraId="1185793B">
            <w:pPr>
              <w:spacing w:line="240" w:lineRule="auto"/>
              <w:jc w:val="center"/>
              <w:rPr>
                <w:rFonts w:hint="eastAsia" w:ascii="宋体" w:hAnsi="宋体" w:eastAsia="宋体" w:cs="宋体"/>
                <w:sz w:val="24"/>
                <w:szCs w:val="24"/>
              </w:rPr>
            </w:pPr>
            <w:r>
              <w:rPr>
                <w:rFonts w:hint="eastAsia" w:ascii="宋体" w:hAnsi="宋体" w:eastAsia="宋体" w:cs="宋体"/>
                <w:sz w:val="24"/>
                <w:szCs w:val="24"/>
              </w:rPr>
              <w:t>1</w:t>
            </w:r>
          </w:p>
        </w:tc>
        <w:tc>
          <w:tcPr>
            <w:tcW w:w="4654" w:type="dxa"/>
            <w:noWrap w:val="0"/>
            <w:vAlign w:val="center"/>
          </w:tcPr>
          <w:p w14:paraId="602085C4">
            <w:pPr>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韶关市武江区重阳镇人民政府</w:t>
            </w:r>
          </w:p>
        </w:tc>
        <w:tc>
          <w:tcPr>
            <w:tcW w:w="4380" w:type="dxa"/>
            <w:noWrap w:val="0"/>
            <w:vAlign w:val="center"/>
          </w:tcPr>
          <w:p w14:paraId="580D2622">
            <w:pPr>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en-US"/>
              </w:rPr>
              <w:t>为本招标项目的业主</w:t>
            </w:r>
            <w:r>
              <w:rPr>
                <w:rFonts w:hint="eastAsia" w:ascii="宋体" w:hAnsi="宋体" w:eastAsia="宋体" w:cs="宋体"/>
                <w:sz w:val="24"/>
                <w:szCs w:val="24"/>
                <w:lang w:val="en-US" w:eastAsia="zh-CN"/>
              </w:rPr>
              <w:t>、</w:t>
            </w:r>
            <w:r>
              <w:rPr>
                <w:rFonts w:hint="eastAsia" w:ascii="宋体" w:hAnsi="宋体" w:eastAsia="宋体" w:cs="宋体"/>
                <w:sz w:val="24"/>
                <w:szCs w:val="24"/>
                <w:lang w:val="en-US" w:eastAsia="en-US"/>
              </w:rPr>
              <w:t>招标人</w:t>
            </w:r>
          </w:p>
        </w:tc>
      </w:tr>
      <w:tr w14:paraId="2B97F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16" w:type="dxa"/>
            <w:noWrap w:val="0"/>
            <w:vAlign w:val="center"/>
          </w:tcPr>
          <w:p w14:paraId="3B0EF995">
            <w:pPr>
              <w:spacing w:line="240" w:lineRule="auto"/>
              <w:jc w:val="center"/>
              <w:rPr>
                <w:rFonts w:hint="eastAsia" w:ascii="宋体" w:hAnsi="宋体" w:eastAsia="宋体" w:cs="宋体"/>
                <w:sz w:val="24"/>
                <w:szCs w:val="24"/>
              </w:rPr>
            </w:pPr>
            <w:r>
              <w:rPr>
                <w:rFonts w:hint="eastAsia" w:ascii="宋体" w:hAnsi="宋体" w:eastAsia="宋体" w:cs="宋体"/>
                <w:sz w:val="24"/>
                <w:szCs w:val="24"/>
              </w:rPr>
              <w:t>2</w:t>
            </w:r>
          </w:p>
        </w:tc>
        <w:tc>
          <w:tcPr>
            <w:tcW w:w="4654" w:type="dxa"/>
            <w:shd w:val="clear" w:color="auto" w:fill="auto"/>
            <w:noWrap w:val="0"/>
            <w:vAlign w:val="center"/>
          </w:tcPr>
          <w:p w14:paraId="00749D74">
            <w:pPr>
              <w:spacing w:line="240" w:lineRule="auto"/>
              <w:jc w:val="center"/>
              <w:rPr>
                <w:rFonts w:hint="eastAsia" w:ascii="宋体" w:hAnsi="宋体" w:eastAsia="宋体" w:cs="宋体"/>
                <w:snapToGrid w:val="0"/>
                <w:color w:val="000000"/>
                <w:sz w:val="24"/>
                <w:szCs w:val="24"/>
                <w:lang w:val="en-US" w:eastAsia="zh-CN" w:bidi="ar-SA"/>
              </w:rPr>
            </w:pPr>
            <w:r>
              <w:rPr>
                <w:rFonts w:hint="eastAsia" w:ascii="宋体" w:hAnsi="宋体" w:eastAsia="宋体" w:cs="宋体"/>
                <w:sz w:val="24"/>
                <w:szCs w:val="24"/>
                <w:lang w:val="en-US" w:eastAsia="zh-CN"/>
              </w:rPr>
              <w:t>广东宝骏工程咨询有限公司</w:t>
            </w:r>
          </w:p>
        </w:tc>
        <w:tc>
          <w:tcPr>
            <w:tcW w:w="4380" w:type="dxa"/>
            <w:shd w:val="clear" w:color="auto" w:fill="auto"/>
            <w:noWrap w:val="0"/>
            <w:vAlign w:val="center"/>
          </w:tcPr>
          <w:p w14:paraId="08151AE5">
            <w:pPr>
              <w:spacing w:line="240" w:lineRule="auto"/>
              <w:jc w:val="center"/>
              <w:rPr>
                <w:rFonts w:hint="eastAsia" w:ascii="宋体" w:hAnsi="宋体" w:eastAsia="宋体" w:cs="宋体"/>
                <w:snapToGrid w:val="0"/>
                <w:color w:val="000000"/>
                <w:sz w:val="24"/>
                <w:szCs w:val="24"/>
                <w:lang w:val="en-US" w:eastAsia="en-US" w:bidi="ar-SA"/>
              </w:rPr>
            </w:pPr>
            <w:r>
              <w:rPr>
                <w:rFonts w:hint="eastAsia" w:ascii="宋体" w:hAnsi="宋体" w:eastAsia="宋体" w:cs="宋体"/>
                <w:sz w:val="24"/>
                <w:szCs w:val="24"/>
                <w:lang w:val="en-US" w:eastAsia="en-US"/>
              </w:rPr>
              <w:t>为本招标项目的招标代理机构</w:t>
            </w:r>
          </w:p>
        </w:tc>
      </w:tr>
      <w:tr w14:paraId="3A794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16" w:type="dxa"/>
            <w:noWrap w:val="0"/>
            <w:vAlign w:val="center"/>
          </w:tcPr>
          <w:p w14:paraId="67598F08">
            <w:pPr>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3</w:t>
            </w:r>
          </w:p>
        </w:tc>
        <w:tc>
          <w:tcPr>
            <w:tcW w:w="4654" w:type="dxa"/>
            <w:shd w:val="clear" w:color="auto" w:fill="auto"/>
            <w:noWrap w:val="0"/>
            <w:vAlign w:val="center"/>
          </w:tcPr>
          <w:p w14:paraId="611211BC">
            <w:pPr>
              <w:spacing w:line="240" w:lineRule="auto"/>
              <w:jc w:val="center"/>
              <w:rPr>
                <w:rFonts w:hint="eastAsia" w:ascii="宋体" w:hAnsi="宋体" w:eastAsia="宋体" w:cs="宋体"/>
                <w:snapToGrid w:val="0"/>
                <w:color w:val="auto"/>
                <w:sz w:val="24"/>
                <w:szCs w:val="24"/>
                <w:lang w:val="en-US" w:eastAsia="zh-CN" w:bidi="ar-SA"/>
              </w:rPr>
            </w:pPr>
            <w:r>
              <w:rPr>
                <w:rFonts w:hint="eastAsia" w:ascii="宋体" w:hAnsi="宋体" w:eastAsia="宋体" w:cs="宋体"/>
                <w:color w:val="auto"/>
                <w:sz w:val="24"/>
                <w:szCs w:val="24"/>
                <w:lang w:val="en-US" w:eastAsia="zh-CN"/>
              </w:rPr>
              <w:t>深圳市建星项目管理顾问有限公司</w:t>
            </w:r>
          </w:p>
        </w:tc>
        <w:tc>
          <w:tcPr>
            <w:tcW w:w="4380" w:type="dxa"/>
            <w:shd w:val="clear" w:color="auto" w:fill="auto"/>
            <w:noWrap w:val="0"/>
            <w:vAlign w:val="center"/>
          </w:tcPr>
          <w:p w14:paraId="364115F4">
            <w:pPr>
              <w:spacing w:line="240" w:lineRule="auto"/>
              <w:jc w:val="center"/>
              <w:rPr>
                <w:rFonts w:hint="eastAsia" w:ascii="宋体" w:hAnsi="宋体" w:eastAsia="宋体" w:cs="宋体"/>
                <w:snapToGrid w:val="0"/>
                <w:color w:val="auto"/>
                <w:sz w:val="24"/>
                <w:szCs w:val="24"/>
                <w:lang w:val="en-US" w:eastAsia="en-US" w:bidi="ar-SA"/>
              </w:rPr>
            </w:pPr>
            <w:r>
              <w:rPr>
                <w:rFonts w:hint="eastAsia" w:ascii="宋体" w:hAnsi="宋体" w:eastAsia="宋体" w:cs="宋体"/>
                <w:color w:val="auto"/>
                <w:sz w:val="24"/>
                <w:szCs w:val="24"/>
                <w:lang w:val="en-US" w:eastAsia="en-US"/>
              </w:rPr>
              <w:t>为本招标项目的可研编制单位</w:t>
            </w:r>
          </w:p>
        </w:tc>
      </w:tr>
      <w:tr w14:paraId="016D2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16" w:type="dxa"/>
            <w:noWrap w:val="0"/>
            <w:vAlign w:val="center"/>
          </w:tcPr>
          <w:p w14:paraId="568F6A7A">
            <w:pPr>
              <w:spacing w:line="240" w:lineRule="auto"/>
              <w:jc w:val="center"/>
              <w:rPr>
                <w:rFonts w:hint="eastAsia" w:ascii="宋体" w:hAnsi="宋体" w:eastAsia="宋体" w:cs="宋体"/>
                <w:sz w:val="24"/>
                <w:szCs w:val="24"/>
              </w:rPr>
            </w:pPr>
            <w:r>
              <w:rPr>
                <w:rFonts w:hint="eastAsia" w:ascii="宋体" w:hAnsi="宋体" w:eastAsia="宋体" w:cs="宋体"/>
                <w:sz w:val="24"/>
                <w:szCs w:val="24"/>
              </w:rPr>
              <w:t>4</w:t>
            </w:r>
          </w:p>
        </w:tc>
        <w:tc>
          <w:tcPr>
            <w:tcW w:w="4654" w:type="dxa"/>
            <w:shd w:val="clear" w:color="auto" w:fill="auto"/>
            <w:noWrap w:val="0"/>
            <w:vAlign w:val="center"/>
          </w:tcPr>
          <w:p w14:paraId="69F4B320">
            <w:pPr>
              <w:spacing w:line="240" w:lineRule="auto"/>
              <w:jc w:val="center"/>
              <w:rPr>
                <w:rFonts w:hint="eastAsia" w:ascii="宋体" w:hAnsi="宋体" w:eastAsia="宋体" w:cs="宋体"/>
                <w:snapToGrid w:val="0"/>
                <w:color w:val="000000"/>
                <w:sz w:val="24"/>
                <w:szCs w:val="24"/>
                <w:lang w:val="en-US" w:eastAsia="zh-CN" w:bidi="ar-SA"/>
              </w:rPr>
            </w:pPr>
            <w:r>
              <w:rPr>
                <w:rFonts w:hint="eastAsia" w:ascii="宋体" w:hAnsi="宋体" w:eastAsia="宋体" w:cs="宋体"/>
                <w:snapToGrid w:val="0"/>
                <w:color w:val="000000"/>
                <w:sz w:val="24"/>
                <w:szCs w:val="24"/>
                <w:lang w:val="en-US" w:eastAsia="zh-CN" w:bidi="ar-SA"/>
              </w:rPr>
              <w:t>广东明正项目管理有限公司</w:t>
            </w:r>
          </w:p>
        </w:tc>
        <w:tc>
          <w:tcPr>
            <w:tcW w:w="4380" w:type="dxa"/>
            <w:shd w:val="clear" w:color="auto" w:fill="auto"/>
            <w:noWrap w:val="0"/>
            <w:vAlign w:val="center"/>
          </w:tcPr>
          <w:p w14:paraId="58B75119">
            <w:pPr>
              <w:spacing w:line="240" w:lineRule="auto"/>
              <w:jc w:val="center"/>
              <w:rPr>
                <w:rFonts w:hint="eastAsia" w:ascii="宋体" w:hAnsi="宋体" w:eastAsia="宋体" w:cs="宋体"/>
                <w:snapToGrid w:val="0"/>
                <w:color w:val="000000"/>
                <w:sz w:val="24"/>
                <w:szCs w:val="24"/>
                <w:lang w:val="en-US" w:eastAsia="en-US" w:bidi="ar-SA"/>
              </w:rPr>
            </w:pPr>
            <w:r>
              <w:rPr>
                <w:rFonts w:hint="eastAsia" w:ascii="宋体" w:hAnsi="宋体" w:eastAsia="宋体" w:cs="宋体"/>
                <w:sz w:val="24"/>
                <w:szCs w:val="24"/>
                <w:lang w:val="en-US" w:eastAsia="en-US"/>
              </w:rPr>
              <w:t>为本招标项目的</w:t>
            </w:r>
            <w:r>
              <w:rPr>
                <w:rFonts w:hint="eastAsia" w:ascii="宋体" w:hAnsi="宋体" w:eastAsia="宋体" w:cs="宋体"/>
                <w:sz w:val="24"/>
                <w:szCs w:val="24"/>
                <w:lang w:val="en-US" w:eastAsia="zh-CN"/>
              </w:rPr>
              <w:t>预算编制</w:t>
            </w:r>
            <w:r>
              <w:rPr>
                <w:rFonts w:hint="eastAsia" w:ascii="宋体" w:hAnsi="宋体" w:eastAsia="宋体" w:cs="宋体"/>
                <w:sz w:val="24"/>
                <w:szCs w:val="24"/>
                <w:lang w:val="en-US" w:eastAsia="en-US"/>
              </w:rPr>
              <w:t>单位</w:t>
            </w:r>
          </w:p>
        </w:tc>
      </w:tr>
      <w:tr w14:paraId="5A683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16" w:type="dxa"/>
            <w:noWrap w:val="0"/>
            <w:vAlign w:val="center"/>
          </w:tcPr>
          <w:p w14:paraId="7821F4EE">
            <w:pPr>
              <w:spacing w:line="24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5</w:t>
            </w:r>
          </w:p>
        </w:tc>
        <w:tc>
          <w:tcPr>
            <w:tcW w:w="4654" w:type="dxa"/>
            <w:shd w:val="clear" w:color="auto" w:fill="auto"/>
            <w:noWrap w:val="0"/>
            <w:vAlign w:val="center"/>
          </w:tcPr>
          <w:p w14:paraId="0EF3BFFF">
            <w:pPr>
              <w:spacing w:line="240" w:lineRule="auto"/>
              <w:jc w:val="center"/>
              <w:rPr>
                <w:rFonts w:hint="eastAsia" w:ascii="宋体" w:hAnsi="宋体" w:eastAsia="宋体" w:cs="宋体"/>
                <w:snapToGrid w:val="0"/>
                <w:color w:val="000000"/>
                <w:sz w:val="24"/>
                <w:szCs w:val="24"/>
                <w:lang w:val="en-US" w:eastAsia="zh-CN" w:bidi="ar-SA"/>
              </w:rPr>
            </w:pPr>
            <w:r>
              <w:rPr>
                <w:rFonts w:hint="eastAsia" w:ascii="宋体" w:hAnsi="宋体" w:eastAsia="宋体" w:cs="宋体"/>
                <w:snapToGrid w:val="0"/>
                <w:color w:val="000000"/>
                <w:sz w:val="24"/>
                <w:szCs w:val="24"/>
                <w:lang w:val="en-US" w:eastAsia="zh-CN" w:bidi="ar-SA"/>
              </w:rPr>
              <w:t>广东泰通伟业工程咨询有限公司</w:t>
            </w:r>
          </w:p>
        </w:tc>
        <w:tc>
          <w:tcPr>
            <w:tcW w:w="4380" w:type="dxa"/>
            <w:shd w:val="clear" w:color="auto" w:fill="auto"/>
            <w:noWrap w:val="0"/>
            <w:vAlign w:val="center"/>
          </w:tcPr>
          <w:p w14:paraId="47F94BF8">
            <w:pPr>
              <w:spacing w:line="240" w:lineRule="auto"/>
              <w:jc w:val="center"/>
              <w:rPr>
                <w:rFonts w:hint="eastAsia" w:ascii="宋体" w:hAnsi="宋体" w:eastAsia="宋体" w:cs="宋体"/>
                <w:snapToGrid w:val="0"/>
                <w:color w:val="000000"/>
                <w:sz w:val="24"/>
                <w:szCs w:val="24"/>
                <w:lang w:val="en-US" w:eastAsia="zh-CN" w:bidi="ar-SA"/>
              </w:rPr>
            </w:pPr>
            <w:r>
              <w:rPr>
                <w:rFonts w:hint="eastAsia" w:ascii="宋体" w:hAnsi="宋体" w:eastAsia="宋体" w:cs="宋体"/>
                <w:sz w:val="24"/>
                <w:szCs w:val="24"/>
                <w:lang w:val="en-US" w:eastAsia="en-US"/>
              </w:rPr>
              <w:t>为本招标项目的</w:t>
            </w:r>
            <w:r>
              <w:rPr>
                <w:rFonts w:hint="eastAsia" w:ascii="宋体" w:hAnsi="宋体" w:eastAsia="宋体" w:cs="宋体"/>
                <w:sz w:val="24"/>
                <w:szCs w:val="24"/>
                <w:lang w:val="en-US" w:eastAsia="zh-CN"/>
              </w:rPr>
              <w:t>预算审核</w:t>
            </w:r>
            <w:r>
              <w:rPr>
                <w:rFonts w:hint="eastAsia" w:ascii="宋体" w:hAnsi="宋体" w:eastAsia="宋体" w:cs="宋体"/>
                <w:sz w:val="24"/>
                <w:szCs w:val="24"/>
                <w:lang w:val="en-US" w:eastAsia="en-US"/>
              </w:rPr>
              <w:t>单位</w:t>
            </w:r>
          </w:p>
        </w:tc>
      </w:tr>
      <w:tr w14:paraId="3C9AA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16" w:type="dxa"/>
            <w:shd w:val="clear" w:color="auto" w:fill="auto"/>
            <w:noWrap w:val="0"/>
            <w:vAlign w:val="center"/>
          </w:tcPr>
          <w:p w14:paraId="5AFF6089">
            <w:pPr>
              <w:spacing w:line="240" w:lineRule="auto"/>
              <w:jc w:val="center"/>
              <w:rPr>
                <w:rFonts w:hint="eastAsia" w:ascii="宋体" w:hAnsi="宋体" w:eastAsia="宋体" w:cs="宋体"/>
                <w:snapToGrid w:val="0"/>
                <w:color w:val="000000"/>
                <w:sz w:val="24"/>
                <w:szCs w:val="24"/>
                <w:lang w:val="en-US" w:eastAsia="zh-CN" w:bidi="ar-SA"/>
              </w:rPr>
            </w:pPr>
            <w:r>
              <w:rPr>
                <w:rFonts w:hint="eastAsia" w:ascii="宋体" w:hAnsi="宋体" w:eastAsia="宋体" w:cs="宋体"/>
                <w:sz w:val="24"/>
                <w:szCs w:val="24"/>
                <w:lang w:val="en-US" w:eastAsia="zh-CN"/>
              </w:rPr>
              <w:t>6</w:t>
            </w:r>
          </w:p>
        </w:tc>
        <w:tc>
          <w:tcPr>
            <w:tcW w:w="4654" w:type="dxa"/>
            <w:shd w:val="clear" w:color="auto" w:fill="auto"/>
            <w:noWrap w:val="0"/>
            <w:vAlign w:val="center"/>
          </w:tcPr>
          <w:p w14:paraId="747F78ED">
            <w:pPr>
              <w:spacing w:line="240" w:lineRule="auto"/>
              <w:jc w:val="center"/>
              <w:rPr>
                <w:rFonts w:hint="eastAsia" w:ascii="宋体" w:hAnsi="宋体" w:eastAsia="宋体" w:cs="宋体"/>
                <w:snapToGrid w:val="0"/>
                <w:color w:val="000000"/>
                <w:sz w:val="24"/>
                <w:szCs w:val="24"/>
                <w:lang w:val="en-US" w:eastAsia="zh-CN" w:bidi="ar-SA"/>
              </w:rPr>
            </w:pPr>
            <w:r>
              <w:rPr>
                <w:rFonts w:hint="eastAsia" w:ascii="宋体" w:hAnsi="宋体" w:eastAsia="宋体" w:cs="宋体"/>
                <w:sz w:val="24"/>
                <w:szCs w:val="24"/>
                <w:lang w:val="en-US" w:eastAsia="zh-CN"/>
              </w:rPr>
              <w:t>中誉恒信工程咨询有限公司</w:t>
            </w:r>
          </w:p>
        </w:tc>
        <w:tc>
          <w:tcPr>
            <w:tcW w:w="4380" w:type="dxa"/>
            <w:shd w:val="clear" w:color="auto" w:fill="auto"/>
            <w:noWrap w:val="0"/>
            <w:vAlign w:val="center"/>
          </w:tcPr>
          <w:p w14:paraId="179D8122">
            <w:pPr>
              <w:spacing w:line="240" w:lineRule="auto"/>
              <w:jc w:val="center"/>
              <w:rPr>
                <w:rFonts w:hint="eastAsia" w:ascii="宋体" w:hAnsi="宋体" w:eastAsia="宋体" w:cs="宋体"/>
                <w:snapToGrid w:val="0"/>
                <w:color w:val="000000"/>
                <w:sz w:val="24"/>
                <w:szCs w:val="24"/>
                <w:lang w:val="en-US" w:eastAsia="en-US" w:bidi="ar-SA"/>
              </w:rPr>
            </w:pPr>
            <w:r>
              <w:rPr>
                <w:rFonts w:hint="eastAsia" w:ascii="宋体" w:hAnsi="宋体" w:eastAsia="宋体" w:cs="宋体"/>
                <w:sz w:val="24"/>
                <w:szCs w:val="24"/>
                <w:lang w:val="en-US" w:eastAsia="en-US"/>
              </w:rPr>
              <w:t>为本招标项目的</w:t>
            </w:r>
            <w:r>
              <w:rPr>
                <w:rFonts w:hint="eastAsia" w:ascii="宋体" w:hAnsi="宋体" w:eastAsia="宋体" w:cs="宋体"/>
                <w:sz w:val="24"/>
                <w:szCs w:val="24"/>
                <w:lang w:val="en-US" w:eastAsia="zh-CN"/>
              </w:rPr>
              <w:t>设计单位</w:t>
            </w:r>
          </w:p>
        </w:tc>
      </w:tr>
    </w:tbl>
    <w:p w14:paraId="5D1C8E36">
      <w:pPr>
        <w:spacing w:before="153" w:line="360" w:lineRule="auto"/>
        <w:ind w:left="70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2.5  </w:t>
      </w:r>
      <w:r>
        <w:rPr>
          <w:rFonts w:hint="eastAsia" w:ascii="宋体" w:hAnsi="宋体" w:eastAsia="宋体" w:cs="宋体"/>
          <w:color w:val="auto"/>
          <w:spacing w:val="-1"/>
          <w:sz w:val="24"/>
          <w:szCs w:val="24"/>
          <w:highlight w:val="none"/>
        </w:rPr>
        <w:t>其他要求</w:t>
      </w:r>
    </w:p>
    <w:p w14:paraId="3A84FD35">
      <w:pPr>
        <w:spacing w:before="150" w:line="360" w:lineRule="auto"/>
        <w:ind w:left="232" w:right="99" w:firstLine="481"/>
        <w:rPr>
          <w:rFonts w:hint="eastAsia" w:ascii="宋体" w:hAnsi="宋体" w:eastAsia="宋体" w:cs="宋体"/>
          <w:color w:val="auto"/>
          <w:highlight w:val="none"/>
        </w:rPr>
      </w:pPr>
      <w:r>
        <w:rPr>
          <w:rFonts w:hint="eastAsia" w:ascii="宋体" w:hAnsi="宋体" w:eastAsia="宋体" w:cs="宋体"/>
          <w:color w:val="auto"/>
          <w:spacing w:val="-1"/>
          <w:sz w:val="24"/>
          <w:szCs w:val="24"/>
          <w:highlight w:val="none"/>
        </w:rPr>
        <w:t>省外企业及其拟派往本项目管理机构的所有</w:t>
      </w:r>
      <w:r>
        <w:rPr>
          <w:rFonts w:hint="eastAsia" w:ascii="宋体" w:hAnsi="宋体" w:eastAsia="宋体" w:cs="宋体"/>
          <w:color w:val="auto"/>
          <w:spacing w:val="-2"/>
          <w:sz w:val="24"/>
          <w:szCs w:val="24"/>
          <w:highlight w:val="none"/>
        </w:rPr>
        <w:t>人员均须按照《广东省住房和城乡建</w:t>
      </w:r>
      <w:r>
        <w:rPr>
          <w:rFonts w:hint="eastAsia" w:ascii="宋体" w:hAnsi="宋体" w:eastAsia="宋体" w:cs="宋体"/>
          <w:color w:val="auto"/>
          <w:spacing w:val="-1"/>
          <w:sz w:val="24"/>
          <w:szCs w:val="24"/>
          <w:highlight w:val="none"/>
        </w:rPr>
        <w:t>设厅关于取消省外建筑企业和人员进粤信息备案有关工作的通知》</w:t>
      </w:r>
      <w:r>
        <w:rPr>
          <w:rFonts w:hint="eastAsia" w:ascii="宋体" w:hAnsi="宋体" w:eastAsia="宋体" w:cs="宋体"/>
          <w:color w:val="auto"/>
          <w:spacing w:val="-2"/>
          <w:sz w:val="24"/>
          <w:szCs w:val="24"/>
          <w:highlight w:val="none"/>
        </w:rPr>
        <w:t>（粤建市﹝2015﹞</w:t>
      </w:r>
      <w:r>
        <w:rPr>
          <w:rFonts w:hint="eastAsia" w:ascii="宋体" w:hAnsi="宋体" w:eastAsia="宋体" w:cs="宋体"/>
          <w:color w:val="auto"/>
          <w:spacing w:val="-4"/>
          <w:sz w:val="24"/>
          <w:szCs w:val="24"/>
          <w:highlight w:val="none"/>
        </w:rPr>
        <w:t>52号）规定在“进粤企业和人员诚信信息登记平台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”录入相关信息并通过数</w:t>
      </w:r>
      <w:r>
        <w:rPr>
          <w:rFonts w:hint="eastAsia" w:ascii="宋体" w:hAnsi="宋体" w:eastAsia="宋体" w:cs="宋体"/>
          <w:color w:val="auto"/>
          <w:spacing w:val="-5"/>
          <w:sz w:val="24"/>
          <w:szCs w:val="24"/>
          <w:highlight w:val="none"/>
        </w:rPr>
        <w:t>据规范检</w:t>
      </w:r>
      <w:r>
        <w:rPr>
          <w:rFonts w:hint="eastAsia" w:ascii="宋体" w:hAnsi="宋体" w:eastAsia="宋体" w:cs="宋体"/>
          <w:color w:val="auto"/>
          <w:spacing w:val="-6"/>
          <w:sz w:val="24"/>
          <w:szCs w:val="24"/>
          <w:highlight w:val="none"/>
        </w:rPr>
        <w:t>查。</w:t>
      </w:r>
    </w:p>
    <w:p w14:paraId="0BDE96C7">
      <w:pPr>
        <w:spacing w:before="79" w:line="360" w:lineRule="auto"/>
        <w:ind w:left="715"/>
        <w:outlineLvl w:val="2"/>
        <w:rPr>
          <w:rFonts w:hint="eastAsia" w:ascii="宋体" w:hAnsi="宋体" w:eastAsia="宋体" w:cs="宋体"/>
          <w:color w:val="auto"/>
          <w:sz w:val="24"/>
          <w:szCs w:val="24"/>
          <w:highlight w:val="none"/>
        </w:rPr>
      </w:pPr>
      <w:bookmarkStart w:id="19" w:name="_Toc32239"/>
      <w:bookmarkStart w:id="20" w:name="_Toc10655"/>
      <w:r>
        <w:rPr>
          <w:rFonts w:hint="eastAsia" w:ascii="宋体" w:hAnsi="宋体" w:eastAsia="宋体" w:cs="宋体"/>
          <w:b/>
          <w:bCs/>
          <w:color w:val="auto"/>
          <w:spacing w:val="-4"/>
          <w:sz w:val="24"/>
          <w:szCs w:val="24"/>
          <w:highlight w:val="none"/>
        </w:rPr>
        <w:t>3</w:t>
      </w:r>
      <w:r>
        <w:rPr>
          <w:rFonts w:hint="eastAsia" w:ascii="宋体" w:hAnsi="宋体" w:eastAsia="宋体" w:cs="宋体"/>
          <w:b/>
          <w:bCs/>
          <w:color w:val="auto"/>
          <w:spacing w:val="-4"/>
          <w:sz w:val="24"/>
          <w:szCs w:val="24"/>
          <w:highlight w:val="none"/>
          <w:lang w:val="en-US" w:eastAsia="zh-CN"/>
        </w:rPr>
        <w:t>.</w:t>
      </w:r>
      <w:r>
        <w:rPr>
          <w:rFonts w:hint="eastAsia" w:ascii="宋体" w:hAnsi="宋体" w:eastAsia="宋体" w:cs="宋体"/>
          <w:b/>
          <w:bCs/>
          <w:color w:val="auto"/>
          <w:spacing w:val="-4"/>
          <w:sz w:val="24"/>
          <w:szCs w:val="24"/>
          <w:highlight w:val="none"/>
        </w:rPr>
        <w:t>招标文件的获取</w:t>
      </w:r>
      <w:bookmarkEnd w:id="19"/>
      <w:bookmarkEnd w:id="20"/>
    </w:p>
    <w:p w14:paraId="10B325F2">
      <w:pPr>
        <w:spacing w:before="182" w:line="360" w:lineRule="auto"/>
        <w:ind w:left="70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3.1  </w:t>
      </w:r>
      <w:r>
        <w:rPr>
          <w:rFonts w:hint="eastAsia" w:ascii="宋体" w:hAnsi="宋体" w:eastAsia="宋体" w:cs="宋体"/>
          <w:color w:val="auto"/>
          <w:spacing w:val="-1"/>
          <w:sz w:val="24"/>
          <w:szCs w:val="24"/>
          <w:highlight w:val="none"/>
        </w:rPr>
        <w:t>本次招标实行电子投标。</w:t>
      </w:r>
    </w:p>
    <w:p w14:paraId="116295C5">
      <w:pPr>
        <w:spacing w:before="178" w:line="360" w:lineRule="auto"/>
        <w:ind w:left="229" w:firstLine="48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本次招标实行电子投标。本项目招标文件随招标公</w:t>
      </w:r>
      <w:r>
        <w:rPr>
          <w:rFonts w:hint="eastAsia" w:ascii="宋体" w:hAnsi="宋体" w:eastAsia="宋体" w:cs="宋体"/>
          <w:color w:val="auto"/>
          <w:spacing w:val="-2"/>
          <w:sz w:val="24"/>
          <w:szCs w:val="24"/>
          <w:highlight w:val="none"/>
        </w:rPr>
        <w:t>告一并在全国公共资源交易平台（广东省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·韶关市</w:t>
      </w:r>
      <w:r>
        <w:rPr>
          <w:rFonts w:hint="eastAsia" w:ascii="宋体" w:hAnsi="宋体" w:eastAsia="宋体" w:cs="宋体"/>
          <w:color w:val="auto"/>
          <w:spacing w:val="-56"/>
          <w:sz w:val="24"/>
          <w:szCs w:val="24"/>
          <w:highlight w:val="none"/>
        </w:rPr>
        <w:t>）（</w:t>
      </w:r>
      <w:r>
        <w:rPr>
          <w:rFonts w:hint="eastAsia" w:ascii="宋体" w:hAnsi="宋体" w:eastAsia="宋体" w:cs="宋体"/>
          <w:color w:val="auto"/>
          <w:spacing w:val="-2"/>
          <w:sz w:val="24"/>
          <w:szCs w:val="24"/>
          <w:highlight w:val="none"/>
        </w:rPr>
        <w:t>https://yg</w:t>
      </w:r>
      <w:r>
        <w:rPr>
          <w:rFonts w:hint="eastAsia" w:ascii="宋体" w:hAnsi="宋体" w:eastAsia="宋体" w:cs="宋体"/>
          <w:color w:val="auto"/>
          <w:spacing w:val="-3"/>
          <w:sz w:val="24"/>
          <w:szCs w:val="24"/>
          <w:highlight w:val="none"/>
        </w:rPr>
        <w:t>p.gdzwfw.gov.cn/ggzy-portal/#/440200/index）</w:t>
      </w:r>
      <w:r>
        <w:rPr>
          <w:rFonts w:hint="eastAsia" w:ascii="宋体" w:hAnsi="宋体" w:eastAsia="宋体" w:cs="宋体"/>
          <w:color w:val="auto"/>
          <w:spacing w:val="-1"/>
          <w:sz w:val="24"/>
          <w:szCs w:val="24"/>
          <w:highlight w:val="none"/>
        </w:rPr>
        <w:t>网站发布。招标文件一经发布，视为发送投标人，招标文件及相</w:t>
      </w:r>
      <w:r>
        <w:rPr>
          <w:rFonts w:hint="eastAsia" w:ascii="宋体" w:hAnsi="宋体" w:eastAsia="宋体" w:cs="宋体"/>
          <w:color w:val="auto"/>
          <w:spacing w:val="-2"/>
          <w:sz w:val="24"/>
          <w:szCs w:val="24"/>
          <w:highlight w:val="none"/>
        </w:rPr>
        <w:t>关附件由投标人自行</w:t>
      </w:r>
      <w:r>
        <w:rPr>
          <w:rFonts w:hint="eastAsia" w:ascii="宋体" w:hAnsi="宋体" w:eastAsia="宋体" w:cs="宋体"/>
          <w:color w:val="auto"/>
          <w:spacing w:val="-7"/>
          <w:sz w:val="24"/>
          <w:szCs w:val="24"/>
          <w:highlight w:val="none"/>
        </w:rPr>
        <w:t>在全国公共资源交易平台（广东省·韶关市）网站下载。请于招标文件获取期间,（见</w:t>
      </w:r>
      <w:r>
        <w:rPr>
          <w:rFonts w:hint="eastAsia" w:ascii="宋体" w:hAnsi="宋体" w:eastAsia="宋体" w:cs="宋体"/>
          <w:color w:val="auto"/>
          <w:spacing w:val="-2"/>
          <w:sz w:val="24"/>
          <w:szCs w:val="24"/>
          <w:highlight w:val="none"/>
        </w:rPr>
        <w:t>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”）招标文件获取期间与招标公告发</w:t>
      </w:r>
      <w:r>
        <w:rPr>
          <w:rFonts w:hint="eastAsia" w:ascii="宋体" w:hAnsi="宋体" w:eastAsia="宋体" w:cs="宋体"/>
          <w:color w:val="auto"/>
          <w:spacing w:val="-3"/>
          <w:sz w:val="24"/>
          <w:szCs w:val="24"/>
          <w:highlight w:val="none"/>
        </w:rPr>
        <w:t>布时间一</w:t>
      </w:r>
      <w:r>
        <w:rPr>
          <w:rFonts w:hint="eastAsia" w:ascii="宋体" w:hAnsi="宋体" w:eastAsia="宋体" w:cs="宋体"/>
          <w:color w:val="auto"/>
          <w:spacing w:val="-4"/>
          <w:sz w:val="24"/>
          <w:szCs w:val="24"/>
          <w:highlight w:val="none"/>
        </w:rPr>
        <w:t>致，投标人须登录全国公共资源交易平台（广东省·韶关市</w:t>
      </w:r>
      <w:r>
        <w:rPr>
          <w:rFonts w:hint="eastAsia" w:ascii="宋体" w:hAnsi="宋体" w:eastAsia="宋体" w:cs="宋体"/>
          <w:color w:val="auto"/>
          <w:spacing w:val="-40"/>
          <w:sz w:val="24"/>
          <w:szCs w:val="24"/>
          <w:highlight w:val="none"/>
        </w:rPr>
        <w:t>）（</w:t>
      </w:r>
      <w:r>
        <w:rPr>
          <w:rFonts w:hint="eastAsia" w:ascii="宋体" w:hAnsi="宋体" w:eastAsia="宋体" w:cs="宋体"/>
          <w:color w:val="auto"/>
          <w:spacing w:val="-4"/>
          <w:sz w:val="24"/>
          <w:szCs w:val="24"/>
          <w:highlight w:val="none"/>
        </w:rPr>
        <w:t>https://ygp.gdzwfw.</w:t>
      </w:r>
      <w:r>
        <w:rPr>
          <w:rFonts w:hint="eastAsia" w:ascii="宋体" w:hAnsi="宋体" w:eastAsia="宋体" w:cs="宋体"/>
          <w:color w:val="auto"/>
          <w:sz w:val="24"/>
          <w:szCs w:val="24"/>
          <w:highlight w:val="none"/>
        </w:rPr>
        <w:t>gov</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ggzy</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portal</w:t>
      </w:r>
      <w:r>
        <w:rPr>
          <w:rFonts w:hint="eastAsia" w:ascii="宋体" w:hAnsi="宋体" w:eastAsia="宋体" w:cs="宋体"/>
          <w:color w:val="auto"/>
          <w:spacing w:val="2"/>
          <w:sz w:val="24"/>
          <w:szCs w:val="24"/>
          <w:highlight w:val="none"/>
        </w:rPr>
        <w:t>/#/440200/</w:t>
      </w:r>
      <w:r>
        <w:rPr>
          <w:rFonts w:hint="eastAsia" w:ascii="宋体" w:hAnsi="宋体" w:eastAsia="宋体" w:cs="宋体"/>
          <w:color w:val="auto"/>
          <w:sz w:val="24"/>
          <w:szCs w:val="24"/>
          <w:highlight w:val="none"/>
        </w:rPr>
        <w:t>index</w:t>
      </w:r>
      <w:r>
        <w:rPr>
          <w:rFonts w:hint="eastAsia" w:ascii="宋体" w:hAnsi="宋体" w:eastAsia="宋体" w:cs="宋体"/>
          <w:color w:val="auto"/>
          <w:spacing w:val="7"/>
          <w:sz w:val="24"/>
          <w:szCs w:val="24"/>
          <w:highlight w:val="none"/>
        </w:rPr>
        <w:t>），</w:t>
      </w:r>
      <w:r>
        <w:rPr>
          <w:rFonts w:hint="eastAsia" w:ascii="宋体" w:hAnsi="宋体" w:eastAsia="宋体" w:cs="宋体"/>
          <w:color w:val="auto"/>
          <w:spacing w:val="2"/>
          <w:sz w:val="24"/>
          <w:szCs w:val="24"/>
          <w:highlight w:val="none"/>
        </w:rPr>
        <w:t>使用新建设工程交易系统进行下载</w:t>
      </w:r>
      <w:r>
        <w:rPr>
          <w:rFonts w:hint="eastAsia" w:ascii="宋体" w:hAnsi="宋体" w:eastAsia="宋体" w:cs="宋体"/>
          <w:color w:val="auto"/>
          <w:spacing w:val="1"/>
          <w:sz w:val="24"/>
          <w:szCs w:val="24"/>
          <w:highlight w:val="none"/>
        </w:rPr>
        <w:t>招标文</w:t>
      </w:r>
      <w:r>
        <w:rPr>
          <w:rFonts w:hint="eastAsia" w:ascii="宋体" w:hAnsi="宋体" w:eastAsia="宋体" w:cs="宋体"/>
          <w:color w:val="auto"/>
          <w:spacing w:val="-6"/>
          <w:sz w:val="24"/>
          <w:szCs w:val="24"/>
          <w:highlight w:val="none"/>
        </w:rPr>
        <w:t>件及相关附件，并于电子投标截止时间（见本章第二节“重要事项时间地点一览表</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2"/>
          <w:sz w:val="24"/>
          <w:szCs w:val="24"/>
          <w:highlight w:val="none"/>
        </w:rPr>
        <w:t>前完成电子投标。投标人可登录全国公共资源交易平</w:t>
      </w:r>
      <w:r>
        <w:rPr>
          <w:rFonts w:hint="eastAsia" w:ascii="宋体" w:hAnsi="宋体" w:eastAsia="宋体" w:cs="宋体"/>
          <w:color w:val="auto"/>
          <w:spacing w:val="-3"/>
          <w:sz w:val="24"/>
          <w:szCs w:val="24"/>
          <w:highlight w:val="none"/>
        </w:rPr>
        <w:t>台（广东省·韶关市</w:t>
      </w:r>
      <w:r>
        <w:rPr>
          <w:rFonts w:hint="eastAsia" w:ascii="宋体" w:hAnsi="宋体" w:eastAsia="宋体" w:cs="宋体"/>
          <w:color w:val="auto"/>
          <w:spacing w:val="-25"/>
          <w:sz w:val="24"/>
          <w:szCs w:val="24"/>
          <w:highlight w:val="none"/>
        </w:rPr>
        <w:t>）（</w:t>
      </w:r>
      <w:r>
        <w:rPr>
          <w:rFonts w:hint="eastAsia" w:ascii="宋体" w:hAnsi="宋体" w:eastAsia="宋体" w:cs="宋体"/>
          <w:color w:val="auto"/>
          <w:spacing w:val="-3"/>
          <w:sz w:val="24"/>
          <w:szCs w:val="24"/>
          <w:highlight w:val="none"/>
        </w:rPr>
        <w:t>https:</w:t>
      </w:r>
      <w:r>
        <w:rPr>
          <w:rFonts w:hint="eastAsia" w:ascii="宋体" w:hAnsi="宋体" w:eastAsia="宋体" w:cs="宋体"/>
          <w:color w:val="auto"/>
          <w:sz w:val="24"/>
          <w:szCs w:val="24"/>
          <w:highlight w:val="none"/>
        </w:rPr>
        <w:t>//ygp.gdzwfw.gov.cn/ggz</w:t>
      </w:r>
      <w:r>
        <w:rPr>
          <w:rFonts w:hint="eastAsia" w:ascii="宋体" w:hAnsi="宋体" w:eastAsia="宋体" w:cs="宋体"/>
          <w:color w:val="auto"/>
          <w:spacing w:val="-1"/>
          <w:sz w:val="24"/>
          <w:szCs w:val="24"/>
          <w:highlight w:val="none"/>
        </w:rPr>
        <w:t>y-portal/#/440200/index</w:t>
      </w: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1"/>
          <w:sz w:val="24"/>
          <w:szCs w:val="24"/>
          <w:highlight w:val="none"/>
        </w:rPr>
        <w:t>在【服务指南】栏目中建设</w:t>
      </w:r>
      <w:r>
        <w:rPr>
          <w:rFonts w:hint="eastAsia" w:ascii="宋体" w:hAnsi="宋体" w:eastAsia="宋体" w:cs="宋体"/>
          <w:color w:val="auto"/>
          <w:spacing w:val="-2"/>
          <w:sz w:val="24"/>
          <w:szCs w:val="24"/>
          <w:highlight w:val="none"/>
        </w:rPr>
        <w:t>工程交易中下载《韶关市公共资源建设工程交易系统-投</w:t>
      </w:r>
      <w:r>
        <w:rPr>
          <w:rFonts w:hint="eastAsia" w:ascii="宋体" w:hAnsi="宋体" w:eastAsia="宋体" w:cs="宋体"/>
          <w:color w:val="auto"/>
          <w:spacing w:val="-1"/>
          <w:sz w:val="24"/>
          <w:szCs w:val="24"/>
          <w:highlight w:val="none"/>
        </w:rPr>
        <w:t>标人操作指南（电子评标）》（附件2），了解网上获取招标文件操作流程。技术咨询电话：0751-837</w:t>
      </w:r>
      <w:r>
        <w:rPr>
          <w:rFonts w:hint="eastAsia" w:ascii="宋体" w:hAnsi="宋体" w:eastAsia="宋体" w:cs="宋体"/>
          <w:color w:val="auto"/>
          <w:spacing w:val="-4"/>
          <w:sz w:val="24"/>
          <w:szCs w:val="24"/>
          <w:highlight w:val="none"/>
        </w:rPr>
        <w:t>9671伍</w:t>
      </w:r>
      <w:r>
        <w:rPr>
          <w:rFonts w:hint="eastAsia" w:ascii="宋体" w:hAnsi="宋体" w:eastAsia="宋体" w:cs="宋体"/>
          <w:color w:val="auto"/>
          <w:spacing w:val="-5"/>
          <w:sz w:val="24"/>
          <w:szCs w:val="24"/>
          <w:highlight w:val="none"/>
        </w:rPr>
        <w:t>先生，</w:t>
      </w:r>
      <w:r>
        <w:rPr>
          <w:rFonts w:hint="eastAsia" w:ascii="宋体" w:hAnsi="宋体" w:eastAsia="宋体" w:cs="宋体"/>
          <w:color w:val="auto"/>
          <w:spacing w:val="-1"/>
          <w:sz w:val="24"/>
          <w:szCs w:val="24"/>
          <w:highlight w:val="none"/>
        </w:rPr>
        <w:t>业务咨询电话：0751-8633211、8633071。</w:t>
      </w:r>
    </w:p>
    <w:p w14:paraId="785339EF">
      <w:pPr>
        <w:spacing w:before="142" w:line="360" w:lineRule="auto"/>
        <w:ind w:left="11" w:right="105" w:firstLine="473"/>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3.2  </w:t>
      </w:r>
      <w:r>
        <w:rPr>
          <w:rFonts w:hint="eastAsia" w:ascii="宋体" w:hAnsi="宋体" w:eastAsia="宋体" w:cs="宋体"/>
          <w:color w:val="auto"/>
          <w:spacing w:val="-1"/>
          <w:sz w:val="24"/>
          <w:szCs w:val="24"/>
          <w:highlight w:val="none"/>
        </w:rPr>
        <w:t>只有申领了数字证书（CA）、“粤企签”或</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1"/>
          <w:sz w:val="24"/>
          <w:szCs w:val="24"/>
          <w:highlight w:val="none"/>
        </w:rPr>
        <w:t>GDCA/SZCA/NETCA等符合法律法规规定的电子印章，并在交易系统中完成企业信息数据入库</w:t>
      </w:r>
      <w:r>
        <w:rPr>
          <w:rFonts w:hint="eastAsia" w:ascii="宋体" w:hAnsi="宋体" w:eastAsia="宋体" w:cs="宋体"/>
          <w:color w:val="auto"/>
          <w:spacing w:val="-2"/>
          <w:sz w:val="24"/>
          <w:szCs w:val="24"/>
          <w:highlight w:val="none"/>
        </w:rPr>
        <w:t>的投标人，方可使用建设</w:t>
      </w:r>
      <w:r>
        <w:rPr>
          <w:rFonts w:hint="eastAsia" w:ascii="宋体" w:hAnsi="宋体" w:eastAsia="宋体" w:cs="宋体"/>
          <w:color w:val="auto"/>
          <w:spacing w:val="-1"/>
          <w:sz w:val="24"/>
          <w:szCs w:val="24"/>
          <w:highlight w:val="none"/>
        </w:rPr>
        <w:t>工程交易系统进行招标文件及附件获取和电子投标。</w:t>
      </w:r>
    </w:p>
    <w:p w14:paraId="76B73CD5">
      <w:pPr>
        <w:spacing w:before="32" w:line="360" w:lineRule="auto"/>
        <w:ind w:left="10" w:right="90" w:firstLine="483"/>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首次在韶关市参与建设工程招标投标活动的</w:t>
      </w:r>
      <w:r>
        <w:rPr>
          <w:rFonts w:hint="eastAsia" w:ascii="宋体" w:hAnsi="宋体" w:eastAsia="宋体" w:cs="宋体"/>
          <w:color w:val="auto"/>
          <w:spacing w:val="-2"/>
          <w:sz w:val="24"/>
          <w:szCs w:val="24"/>
          <w:highlight w:val="none"/>
        </w:rPr>
        <w:t>投标人，必须在平台系统上传企业相</w:t>
      </w:r>
      <w:r>
        <w:rPr>
          <w:rFonts w:hint="eastAsia" w:ascii="宋体" w:hAnsi="宋体" w:eastAsia="宋体" w:cs="宋体"/>
          <w:color w:val="auto"/>
          <w:spacing w:val="-3"/>
          <w:sz w:val="24"/>
          <w:szCs w:val="24"/>
          <w:highlight w:val="none"/>
        </w:rPr>
        <w:t>关资料办理企业入库事宜。投标人可登录全国公共资源</w:t>
      </w:r>
      <w:r>
        <w:rPr>
          <w:rFonts w:hint="eastAsia" w:ascii="宋体" w:hAnsi="宋体" w:eastAsia="宋体" w:cs="宋体"/>
          <w:color w:val="auto"/>
          <w:spacing w:val="-4"/>
          <w:sz w:val="24"/>
          <w:szCs w:val="24"/>
          <w:highlight w:val="none"/>
        </w:rPr>
        <w:t>交易平台（广东省·韶关市）</w:t>
      </w:r>
      <w:r>
        <w:rPr>
          <w:rFonts w:hint="eastAsia" w:ascii="宋体" w:hAnsi="宋体" w:eastAsia="宋体" w:cs="宋体"/>
          <w:color w:val="auto"/>
          <w:spacing w:val="-1"/>
          <w:sz w:val="24"/>
          <w:szCs w:val="24"/>
          <w:highlight w:val="none"/>
        </w:rPr>
        <w:t>（</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"https://ygp.gdzwfw.gov.cn/ggzy-portal/#/440200/index"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1"/>
          <w:sz w:val="24"/>
          <w:szCs w:val="24"/>
          <w:highlight w:val="none"/>
        </w:rPr>
        <w:t>https://ygp.gdzwfw.gov.cn/ggzy-portal/#/440200/index</w:t>
      </w:r>
      <w:r>
        <w:rPr>
          <w:rFonts w:hint="eastAsia" w:ascii="宋体" w:hAnsi="宋体" w:eastAsia="宋体" w:cs="宋体"/>
          <w:color w:val="auto"/>
          <w:spacing w:val="-1"/>
          <w:sz w:val="24"/>
          <w:szCs w:val="24"/>
          <w:highlight w:val="none"/>
        </w:rPr>
        <w:fldChar w:fldCharType="end"/>
      </w:r>
      <w:r>
        <w:rPr>
          <w:rFonts w:hint="eastAsia" w:ascii="宋体" w:hAnsi="宋体" w:eastAsia="宋体" w:cs="宋体"/>
          <w:color w:val="auto"/>
          <w:spacing w:val="-1"/>
          <w:sz w:val="24"/>
          <w:szCs w:val="24"/>
          <w:highlight w:val="none"/>
        </w:rPr>
        <w:t>）办理企业入库、数字证书及电子印章事宜，具体请在平台查阅相应的交易指引。</w:t>
      </w:r>
    </w:p>
    <w:p w14:paraId="015DEDBB">
      <w:pPr>
        <w:spacing w:before="37" w:line="360" w:lineRule="auto"/>
        <w:ind w:left="9" w:right="105" w:firstLine="507"/>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已入库企业有关信息（如单位名称、基本账号、资质、人员等）发生变化</w:t>
      </w:r>
      <w:r>
        <w:rPr>
          <w:rFonts w:hint="eastAsia" w:ascii="宋体" w:hAnsi="宋体" w:eastAsia="宋体" w:cs="宋体"/>
          <w:color w:val="auto"/>
          <w:spacing w:val="-3"/>
          <w:sz w:val="24"/>
          <w:szCs w:val="24"/>
          <w:highlight w:val="none"/>
        </w:rPr>
        <w:t>的，须</w:t>
      </w:r>
      <w:r>
        <w:rPr>
          <w:rFonts w:hint="eastAsia" w:ascii="宋体" w:hAnsi="宋体" w:eastAsia="宋体" w:cs="宋体"/>
          <w:color w:val="auto"/>
          <w:spacing w:val="-1"/>
          <w:sz w:val="24"/>
          <w:szCs w:val="24"/>
          <w:highlight w:val="none"/>
        </w:rPr>
        <w:t>及时在交易系统进行相应变更。投标人未及时变更信息而造成的</w:t>
      </w:r>
      <w:r>
        <w:rPr>
          <w:rFonts w:hint="eastAsia" w:ascii="宋体" w:hAnsi="宋体" w:eastAsia="宋体" w:cs="宋体"/>
          <w:color w:val="auto"/>
          <w:spacing w:val="-2"/>
          <w:sz w:val="24"/>
          <w:szCs w:val="24"/>
          <w:highlight w:val="none"/>
        </w:rPr>
        <w:t>损失和后果，由投标人自行承担。</w:t>
      </w:r>
    </w:p>
    <w:p w14:paraId="692B4BF1">
      <w:pPr>
        <w:spacing w:before="33" w:line="360" w:lineRule="auto"/>
        <w:ind w:left="10" w:right="105" w:firstLine="508"/>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电子印章：是指获得国家工业和信息化部颁发的《电子认证服务许可</w:t>
      </w:r>
      <w:r>
        <w:rPr>
          <w:rFonts w:hint="eastAsia" w:ascii="宋体" w:hAnsi="宋体" w:eastAsia="宋体" w:cs="宋体"/>
          <w:color w:val="auto"/>
          <w:spacing w:val="-3"/>
          <w:sz w:val="24"/>
          <w:szCs w:val="24"/>
          <w:highlight w:val="none"/>
        </w:rPr>
        <w:t>证》、国家</w:t>
      </w:r>
      <w:r>
        <w:rPr>
          <w:rFonts w:hint="eastAsia" w:ascii="宋体" w:hAnsi="宋体" w:eastAsia="宋体" w:cs="宋体"/>
          <w:color w:val="auto"/>
          <w:spacing w:val="-1"/>
          <w:sz w:val="24"/>
          <w:szCs w:val="24"/>
          <w:highlight w:val="none"/>
        </w:rPr>
        <w:t>密码管理局颁发的《电子认证服务使用密码许可证》等资质，</w:t>
      </w:r>
      <w:r>
        <w:rPr>
          <w:rFonts w:hint="eastAsia" w:ascii="宋体" w:hAnsi="宋体" w:eastAsia="宋体" w:cs="宋体"/>
          <w:color w:val="auto"/>
          <w:spacing w:val="-2"/>
          <w:sz w:val="24"/>
          <w:szCs w:val="24"/>
          <w:highlight w:val="none"/>
        </w:rPr>
        <w:t>具备承担因数字证书原</w:t>
      </w:r>
      <w:r>
        <w:rPr>
          <w:rFonts w:hint="eastAsia" w:ascii="宋体" w:hAnsi="宋体" w:eastAsia="宋体" w:cs="宋体"/>
          <w:color w:val="auto"/>
          <w:spacing w:val="-1"/>
          <w:sz w:val="24"/>
          <w:szCs w:val="24"/>
          <w:highlight w:val="none"/>
        </w:rPr>
        <w:t>因产生纠纷的相关责任的能力，且在广东省内具有数量基础和</w:t>
      </w:r>
      <w:r>
        <w:rPr>
          <w:rFonts w:hint="eastAsia" w:ascii="宋体" w:hAnsi="宋体" w:eastAsia="宋体" w:cs="宋体"/>
          <w:color w:val="auto"/>
          <w:spacing w:val="-2"/>
          <w:sz w:val="24"/>
          <w:szCs w:val="24"/>
          <w:highlight w:val="none"/>
        </w:rPr>
        <w:t>服务能力的依法设立的</w:t>
      </w:r>
      <w:r>
        <w:rPr>
          <w:rFonts w:hint="eastAsia" w:ascii="宋体" w:hAnsi="宋体" w:eastAsia="宋体" w:cs="宋体"/>
          <w:color w:val="auto"/>
          <w:spacing w:val="3"/>
          <w:sz w:val="24"/>
          <w:szCs w:val="24"/>
          <w:highlight w:val="none"/>
        </w:rPr>
        <w:t>电子认证服务机构签发的电子签章认证证书（即</w:t>
      </w:r>
      <w:r>
        <w:rPr>
          <w:rFonts w:hint="eastAsia" w:ascii="宋体" w:hAnsi="宋体" w:eastAsia="宋体" w:cs="宋体"/>
          <w:color w:val="auto"/>
          <w:sz w:val="24"/>
          <w:szCs w:val="24"/>
          <w:highlight w:val="none"/>
        </w:rPr>
        <w:t>CA</w:t>
      </w:r>
      <w:r>
        <w:rPr>
          <w:rFonts w:hint="eastAsia" w:ascii="宋体" w:hAnsi="宋体" w:eastAsia="宋体" w:cs="宋体"/>
          <w:color w:val="auto"/>
          <w:spacing w:val="3"/>
          <w:sz w:val="24"/>
          <w:szCs w:val="24"/>
          <w:highlight w:val="none"/>
        </w:rPr>
        <w:t>数字证书）。投标人应当到相关</w:t>
      </w:r>
      <w:r>
        <w:rPr>
          <w:rFonts w:hint="eastAsia" w:ascii="宋体" w:hAnsi="宋体" w:eastAsia="宋体" w:cs="宋体"/>
          <w:color w:val="auto"/>
          <w:spacing w:val="-1"/>
          <w:sz w:val="24"/>
          <w:szCs w:val="24"/>
          <w:highlight w:val="none"/>
        </w:rPr>
        <w:t>服务机构办理并取得数字证书介质和应用。电子印章包括机构</w:t>
      </w:r>
      <w:r>
        <w:rPr>
          <w:rFonts w:hint="eastAsia" w:ascii="宋体" w:hAnsi="宋体" w:eastAsia="宋体" w:cs="宋体"/>
          <w:color w:val="auto"/>
          <w:spacing w:val="-2"/>
          <w:sz w:val="24"/>
          <w:szCs w:val="24"/>
          <w:highlight w:val="none"/>
        </w:rPr>
        <w:t>法人电子形式印章，单</w:t>
      </w:r>
      <w:r>
        <w:rPr>
          <w:rFonts w:hint="eastAsia" w:ascii="宋体" w:hAnsi="宋体" w:eastAsia="宋体" w:cs="宋体"/>
          <w:color w:val="auto"/>
          <w:spacing w:val="-1"/>
          <w:sz w:val="24"/>
          <w:szCs w:val="24"/>
          <w:highlight w:val="none"/>
        </w:rPr>
        <w:t>位法定代表人、被委托人及其他个人的电子形式印章。电子印</w:t>
      </w:r>
      <w:r>
        <w:rPr>
          <w:rFonts w:hint="eastAsia" w:ascii="宋体" w:hAnsi="宋体" w:eastAsia="宋体" w:cs="宋体"/>
          <w:color w:val="auto"/>
          <w:spacing w:val="-2"/>
          <w:sz w:val="24"/>
          <w:szCs w:val="24"/>
          <w:highlight w:val="none"/>
        </w:rPr>
        <w:t>章与手写签名或者盖章</w:t>
      </w:r>
      <w:r>
        <w:rPr>
          <w:rFonts w:hint="eastAsia" w:ascii="宋体" w:hAnsi="宋体" w:eastAsia="宋体" w:cs="宋体"/>
          <w:color w:val="auto"/>
          <w:spacing w:val="-1"/>
          <w:sz w:val="24"/>
          <w:szCs w:val="24"/>
          <w:highlight w:val="none"/>
        </w:rPr>
        <w:t>具有同等的法律效力。</w:t>
      </w:r>
    </w:p>
    <w:p w14:paraId="6C5D9CE5">
      <w:pPr>
        <w:spacing w:before="33" w:line="360"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3.3</w:t>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3"/>
          <w:sz w:val="24"/>
          <w:szCs w:val="24"/>
          <w:highlight w:val="none"/>
        </w:rPr>
        <w:t>投标保证</w:t>
      </w:r>
    </w:p>
    <w:p w14:paraId="28028499">
      <w:pPr>
        <w:spacing w:before="152" w:line="360" w:lineRule="auto"/>
        <w:ind w:left="8" w:right="105"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3.3.1  </w:t>
      </w:r>
      <w:r>
        <w:rPr>
          <w:rFonts w:hint="eastAsia" w:ascii="宋体" w:hAnsi="宋体" w:eastAsia="宋体" w:cs="宋体"/>
          <w:color w:val="auto"/>
          <w:spacing w:val="-1"/>
          <w:sz w:val="24"/>
          <w:szCs w:val="24"/>
          <w:highlight w:val="none"/>
        </w:rPr>
        <w:t>投标人须缴纳金额为</w:t>
      </w:r>
      <w:r>
        <w:rPr>
          <w:rFonts w:hint="eastAsia" w:ascii="宋体" w:hAnsi="宋体" w:eastAsia="宋体" w:cs="宋体"/>
          <w:color w:val="auto"/>
          <w:spacing w:val="-1"/>
          <w:sz w:val="24"/>
          <w:szCs w:val="24"/>
          <w:highlight w:val="none"/>
          <w:lang w:val="en-US" w:eastAsia="zh-CN"/>
        </w:rPr>
        <w:t>5万</w:t>
      </w:r>
      <w:r>
        <w:rPr>
          <w:rFonts w:hint="eastAsia" w:ascii="宋体" w:hAnsi="宋体" w:eastAsia="宋体" w:cs="宋体"/>
          <w:color w:val="auto"/>
          <w:spacing w:val="-1"/>
          <w:sz w:val="24"/>
          <w:szCs w:val="24"/>
          <w:highlight w:val="none"/>
          <w:u w:val="none"/>
          <w:lang w:eastAsia="zh-CN"/>
        </w:rPr>
        <w:t>元</w:t>
      </w:r>
      <w:r>
        <w:rPr>
          <w:rFonts w:hint="eastAsia" w:ascii="宋体" w:hAnsi="宋体" w:eastAsia="宋体" w:cs="宋体"/>
          <w:color w:val="auto"/>
          <w:spacing w:val="-1"/>
          <w:sz w:val="24"/>
          <w:szCs w:val="24"/>
          <w:highlight w:val="none"/>
        </w:rPr>
        <w:t>人民币的投标保证。</w:t>
      </w:r>
    </w:p>
    <w:p w14:paraId="2F6E27F3">
      <w:pPr>
        <w:spacing w:before="35" w:line="360" w:lineRule="auto"/>
        <w:ind w:left="12" w:right="108" w:firstLine="471"/>
        <w:rPr>
          <w:rFonts w:hint="eastAsia" w:ascii="宋体" w:hAnsi="宋体" w:eastAsia="宋体" w:cs="宋体"/>
          <w:color w:val="auto"/>
          <w:highlight w:val="none"/>
        </w:rPr>
      </w:pPr>
      <w:r>
        <w:rPr>
          <w:rFonts w:hint="eastAsia" w:ascii="宋体" w:hAnsi="宋体" w:eastAsia="宋体" w:cs="宋体"/>
          <w:b/>
          <w:bCs/>
          <w:color w:val="auto"/>
          <w:spacing w:val="2"/>
          <w:sz w:val="24"/>
          <w:szCs w:val="24"/>
          <w:highlight w:val="none"/>
        </w:rPr>
        <w:t xml:space="preserve">3.3.2  </w:t>
      </w:r>
      <w:r>
        <w:rPr>
          <w:rFonts w:hint="eastAsia" w:ascii="宋体" w:hAnsi="宋体" w:eastAsia="宋体" w:cs="宋体"/>
          <w:color w:val="auto"/>
          <w:spacing w:val="2"/>
          <w:sz w:val="24"/>
          <w:szCs w:val="24"/>
          <w:highlight w:val="none"/>
        </w:rPr>
        <w:t>投标保证的形式包括投标保证金、投标保证担保、投标保证保险三种</w:t>
      </w:r>
      <w:r>
        <w:rPr>
          <w:rFonts w:hint="eastAsia" w:ascii="宋体" w:hAnsi="宋体" w:eastAsia="宋体" w:cs="宋体"/>
          <w:color w:val="auto"/>
          <w:spacing w:val="1"/>
          <w:sz w:val="24"/>
          <w:szCs w:val="24"/>
          <w:highlight w:val="none"/>
        </w:rPr>
        <w:t>，由</w:t>
      </w:r>
      <w:r>
        <w:rPr>
          <w:rFonts w:hint="eastAsia" w:ascii="宋体" w:hAnsi="宋体" w:eastAsia="宋体" w:cs="宋体"/>
          <w:color w:val="auto"/>
          <w:spacing w:val="-2"/>
          <w:sz w:val="24"/>
          <w:szCs w:val="24"/>
          <w:highlight w:val="none"/>
        </w:rPr>
        <w:t>投标人自主选择。</w:t>
      </w:r>
    </w:p>
    <w:p w14:paraId="2A4547AB">
      <w:pPr>
        <w:keepNext w:val="0"/>
        <w:keepLines w:val="0"/>
        <w:pageBreakBefore w:val="0"/>
        <w:widowControl w:val="0"/>
        <w:kinsoku w:val="0"/>
        <w:wordWrap/>
        <w:overflowPunct/>
        <w:topLinePunct w:val="0"/>
        <w:autoSpaceDE w:val="0"/>
        <w:autoSpaceDN w:val="0"/>
        <w:bidi w:val="0"/>
        <w:adjustRightInd w:val="0"/>
        <w:snapToGrid w:val="0"/>
        <w:spacing w:before="78" w:line="360" w:lineRule="auto"/>
        <w:ind w:left="11" w:right="0" w:firstLine="488"/>
        <w:jc w:val="both"/>
        <w:textAlignment w:val="baseline"/>
        <w:rPr>
          <w:rFonts w:hint="eastAsia" w:ascii="宋体" w:hAnsi="宋体" w:eastAsia="宋体" w:cs="宋体"/>
          <w:color w:val="auto"/>
          <w:spacing w:val="-1"/>
          <w:sz w:val="24"/>
          <w:szCs w:val="24"/>
          <w:highlight w:val="none"/>
        </w:rPr>
      </w:pPr>
      <w:bookmarkStart w:id="21" w:name="bookmark117"/>
      <w:bookmarkEnd w:id="21"/>
      <w:r>
        <w:rPr>
          <w:rFonts w:hint="eastAsia" w:ascii="宋体" w:hAnsi="宋体" w:eastAsia="宋体" w:cs="宋体"/>
          <w:color w:val="auto"/>
          <w:spacing w:val="2"/>
          <w:sz w:val="24"/>
          <w:szCs w:val="24"/>
          <w:highlight w:val="none"/>
        </w:rPr>
        <w:t>（1）采用投标保证金的，投标人在建设工程交易系统获取招</w:t>
      </w:r>
      <w:r>
        <w:rPr>
          <w:rFonts w:hint="eastAsia" w:ascii="宋体" w:hAnsi="宋体" w:eastAsia="宋体" w:cs="宋体"/>
          <w:color w:val="auto"/>
          <w:spacing w:val="1"/>
          <w:sz w:val="24"/>
          <w:szCs w:val="24"/>
          <w:highlight w:val="none"/>
        </w:rPr>
        <w:t>标文件完毕后，即</w:t>
      </w:r>
      <w:r>
        <w:rPr>
          <w:rFonts w:hint="eastAsia" w:ascii="宋体" w:hAnsi="宋体" w:eastAsia="宋体" w:cs="宋体"/>
          <w:color w:val="auto"/>
          <w:spacing w:val="-1"/>
          <w:sz w:val="24"/>
          <w:szCs w:val="24"/>
          <w:highlight w:val="none"/>
        </w:rPr>
        <w:t>可在系统申请缴纳投标保证金，获取本次招标投标保证金缴</w:t>
      </w:r>
      <w:r>
        <w:rPr>
          <w:rFonts w:hint="eastAsia" w:ascii="宋体" w:hAnsi="宋体" w:eastAsia="宋体" w:cs="宋体"/>
          <w:color w:val="auto"/>
          <w:spacing w:val="-2"/>
          <w:sz w:val="24"/>
          <w:szCs w:val="24"/>
          <w:highlight w:val="none"/>
        </w:rPr>
        <w:t>纳账号。投标人必须于投标保证金到账截</w:t>
      </w:r>
      <w:r>
        <w:rPr>
          <w:rFonts w:hint="eastAsia" w:ascii="宋体" w:hAnsi="宋体" w:eastAsia="宋体" w:cs="宋体"/>
          <w:color w:val="auto"/>
          <w:spacing w:val="-1"/>
          <w:sz w:val="24"/>
          <w:szCs w:val="24"/>
          <w:highlight w:val="none"/>
        </w:rPr>
        <w:t>止时间（见本招标文件“重要事项时间地点一览表”）前，从其基本账户将投标保证金转账到指定的缴纳账号。逾期到账的、从非投标人基本账户转出的，其投标无效。</w:t>
      </w:r>
    </w:p>
    <w:p w14:paraId="4AB78A72">
      <w:pPr>
        <w:keepNext w:val="0"/>
        <w:keepLines w:val="0"/>
        <w:pageBreakBefore w:val="0"/>
        <w:widowControl w:val="0"/>
        <w:kinsoku w:val="0"/>
        <w:wordWrap/>
        <w:overflowPunct/>
        <w:topLinePunct w:val="0"/>
        <w:autoSpaceDE w:val="0"/>
        <w:autoSpaceDN w:val="0"/>
        <w:bidi w:val="0"/>
        <w:adjustRightInd w:val="0"/>
        <w:snapToGrid w:val="0"/>
        <w:spacing w:before="78" w:line="360" w:lineRule="auto"/>
        <w:ind w:left="11" w:right="0" w:firstLine="488"/>
        <w:jc w:val="both"/>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2）采用投标保证担保的，投标人应提交有效的电子保函或保证保险，电子保函或保证保险的有效期不得短于投标有效期。投标人必须在投标保证担保截止时间（详见“重要事项时间地点一览表”）前，使用工程建设交易系统完成网上办理电子保函或保证保险。</w:t>
      </w:r>
    </w:p>
    <w:p w14:paraId="0FB57550">
      <w:pPr>
        <w:keepNext w:val="0"/>
        <w:keepLines w:val="0"/>
        <w:pageBreakBefore w:val="0"/>
        <w:widowControl w:val="0"/>
        <w:kinsoku w:val="0"/>
        <w:wordWrap/>
        <w:overflowPunct/>
        <w:topLinePunct w:val="0"/>
        <w:autoSpaceDE w:val="0"/>
        <w:autoSpaceDN w:val="0"/>
        <w:bidi w:val="0"/>
        <w:adjustRightInd w:val="0"/>
        <w:snapToGrid w:val="0"/>
        <w:spacing w:before="78" w:line="360" w:lineRule="auto"/>
        <w:ind w:left="11" w:right="0" w:firstLine="488"/>
        <w:jc w:val="both"/>
        <w:textAlignment w:val="baseline"/>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（3）采用投标保证保险的，投标人须在投标保证保险投保截止时间（见本招标文件“重要事项时间地点一览表 ”）前，使用建设工程交易系统完成网上投保。投标人可在系统选择保险机构、录入投保信息、支付保费、打印</w:t>
      </w:r>
      <w:r>
        <w:rPr>
          <w:rFonts w:hint="eastAsia" w:ascii="宋体" w:hAnsi="宋体" w:eastAsia="宋体" w:cs="宋体"/>
          <w:color w:val="auto"/>
          <w:spacing w:val="-2"/>
          <w:sz w:val="24"/>
          <w:szCs w:val="24"/>
          <w:highlight w:val="none"/>
        </w:rPr>
        <w:t>电子保单，电子保单的有</w:t>
      </w:r>
      <w:r>
        <w:rPr>
          <w:rFonts w:hint="eastAsia" w:ascii="宋体" w:hAnsi="宋体" w:eastAsia="宋体" w:cs="宋体"/>
          <w:color w:val="auto"/>
          <w:spacing w:val="-3"/>
          <w:sz w:val="24"/>
          <w:szCs w:val="24"/>
          <w:highlight w:val="none"/>
        </w:rPr>
        <w:t>效期不得短于投标有效期。投标人可登录全国公共资源交易平台（广东省·韶关市）（</w:t>
      </w:r>
      <w:r>
        <w:rPr>
          <w:rFonts w:hint="eastAsia" w:ascii="宋体" w:hAnsi="宋体" w:eastAsia="宋体" w:cs="宋体"/>
          <w:color w:val="auto"/>
          <w:spacing w:val="-3"/>
          <w:sz w:val="24"/>
          <w:szCs w:val="24"/>
          <w:highlight w:val="none"/>
        </w:rPr>
        <w:fldChar w:fldCharType="begin"/>
      </w:r>
      <w:r>
        <w:rPr>
          <w:rFonts w:hint="eastAsia" w:ascii="宋体" w:hAnsi="宋体" w:eastAsia="宋体" w:cs="宋体"/>
          <w:color w:val="auto"/>
          <w:spacing w:val="-3"/>
          <w:sz w:val="24"/>
          <w:szCs w:val="24"/>
          <w:highlight w:val="none"/>
        </w:rPr>
        <w:instrText xml:space="preserve"> HYPERLINK "https://ygp.gdzwfw.gov.cn/ggzy-portal/#/440200/index" </w:instrText>
      </w:r>
      <w:r>
        <w:rPr>
          <w:rFonts w:hint="eastAsia" w:ascii="宋体" w:hAnsi="宋体" w:eastAsia="宋体" w:cs="宋体"/>
          <w:color w:val="auto"/>
          <w:spacing w:val="-3"/>
          <w:sz w:val="24"/>
          <w:szCs w:val="24"/>
          <w:highlight w:val="none"/>
        </w:rPr>
        <w:fldChar w:fldCharType="separate"/>
      </w:r>
      <w:r>
        <w:rPr>
          <w:rFonts w:hint="eastAsia" w:ascii="宋体" w:hAnsi="宋体" w:eastAsia="宋体" w:cs="宋体"/>
          <w:color w:val="auto"/>
          <w:spacing w:val="-3"/>
          <w:sz w:val="24"/>
          <w:szCs w:val="24"/>
          <w:highlight w:val="none"/>
        </w:rPr>
        <w:t>https://ygp.gdzwfw.gov.cn/ggzy-portal/#/440200/index</w:t>
      </w:r>
      <w:r>
        <w:rPr>
          <w:rFonts w:hint="eastAsia" w:ascii="宋体" w:hAnsi="宋体" w:eastAsia="宋体" w:cs="宋体"/>
          <w:color w:val="auto"/>
          <w:spacing w:val="-3"/>
          <w:sz w:val="24"/>
          <w:szCs w:val="24"/>
          <w:highlight w:val="none"/>
        </w:rPr>
        <w:fldChar w:fldCharType="end"/>
      </w:r>
      <w:r>
        <w:rPr>
          <w:rFonts w:hint="eastAsia" w:ascii="宋体" w:hAnsi="宋体" w:eastAsia="宋体" w:cs="宋体"/>
          <w:color w:val="auto"/>
          <w:spacing w:val="-3"/>
          <w:sz w:val="24"/>
          <w:szCs w:val="24"/>
          <w:highlight w:val="none"/>
        </w:rPr>
        <w:t>），在【服务指南】栏目中下载《建设工程网上交易系统保险保证金缴纳操作指南》，了解网上投保具体操作流程。逾期投保的，其投标无效。</w:t>
      </w:r>
    </w:p>
    <w:p w14:paraId="433D883D">
      <w:pPr>
        <w:keepNext w:val="0"/>
        <w:keepLines w:val="0"/>
        <w:pageBreakBefore w:val="0"/>
        <w:widowControl w:val="0"/>
        <w:kinsoku w:val="0"/>
        <w:wordWrap/>
        <w:overflowPunct/>
        <w:topLinePunct w:val="0"/>
        <w:autoSpaceDE w:val="0"/>
        <w:autoSpaceDN w:val="0"/>
        <w:bidi w:val="0"/>
        <w:adjustRightInd w:val="0"/>
        <w:snapToGrid w:val="0"/>
        <w:spacing w:before="78" w:line="360" w:lineRule="auto"/>
        <w:ind w:left="11" w:right="0" w:firstLine="488"/>
        <w:jc w:val="both"/>
        <w:textAlignment w:val="baseline"/>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温馨提示：1.投标人采用投标保证担保或投标保证保险的，为避免在评标过程中因有效期发生争议，建议投标人将银行保函或电子保单有效期设置为较招标文件规定的投标有效期延长不少于20个日历天。</w:t>
      </w:r>
    </w:p>
    <w:p w14:paraId="6CA2428D">
      <w:pPr>
        <w:spacing w:before="78" w:line="360" w:lineRule="auto"/>
        <w:ind w:left="12" w:right="2" w:firstLine="490"/>
        <w:jc w:val="both"/>
        <w:rPr>
          <w:rFonts w:hint="eastAsia" w:ascii="宋体" w:hAnsi="宋体" w:eastAsia="宋体" w:cs="宋体"/>
          <w:color w:val="auto"/>
          <w:highlight w:val="none"/>
        </w:rPr>
      </w:pPr>
      <w:r>
        <w:rPr>
          <w:rFonts w:hint="eastAsia" w:ascii="宋体" w:hAnsi="宋体" w:eastAsia="宋体" w:cs="宋体"/>
          <w:color w:val="auto"/>
          <w:spacing w:val="-3"/>
          <w:sz w:val="24"/>
          <w:szCs w:val="24"/>
          <w:highlight w:val="none"/>
        </w:rPr>
        <w:t>3.4  若投标人因自身原因未能正确完成获取招标文件</w:t>
      </w:r>
      <w:r>
        <w:rPr>
          <w:rFonts w:hint="eastAsia" w:ascii="宋体" w:hAnsi="宋体" w:eastAsia="宋体" w:cs="宋体"/>
          <w:color w:val="auto"/>
          <w:sz w:val="24"/>
          <w:szCs w:val="24"/>
          <w:highlight w:val="none"/>
        </w:rPr>
        <w:t>、电子投标、缴纳投标保证</w:t>
      </w:r>
      <w:r>
        <w:rPr>
          <w:rFonts w:hint="eastAsia" w:ascii="宋体" w:hAnsi="宋体" w:eastAsia="宋体" w:cs="宋体"/>
          <w:color w:val="auto"/>
          <w:spacing w:val="-4"/>
          <w:sz w:val="24"/>
          <w:szCs w:val="24"/>
          <w:highlight w:val="none"/>
        </w:rPr>
        <w:t>的，其投标无效。</w:t>
      </w:r>
    </w:p>
    <w:p w14:paraId="63EDD81B">
      <w:pPr>
        <w:spacing w:before="79" w:line="360" w:lineRule="auto"/>
        <w:ind w:left="487"/>
        <w:outlineLvl w:val="2"/>
        <w:rPr>
          <w:rFonts w:hint="eastAsia" w:ascii="宋体" w:hAnsi="宋体" w:eastAsia="宋体" w:cs="宋体"/>
          <w:color w:val="auto"/>
          <w:sz w:val="24"/>
          <w:szCs w:val="24"/>
          <w:highlight w:val="none"/>
        </w:rPr>
      </w:pPr>
      <w:bookmarkStart w:id="22" w:name="bookmark78"/>
      <w:bookmarkEnd w:id="22"/>
      <w:bookmarkStart w:id="23" w:name="bookmark64"/>
      <w:bookmarkEnd w:id="23"/>
      <w:bookmarkStart w:id="24" w:name="_Toc27100"/>
      <w:bookmarkStart w:id="25" w:name="_Toc18681"/>
      <w:r>
        <w:rPr>
          <w:rFonts w:hint="eastAsia" w:ascii="宋体" w:hAnsi="宋体" w:eastAsia="宋体" w:cs="宋体"/>
          <w:b/>
          <w:bCs/>
          <w:color w:val="auto"/>
          <w:spacing w:val="-8"/>
          <w:sz w:val="24"/>
          <w:szCs w:val="24"/>
          <w:highlight w:val="none"/>
        </w:rPr>
        <w:t>4</w:t>
      </w:r>
      <w:r>
        <w:rPr>
          <w:rFonts w:hint="eastAsia" w:ascii="宋体" w:hAnsi="宋体" w:eastAsia="宋体" w:cs="宋体"/>
          <w:b/>
          <w:bCs/>
          <w:color w:val="auto"/>
          <w:spacing w:val="-27"/>
          <w:sz w:val="24"/>
          <w:szCs w:val="24"/>
          <w:highlight w:val="none"/>
          <w:lang w:eastAsia="zh-CN"/>
        </w:rPr>
        <w:t>.</w:t>
      </w:r>
      <w:r>
        <w:rPr>
          <w:rFonts w:hint="eastAsia" w:ascii="宋体" w:hAnsi="宋体" w:eastAsia="宋体" w:cs="宋体"/>
          <w:b/>
          <w:bCs/>
          <w:color w:val="auto"/>
          <w:spacing w:val="-8"/>
          <w:sz w:val="24"/>
          <w:szCs w:val="24"/>
          <w:highlight w:val="none"/>
        </w:rPr>
        <w:t>工期要求</w:t>
      </w:r>
      <w:bookmarkEnd w:id="24"/>
      <w:bookmarkEnd w:id="25"/>
    </w:p>
    <w:p w14:paraId="6373A964">
      <w:pPr>
        <w:spacing w:before="153" w:line="360" w:lineRule="auto"/>
        <w:ind w:left="30" w:right="65" w:firstLine="46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本招标项目招标工期为</w:t>
      </w:r>
      <w:r>
        <w:rPr>
          <w:rFonts w:hint="eastAsia" w:ascii="宋体" w:hAnsi="宋体" w:eastAsia="宋体" w:cs="宋体"/>
          <w:color w:val="auto"/>
          <w:spacing w:val="-2"/>
          <w:sz w:val="24"/>
          <w:szCs w:val="24"/>
          <w:highlight w:val="none"/>
          <w:u w:val="single"/>
          <w:lang w:val="en-US" w:eastAsia="zh-CN"/>
        </w:rPr>
        <w:t>120</w:t>
      </w:r>
      <w:r>
        <w:rPr>
          <w:rFonts w:hint="eastAsia" w:ascii="宋体" w:hAnsi="宋体" w:eastAsia="宋体" w:cs="宋体"/>
          <w:color w:val="auto"/>
          <w:spacing w:val="-2"/>
          <w:sz w:val="24"/>
          <w:szCs w:val="24"/>
          <w:highlight w:val="none"/>
        </w:rPr>
        <w:t>个日历天，中标人必须在招标工期内完成招标范围内</w:t>
      </w:r>
      <w:r>
        <w:rPr>
          <w:rFonts w:hint="eastAsia" w:ascii="宋体" w:hAnsi="宋体" w:eastAsia="宋体" w:cs="宋体"/>
          <w:color w:val="auto"/>
          <w:spacing w:val="-5"/>
          <w:sz w:val="24"/>
          <w:szCs w:val="24"/>
          <w:highlight w:val="none"/>
        </w:rPr>
        <w:t>的全部内容。</w:t>
      </w:r>
    </w:p>
    <w:p w14:paraId="7C2E502E">
      <w:pPr>
        <w:spacing w:before="78" w:line="360" w:lineRule="auto"/>
        <w:ind w:left="488"/>
        <w:outlineLvl w:val="2"/>
        <w:rPr>
          <w:rFonts w:hint="eastAsia" w:ascii="宋体" w:hAnsi="宋体" w:eastAsia="宋体" w:cs="宋体"/>
          <w:color w:val="auto"/>
          <w:sz w:val="24"/>
          <w:szCs w:val="24"/>
          <w:highlight w:val="none"/>
        </w:rPr>
      </w:pPr>
      <w:bookmarkStart w:id="26" w:name="_Toc3173"/>
      <w:bookmarkStart w:id="27" w:name="_Toc1639"/>
      <w:r>
        <w:rPr>
          <w:rFonts w:hint="eastAsia" w:ascii="宋体" w:hAnsi="宋体" w:eastAsia="宋体" w:cs="宋体"/>
          <w:b/>
          <w:bCs/>
          <w:color w:val="auto"/>
          <w:spacing w:val="-5"/>
          <w:sz w:val="24"/>
          <w:szCs w:val="24"/>
          <w:highlight w:val="none"/>
        </w:rPr>
        <w:t>5</w:t>
      </w:r>
      <w:r>
        <w:rPr>
          <w:rFonts w:hint="eastAsia" w:ascii="宋体" w:hAnsi="宋体" w:eastAsia="宋体" w:cs="宋体"/>
          <w:b/>
          <w:bCs/>
          <w:color w:val="auto"/>
          <w:spacing w:val="-20"/>
          <w:sz w:val="24"/>
          <w:szCs w:val="24"/>
          <w:highlight w:val="none"/>
          <w:lang w:eastAsia="zh-CN"/>
        </w:rPr>
        <w:t>.</w:t>
      </w:r>
      <w:r>
        <w:rPr>
          <w:rFonts w:hint="eastAsia" w:ascii="宋体" w:hAnsi="宋体" w:eastAsia="宋体" w:cs="宋体"/>
          <w:b/>
          <w:bCs/>
          <w:color w:val="auto"/>
          <w:spacing w:val="-5"/>
          <w:sz w:val="24"/>
          <w:szCs w:val="24"/>
          <w:highlight w:val="none"/>
        </w:rPr>
        <w:t>质量标准和材料、机械要求</w:t>
      </w:r>
      <w:bookmarkEnd w:id="26"/>
      <w:bookmarkEnd w:id="27"/>
    </w:p>
    <w:p w14:paraId="1AAE31B9">
      <w:pPr>
        <w:spacing w:before="154" w:line="360" w:lineRule="auto"/>
        <w:ind w:left="11" w:right="99" w:firstLine="47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5.1  </w:t>
      </w:r>
      <w:r>
        <w:rPr>
          <w:rFonts w:hint="eastAsia" w:ascii="宋体" w:hAnsi="宋体" w:eastAsia="宋体" w:cs="宋体"/>
          <w:snapToGrid w:val="0"/>
          <w:color w:val="auto"/>
          <w:kern w:val="0"/>
          <w:sz w:val="24"/>
          <w:szCs w:val="24"/>
          <w:highlight w:val="none"/>
        </w:rPr>
        <w:t>施工工艺严格按照国家和广东省的有关现行施工技术规范及标准执行，工程质量标准须</w:t>
      </w:r>
      <w:r>
        <w:rPr>
          <w:rFonts w:hint="eastAsia" w:ascii="宋体" w:hAnsi="宋体" w:eastAsia="宋体" w:cs="宋体"/>
          <w:snapToGrid w:val="0"/>
          <w:color w:val="auto"/>
          <w:kern w:val="0"/>
          <w:sz w:val="24"/>
          <w:szCs w:val="24"/>
          <w:highlight w:val="none"/>
          <w:u w:val="single"/>
        </w:rPr>
        <w:t>达到《建筑工程施工质量验收统一标准》(GB50300-2013)合格</w:t>
      </w:r>
      <w:r>
        <w:rPr>
          <w:rFonts w:hint="eastAsia" w:ascii="宋体" w:hAnsi="宋体" w:eastAsia="宋体" w:cs="宋体"/>
          <w:color w:val="auto"/>
          <w:sz w:val="24"/>
          <w:szCs w:val="24"/>
          <w:highlight w:val="none"/>
        </w:rPr>
        <w:t>。</w:t>
      </w:r>
    </w:p>
    <w:p w14:paraId="792ACDC1">
      <w:pPr>
        <w:spacing w:before="154" w:line="360" w:lineRule="auto"/>
        <w:ind w:left="11" w:right="99" w:firstLine="477"/>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3"/>
          <w:sz w:val="24"/>
          <w:szCs w:val="24"/>
          <w:highlight w:val="none"/>
        </w:rPr>
        <w:t>5.2</w:t>
      </w:r>
      <w:r>
        <w:rPr>
          <w:rFonts w:hint="eastAsia" w:ascii="宋体" w:hAnsi="宋体" w:eastAsia="宋体" w:cs="宋体"/>
          <w:b/>
          <w:bCs/>
          <w:color w:val="auto"/>
          <w:spacing w:val="21"/>
          <w:w w:val="101"/>
          <w:sz w:val="24"/>
          <w:szCs w:val="24"/>
          <w:highlight w:val="none"/>
        </w:rPr>
        <w:t xml:space="preserve">  </w:t>
      </w:r>
      <w:r>
        <w:rPr>
          <w:rFonts w:hint="eastAsia" w:ascii="宋体" w:hAnsi="宋体" w:eastAsia="宋体" w:cs="宋体"/>
          <w:color w:val="auto"/>
          <w:spacing w:val="-3"/>
          <w:sz w:val="24"/>
          <w:szCs w:val="24"/>
          <w:highlight w:val="none"/>
        </w:rPr>
        <w:t>中标人在施工中如果工程质量不符合设计要求和有关规定，招标人或监理单</w:t>
      </w:r>
      <w:r>
        <w:rPr>
          <w:rFonts w:hint="eastAsia" w:ascii="宋体" w:hAnsi="宋体" w:eastAsia="宋体" w:cs="宋体"/>
          <w:color w:val="auto"/>
          <w:sz w:val="24"/>
          <w:szCs w:val="24"/>
          <w:highlight w:val="none"/>
        </w:rPr>
        <w:t>位要求停工和返工的必须立即执行，并承担由此产生的各</w:t>
      </w:r>
      <w:r>
        <w:rPr>
          <w:rFonts w:hint="eastAsia" w:ascii="宋体" w:hAnsi="宋体" w:eastAsia="宋体" w:cs="宋体"/>
          <w:color w:val="auto"/>
          <w:spacing w:val="-1"/>
          <w:sz w:val="24"/>
          <w:szCs w:val="24"/>
          <w:highlight w:val="none"/>
        </w:rPr>
        <w:t>种费用，工期不予顺延。</w:t>
      </w:r>
    </w:p>
    <w:p w14:paraId="36DDB4F7">
      <w:pPr>
        <w:spacing w:before="154" w:line="360" w:lineRule="auto"/>
        <w:ind w:left="11" w:right="99" w:firstLine="477"/>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6"/>
          <w:sz w:val="24"/>
          <w:szCs w:val="24"/>
          <w:highlight w:val="none"/>
        </w:rPr>
        <w:t xml:space="preserve">5.3  </w:t>
      </w:r>
      <w:r>
        <w:rPr>
          <w:rFonts w:hint="eastAsia" w:ascii="宋体" w:hAnsi="宋体" w:eastAsia="宋体" w:cs="宋体"/>
          <w:color w:val="auto"/>
          <w:spacing w:val="-6"/>
          <w:sz w:val="24"/>
          <w:szCs w:val="24"/>
          <w:highlight w:val="none"/>
        </w:rPr>
        <w:t>保修期限按《建设工程质量管理条例》（中华人民共和国国务院令第279号）</w:t>
      </w:r>
      <w:r>
        <w:rPr>
          <w:rFonts w:hint="eastAsia" w:ascii="宋体" w:hAnsi="宋体" w:eastAsia="宋体" w:cs="宋体"/>
          <w:color w:val="auto"/>
          <w:spacing w:val="-1"/>
          <w:sz w:val="24"/>
          <w:szCs w:val="24"/>
          <w:highlight w:val="none"/>
        </w:rPr>
        <w:t>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300B7EA2">
      <w:pPr>
        <w:keepNext w:val="0"/>
        <w:keepLines w:val="0"/>
        <w:pageBreakBefore w:val="0"/>
        <w:widowControl w:val="0"/>
        <w:kinsoku w:val="0"/>
        <w:wordWrap/>
        <w:overflowPunct/>
        <w:topLinePunct w:val="0"/>
        <w:autoSpaceDE w:val="0"/>
        <w:autoSpaceDN w:val="0"/>
        <w:bidi w:val="0"/>
        <w:adjustRightInd w:val="0"/>
        <w:snapToGrid w:val="0"/>
        <w:spacing w:before="152" w:line="360" w:lineRule="auto"/>
        <w:ind w:left="11" w:firstLine="567"/>
        <w:textAlignment w:val="baseline"/>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5.4</w:t>
      </w:r>
      <w:r>
        <w:rPr>
          <w:rFonts w:hint="eastAsia" w:ascii="宋体" w:hAnsi="宋体" w:eastAsia="宋体" w:cs="宋体"/>
          <w:color w:val="auto"/>
          <w:spacing w:val="-1"/>
          <w:sz w:val="24"/>
          <w:szCs w:val="24"/>
          <w:highlight w:val="none"/>
        </w:rPr>
        <w:t xml:space="preserve"> 本招标项目</w:t>
      </w:r>
      <w:r>
        <w:rPr>
          <w:rFonts w:hint="eastAsia" w:ascii="宋体" w:hAnsi="宋体" w:eastAsia="宋体" w:cs="宋体"/>
          <w:color w:val="auto"/>
          <w:spacing w:val="-1"/>
          <w:sz w:val="24"/>
          <w:szCs w:val="24"/>
          <w:highlight w:val="none"/>
          <w:lang w:eastAsia="zh-CN"/>
        </w:rPr>
        <w:t>不</w:t>
      </w:r>
      <w:r>
        <w:rPr>
          <w:rFonts w:hint="eastAsia" w:ascii="宋体" w:hAnsi="宋体" w:eastAsia="宋体" w:cs="宋体"/>
          <w:color w:val="auto"/>
          <w:spacing w:val="-1"/>
          <w:sz w:val="24"/>
          <w:szCs w:val="24"/>
          <w:highlight w:val="none"/>
        </w:rPr>
        <w:t>纳入绿色建筑实施范围</w:t>
      </w:r>
      <w:r>
        <w:rPr>
          <w:rFonts w:hint="eastAsia" w:ascii="宋体" w:hAnsi="宋体" w:eastAsia="宋体" w:cs="宋体"/>
          <w:color w:val="auto"/>
          <w:spacing w:val="-1"/>
          <w:sz w:val="24"/>
          <w:szCs w:val="24"/>
          <w:highlight w:val="none"/>
          <w:lang w:eastAsia="zh-CN"/>
        </w:rPr>
        <w:t>。</w:t>
      </w:r>
    </w:p>
    <w:p w14:paraId="0876B684">
      <w:pPr>
        <w:keepNext w:val="0"/>
        <w:keepLines w:val="0"/>
        <w:pageBreakBefore w:val="0"/>
        <w:widowControl w:val="0"/>
        <w:kinsoku w:val="0"/>
        <w:wordWrap/>
        <w:overflowPunct/>
        <w:topLinePunct w:val="0"/>
        <w:autoSpaceDE w:val="0"/>
        <w:autoSpaceDN w:val="0"/>
        <w:bidi w:val="0"/>
        <w:adjustRightInd w:val="0"/>
        <w:snapToGrid w:val="0"/>
        <w:spacing w:before="152" w:line="360" w:lineRule="auto"/>
        <w:ind w:left="11" w:firstLine="567"/>
        <w:textAlignment w:val="baseline"/>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5.5</w:t>
      </w:r>
      <w:r>
        <w:rPr>
          <w:rFonts w:hint="eastAsia" w:ascii="宋体" w:hAnsi="宋体" w:eastAsia="宋体" w:cs="宋体"/>
          <w:color w:val="auto"/>
          <w:spacing w:val="-1"/>
          <w:sz w:val="24"/>
          <w:szCs w:val="24"/>
          <w:highlight w:val="none"/>
        </w:rPr>
        <w:t xml:space="preserve">  其它：招标项目</w:t>
      </w:r>
      <w:r>
        <w:rPr>
          <w:rFonts w:hint="eastAsia" w:ascii="宋体" w:hAnsi="宋体" w:eastAsia="宋体" w:cs="宋体"/>
          <w:color w:val="auto"/>
          <w:spacing w:val="-1"/>
          <w:sz w:val="24"/>
          <w:szCs w:val="24"/>
          <w:highlight w:val="none"/>
          <w:lang w:eastAsia="zh-CN"/>
        </w:rPr>
        <w:t>不</w:t>
      </w:r>
      <w:r>
        <w:rPr>
          <w:rFonts w:hint="eastAsia" w:ascii="宋体" w:hAnsi="宋体" w:eastAsia="宋体" w:cs="宋体"/>
          <w:color w:val="auto"/>
          <w:spacing w:val="-1"/>
          <w:sz w:val="24"/>
          <w:szCs w:val="24"/>
          <w:highlight w:val="none"/>
        </w:rPr>
        <w:t>纳入装配式建造建设实施范围。</w:t>
      </w:r>
    </w:p>
    <w:p w14:paraId="0FC3B7C0">
      <w:pPr>
        <w:keepNext w:val="0"/>
        <w:keepLines w:val="0"/>
        <w:pageBreakBefore w:val="0"/>
        <w:widowControl w:val="0"/>
        <w:kinsoku w:val="0"/>
        <w:wordWrap/>
        <w:overflowPunct/>
        <w:topLinePunct w:val="0"/>
        <w:autoSpaceDE w:val="0"/>
        <w:autoSpaceDN w:val="0"/>
        <w:bidi w:val="0"/>
        <w:adjustRightInd w:val="0"/>
        <w:snapToGrid w:val="0"/>
        <w:spacing w:before="152" w:line="360" w:lineRule="auto"/>
        <w:ind w:left="11" w:firstLine="567"/>
        <w:textAlignment w:val="baseline"/>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5.6</w:t>
      </w:r>
      <w:r>
        <w:rPr>
          <w:rFonts w:hint="eastAsia" w:ascii="宋体" w:hAnsi="宋体" w:eastAsia="宋体" w:cs="宋体"/>
          <w:color w:val="auto"/>
          <w:spacing w:val="-1"/>
          <w:sz w:val="24"/>
          <w:szCs w:val="24"/>
          <w:highlight w:val="none"/>
        </w:rPr>
        <w:t xml:space="preserve">  其它：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如招标人在招标文件中对材料或设备没有明确要求</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则中标人必须使用合格材料或设备。</w:t>
      </w:r>
    </w:p>
    <w:p w14:paraId="5F446122">
      <w:pPr>
        <w:keepNext w:val="0"/>
        <w:keepLines w:val="0"/>
        <w:pageBreakBefore w:val="0"/>
        <w:widowControl w:val="0"/>
        <w:kinsoku w:val="0"/>
        <w:wordWrap/>
        <w:overflowPunct/>
        <w:topLinePunct w:val="0"/>
        <w:autoSpaceDE w:val="0"/>
        <w:autoSpaceDN w:val="0"/>
        <w:bidi w:val="0"/>
        <w:adjustRightInd w:val="0"/>
        <w:snapToGrid w:val="0"/>
        <w:spacing w:before="152" w:line="360" w:lineRule="auto"/>
        <w:ind w:left="11" w:firstLine="567"/>
        <w:textAlignment w:val="baseline"/>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5.</w:t>
      </w:r>
      <w:r>
        <w:rPr>
          <w:rFonts w:hint="eastAsia" w:ascii="宋体" w:hAnsi="宋体" w:eastAsia="宋体" w:cs="宋体"/>
          <w:b/>
          <w:bCs/>
          <w:color w:val="auto"/>
          <w:spacing w:val="-1"/>
          <w:sz w:val="24"/>
          <w:szCs w:val="24"/>
          <w:highlight w:val="none"/>
          <w:lang w:eastAsia="zh-CN"/>
        </w:rPr>
        <w:t>7</w:t>
      </w:r>
      <w:r>
        <w:rPr>
          <w:rFonts w:hint="eastAsia" w:ascii="宋体" w:hAnsi="宋体" w:eastAsia="宋体" w:cs="宋体"/>
          <w:color w:val="auto"/>
          <w:spacing w:val="-1"/>
          <w:sz w:val="24"/>
          <w:szCs w:val="24"/>
          <w:highlight w:val="none"/>
        </w:rPr>
        <w:t xml:space="preserve"> 工程使用的主要材料质量要求：不低于强制标准、招标工程量清单所列的要求，主要材料必须先提供样板或相关资料给招标人和监理工程师验收，同意确定其规格、型号、颜色、等级等，并经发包人委托的第三方检测部门检测合格方可使用，所有材料必须使用合格产品。</w:t>
      </w:r>
    </w:p>
    <w:p w14:paraId="5B497438">
      <w:pPr>
        <w:spacing w:before="78" w:line="360" w:lineRule="auto"/>
        <w:ind w:left="489"/>
        <w:outlineLvl w:val="2"/>
        <w:rPr>
          <w:rFonts w:hint="eastAsia" w:ascii="宋体" w:hAnsi="宋体" w:eastAsia="宋体" w:cs="宋体"/>
          <w:color w:val="auto"/>
          <w:sz w:val="24"/>
          <w:szCs w:val="24"/>
          <w:highlight w:val="none"/>
        </w:rPr>
      </w:pPr>
      <w:bookmarkStart w:id="28" w:name="_Toc12840"/>
      <w:bookmarkStart w:id="29" w:name="_Toc20271"/>
      <w:r>
        <w:rPr>
          <w:rFonts w:hint="eastAsia" w:ascii="宋体" w:hAnsi="宋体" w:eastAsia="宋体" w:cs="宋体"/>
          <w:b/>
          <w:bCs/>
          <w:color w:val="auto"/>
          <w:spacing w:val="-6"/>
          <w:sz w:val="24"/>
          <w:szCs w:val="24"/>
          <w:highlight w:val="none"/>
        </w:rPr>
        <w:t>6</w:t>
      </w:r>
      <w:r>
        <w:rPr>
          <w:rFonts w:hint="eastAsia" w:ascii="宋体" w:hAnsi="宋体" w:eastAsia="宋体" w:cs="宋体"/>
          <w:b/>
          <w:bCs/>
          <w:color w:val="auto"/>
          <w:spacing w:val="-20"/>
          <w:sz w:val="24"/>
          <w:szCs w:val="24"/>
          <w:highlight w:val="none"/>
          <w:lang w:eastAsia="zh-CN"/>
        </w:rPr>
        <w:t>.</w:t>
      </w:r>
      <w:r>
        <w:rPr>
          <w:rFonts w:hint="eastAsia" w:ascii="宋体" w:hAnsi="宋体" w:eastAsia="宋体" w:cs="宋体"/>
          <w:b/>
          <w:bCs/>
          <w:color w:val="auto"/>
          <w:spacing w:val="-6"/>
          <w:sz w:val="24"/>
          <w:szCs w:val="24"/>
          <w:highlight w:val="none"/>
        </w:rPr>
        <w:t>施工条件及现场踏勘</w:t>
      </w:r>
      <w:bookmarkEnd w:id="28"/>
      <w:bookmarkEnd w:id="29"/>
    </w:p>
    <w:p w14:paraId="5C5E2D5D">
      <w:pPr>
        <w:spacing w:before="155" w:line="360" w:lineRule="auto"/>
        <w:ind w:left="12" w:right="99" w:firstLine="55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 xml:space="preserve">6.1  </w:t>
      </w:r>
      <w:r>
        <w:rPr>
          <w:rFonts w:hint="eastAsia" w:ascii="宋体" w:hAnsi="宋体" w:eastAsia="宋体" w:cs="宋体"/>
          <w:color w:val="auto"/>
          <w:spacing w:val="-2"/>
          <w:sz w:val="24"/>
          <w:szCs w:val="24"/>
          <w:highlight w:val="none"/>
        </w:rPr>
        <w:t>招标人仅在本招标项目征地红线范围内提供场地，其他一切场地费用由中标人自行负责（含临时道路）。</w:t>
      </w:r>
    </w:p>
    <w:p w14:paraId="095FC4ED">
      <w:pPr>
        <w:spacing w:before="155" w:line="360" w:lineRule="auto"/>
        <w:ind w:left="12" w:right="99" w:firstLine="556"/>
        <w:rPr>
          <w:rFonts w:hint="eastAsia" w:ascii="宋体" w:hAnsi="宋体" w:eastAsia="宋体" w:cs="宋体"/>
          <w:color w:val="auto"/>
          <w:spacing w:val="-2"/>
          <w:sz w:val="24"/>
          <w:szCs w:val="24"/>
          <w:highlight w:val="none"/>
        </w:rPr>
      </w:pPr>
      <w:bookmarkStart w:id="30" w:name="bookmark118"/>
      <w:bookmarkEnd w:id="30"/>
      <w:r>
        <w:rPr>
          <w:rFonts w:hint="eastAsia" w:ascii="宋体" w:hAnsi="宋体" w:eastAsia="宋体" w:cs="宋体"/>
          <w:b/>
          <w:bCs/>
          <w:color w:val="auto"/>
          <w:spacing w:val="-2"/>
          <w:sz w:val="24"/>
          <w:szCs w:val="24"/>
          <w:highlight w:val="none"/>
        </w:rPr>
        <w:t>6.2</w:t>
      </w:r>
      <w:r>
        <w:rPr>
          <w:rFonts w:hint="eastAsia" w:ascii="宋体" w:hAnsi="宋体" w:eastAsia="宋体" w:cs="宋体"/>
          <w:color w:val="auto"/>
          <w:spacing w:val="-2"/>
          <w:sz w:val="24"/>
          <w:szCs w:val="24"/>
          <w:highlight w:val="none"/>
        </w:rPr>
        <w:t xml:space="preserve">  施工用水：</w:t>
      </w:r>
      <w:r>
        <w:rPr>
          <w:rFonts w:hint="eastAsia" w:ascii="宋体" w:hAnsi="宋体" w:eastAsia="宋体" w:cs="宋体"/>
          <w:color w:val="auto"/>
          <w:spacing w:val="-2"/>
          <w:sz w:val="24"/>
          <w:szCs w:val="24"/>
          <w:highlight w:val="none"/>
          <w:u w:val="single"/>
        </w:rPr>
        <w:t>由中标人自行解决，费用考虑在投标报价中</w:t>
      </w:r>
      <w:r>
        <w:rPr>
          <w:rFonts w:hint="eastAsia" w:ascii="宋体" w:hAnsi="宋体" w:eastAsia="宋体" w:cs="宋体"/>
          <w:color w:val="auto"/>
          <w:spacing w:val="-2"/>
          <w:sz w:val="24"/>
          <w:szCs w:val="24"/>
          <w:highlight w:val="none"/>
        </w:rPr>
        <w:t>。</w:t>
      </w:r>
    </w:p>
    <w:p w14:paraId="7AC90E75">
      <w:pPr>
        <w:spacing w:before="155" w:line="360" w:lineRule="auto"/>
        <w:ind w:left="12" w:right="99" w:firstLine="55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6.3</w:t>
      </w:r>
      <w:r>
        <w:rPr>
          <w:rFonts w:hint="eastAsia" w:ascii="宋体" w:hAnsi="宋体" w:eastAsia="宋体" w:cs="宋体"/>
          <w:color w:val="auto"/>
          <w:spacing w:val="-2"/>
          <w:sz w:val="24"/>
          <w:szCs w:val="24"/>
          <w:highlight w:val="none"/>
        </w:rPr>
        <w:t xml:space="preserve">  施工用电：</w:t>
      </w:r>
      <w:r>
        <w:rPr>
          <w:rFonts w:hint="eastAsia" w:ascii="宋体" w:hAnsi="宋体" w:eastAsia="宋体" w:cs="宋体"/>
          <w:color w:val="auto"/>
          <w:spacing w:val="-2"/>
          <w:sz w:val="24"/>
          <w:szCs w:val="24"/>
          <w:highlight w:val="none"/>
          <w:u w:val="single"/>
        </w:rPr>
        <w:t>由中标人自行解决，费用考虑在投标报价中</w:t>
      </w:r>
      <w:r>
        <w:rPr>
          <w:rFonts w:hint="eastAsia" w:ascii="宋体" w:hAnsi="宋体" w:eastAsia="宋体" w:cs="宋体"/>
          <w:color w:val="auto"/>
          <w:spacing w:val="-2"/>
          <w:sz w:val="24"/>
          <w:szCs w:val="24"/>
          <w:highlight w:val="none"/>
        </w:rPr>
        <w:t>。</w:t>
      </w:r>
    </w:p>
    <w:p w14:paraId="0EEB5CBB">
      <w:pPr>
        <w:spacing w:before="155" w:line="360" w:lineRule="auto"/>
        <w:ind w:left="12" w:right="99" w:firstLine="55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6.4</w:t>
      </w:r>
      <w:r>
        <w:rPr>
          <w:rFonts w:hint="eastAsia" w:ascii="宋体" w:hAnsi="宋体" w:eastAsia="宋体" w:cs="宋体"/>
          <w:color w:val="auto"/>
          <w:spacing w:val="-2"/>
          <w:sz w:val="24"/>
          <w:szCs w:val="24"/>
          <w:highlight w:val="none"/>
        </w:rPr>
        <w:t xml:space="preserve">  施工用水、用电各提供一驳接点到现场边缘。要求中标人单独安装水表、电表，其水、电费按项目所在地韶关市/</w:t>
      </w:r>
      <w:r>
        <w:rPr>
          <w:rFonts w:hint="eastAsia" w:ascii="宋体" w:hAnsi="宋体" w:eastAsia="宋体" w:cs="宋体"/>
          <w:color w:val="auto"/>
          <w:spacing w:val="-2"/>
          <w:sz w:val="24"/>
          <w:szCs w:val="24"/>
          <w:highlight w:val="none"/>
          <w:lang w:eastAsia="zh-CN"/>
        </w:rPr>
        <w:t>武江区</w:t>
      </w:r>
      <w:r>
        <w:rPr>
          <w:rFonts w:hint="eastAsia" w:ascii="宋体" w:hAnsi="宋体" w:eastAsia="宋体" w:cs="宋体"/>
          <w:color w:val="auto"/>
          <w:spacing w:val="-2"/>
          <w:sz w:val="24"/>
          <w:szCs w:val="24"/>
          <w:highlight w:val="none"/>
        </w:rPr>
        <w:t>基建工程水、电计费</w:t>
      </w:r>
      <w:r>
        <w:rPr>
          <w:rFonts w:hint="eastAsia" w:ascii="宋体" w:hAnsi="宋体" w:eastAsia="宋体" w:cs="宋体"/>
          <w:color w:val="auto"/>
          <w:spacing w:val="-3"/>
          <w:sz w:val="24"/>
          <w:szCs w:val="24"/>
          <w:highlight w:val="none"/>
        </w:rPr>
        <w:t>标准计算并由中标人缴纳。</w:t>
      </w:r>
    </w:p>
    <w:p w14:paraId="658065E1">
      <w:pPr>
        <w:spacing w:before="154" w:line="360" w:lineRule="auto"/>
        <w:ind w:left="9" w:right="16"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6.5  </w:t>
      </w:r>
      <w:r>
        <w:rPr>
          <w:rFonts w:hint="eastAsia" w:ascii="宋体" w:hAnsi="宋体" w:eastAsia="宋体" w:cs="宋体"/>
          <w:color w:val="auto"/>
          <w:spacing w:val="-2"/>
          <w:sz w:val="24"/>
          <w:szCs w:val="24"/>
          <w:highlight w:val="none"/>
        </w:rPr>
        <w:t>招标人不组织现场踏勘，但会在招标文件及有关设计文件中明确告知招标项</w:t>
      </w:r>
      <w:r>
        <w:rPr>
          <w:rFonts w:hint="eastAsia" w:ascii="宋体" w:hAnsi="宋体" w:eastAsia="宋体" w:cs="宋体"/>
          <w:color w:val="auto"/>
          <w:spacing w:val="-1"/>
          <w:sz w:val="24"/>
          <w:szCs w:val="24"/>
          <w:highlight w:val="none"/>
        </w:rPr>
        <w:t>目的具体位置和周边环境，并在现场设置足以识别的标识或提</w:t>
      </w:r>
      <w:r>
        <w:rPr>
          <w:rFonts w:hint="eastAsia" w:ascii="宋体" w:hAnsi="宋体" w:eastAsia="宋体" w:cs="宋体"/>
          <w:color w:val="auto"/>
          <w:spacing w:val="-2"/>
          <w:sz w:val="24"/>
          <w:szCs w:val="24"/>
          <w:highlight w:val="none"/>
        </w:rPr>
        <w:t>供足以表明招标项目具</w:t>
      </w:r>
      <w:r>
        <w:rPr>
          <w:rFonts w:hint="eastAsia" w:ascii="宋体" w:hAnsi="宋体" w:eastAsia="宋体" w:cs="宋体"/>
          <w:color w:val="auto"/>
          <w:sz w:val="24"/>
          <w:szCs w:val="24"/>
          <w:highlight w:val="none"/>
        </w:rPr>
        <w:t>体位置的文字或图片。投标人需要了解现场情况的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pacing w:val="-1"/>
          <w:sz w:val="24"/>
          <w:szCs w:val="24"/>
          <w:highlight w:val="none"/>
        </w:rPr>
        <w:t>可自行进行现场踏勘。</w:t>
      </w:r>
    </w:p>
    <w:p w14:paraId="1B519EF0">
      <w:pPr>
        <w:spacing w:before="153" w:line="360" w:lineRule="auto"/>
        <w:ind w:left="9" w:right="16"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6.6  </w:t>
      </w:r>
      <w:r>
        <w:rPr>
          <w:rFonts w:hint="eastAsia" w:ascii="宋体" w:hAnsi="宋体" w:eastAsia="宋体" w:cs="宋体"/>
          <w:color w:val="auto"/>
          <w:spacing w:val="-2"/>
          <w:sz w:val="24"/>
          <w:szCs w:val="24"/>
          <w:highlight w:val="none"/>
        </w:rPr>
        <w:t>在现场踏勘过程中，投标人应确保自身安全，投标人如果发生人身伤亡、财</w:t>
      </w:r>
      <w:r>
        <w:rPr>
          <w:rFonts w:hint="eastAsia" w:ascii="宋体" w:hAnsi="宋体" w:eastAsia="宋体" w:cs="宋体"/>
          <w:color w:val="auto"/>
          <w:spacing w:val="-1"/>
          <w:sz w:val="24"/>
          <w:szCs w:val="24"/>
          <w:highlight w:val="none"/>
        </w:rPr>
        <w:t>物或其他损失，法律法规有规定的按有关规定处理，没有规定</w:t>
      </w:r>
      <w:r>
        <w:rPr>
          <w:rFonts w:hint="eastAsia" w:ascii="宋体" w:hAnsi="宋体" w:eastAsia="宋体" w:cs="宋体"/>
          <w:color w:val="auto"/>
          <w:spacing w:val="-2"/>
          <w:sz w:val="24"/>
          <w:szCs w:val="24"/>
          <w:highlight w:val="none"/>
        </w:rPr>
        <w:t>的由投标人自行负责。</w:t>
      </w:r>
    </w:p>
    <w:p w14:paraId="77BF35A0">
      <w:pPr>
        <w:spacing w:before="153" w:line="360" w:lineRule="auto"/>
        <w:ind w:left="568"/>
        <w:rPr>
          <w:rFonts w:hint="eastAsia" w:ascii="宋体" w:hAnsi="宋体" w:eastAsia="宋体" w:cs="宋体"/>
          <w:color w:val="auto"/>
          <w:spacing w:val="-1"/>
          <w:sz w:val="24"/>
          <w:szCs w:val="24"/>
          <w:highlight w:val="none"/>
        </w:rPr>
      </w:pPr>
      <w:r>
        <w:rPr>
          <w:rFonts w:hint="eastAsia" w:ascii="宋体" w:hAnsi="宋体" w:eastAsia="宋体" w:cs="宋体"/>
          <w:b/>
          <w:bCs/>
          <w:color w:val="auto"/>
          <w:sz w:val="24"/>
          <w:szCs w:val="24"/>
          <w:highlight w:val="none"/>
        </w:rPr>
        <w:t xml:space="preserve">6.7  </w:t>
      </w:r>
      <w:r>
        <w:rPr>
          <w:rFonts w:hint="eastAsia" w:ascii="宋体" w:hAnsi="宋体" w:eastAsia="宋体" w:cs="宋体"/>
          <w:color w:val="auto"/>
          <w:sz w:val="24"/>
          <w:szCs w:val="24"/>
          <w:highlight w:val="none"/>
        </w:rPr>
        <w:t>现场踏勘期间的交通、食宿由投标人</w:t>
      </w:r>
      <w:r>
        <w:rPr>
          <w:rFonts w:hint="eastAsia" w:ascii="宋体" w:hAnsi="宋体" w:eastAsia="宋体" w:cs="宋体"/>
          <w:color w:val="auto"/>
          <w:spacing w:val="-1"/>
          <w:sz w:val="24"/>
          <w:szCs w:val="24"/>
          <w:highlight w:val="none"/>
        </w:rPr>
        <w:t>自行安排，费用自理。</w:t>
      </w:r>
      <w:bookmarkStart w:id="31" w:name="bookmark67"/>
      <w:bookmarkEnd w:id="31"/>
      <w:bookmarkStart w:id="32" w:name="bookmark69"/>
      <w:bookmarkEnd w:id="32"/>
      <w:bookmarkStart w:id="33" w:name="bookmark81"/>
      <w:bookmarkEnd w:id="33"/>
      <w:bookmarkStart w:id="34" w:name="_Toc9426"/>
    </w:p>
    <w:p w14:paraId="33A6D60D">
      <w:pPr>
        <w:spacing w:before="153" w:line="360" w:lineRule="auto"/>
        <w:ind w:left="568"/>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7</w:t>
      </w:r>
      <w:r>
        <w:rPr>
          <w:rFonts w:hint="eastAsia" w:ascii="宋体" w:hAnsi="宋体" w:eastAsia="宋体" w:cs="宋体"/>
          <w:b/>
          <w:bCs/>
          <w:color w:val="auto"/>
          <w:spacing w:val="-5"/>
          <w:sz w:val="24"/>
          <w:szCs w:val="24"/>
          <w:highlight w:val="none"/>
          <w:lang w:eastAsia="zh-CN"/>
        </w:rPr>
        <w:t>.</w:t>
      </w:r>
      <w:r>
        <w:rPr>
          <w:rFonts w:hint="eastAsia" w:ascii="宋体" w:hAnsi="宋体" w:eastAsia="宋体" w:cs="宋体"/>
          <w:b/>
          <w:bCs/>
          <w:color w:val="auto"/>
          <w:spacing w:val="-5"/>
          <w:sz w:val="24"/>
          <w:szCs w:val="24"/>
          <w:highlight w:val="none"/>
        </w:rPr>
        <w:t>招标文件的提问和答疑</w:t>
      </w:r>
      <w:bookmarkEnd w:id="34"/>
    </w:p>
    <w:p w14:paraId="141D04EB">
      <w:pPr>
        <w:keepNext w:val="0"/>
        <w:keepLines w:val="0"/>
        <w:pageBreakBefore w:val="0"/>
        <w:widowControl w:val="0"/>
        <w:kinsoku w:val="0"/>
        <w:wordWrap/>
        <w:overflowPunct/>
        <w:topLinePunct w:val="0"/>
        <w:autoSpaceDE w:val="0"/>
        <w:autoSpaceDN w:val="0"/>
        <w:bidi w:val="0"/>
        <w:adjustRightInd w:val="0"/>
        <w:snapToGrid w:val="0"/>
        <w:spacing w:before="153" w:line="360" w:lineRule="auto"/>
        <w:ind w:left="9" w:right="16" w:firstLine="478"/>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7.1  </w:t>
      </w:r>
      <w:r>
        <w:rPr>
          <w:rFonts w:hint="eastAsia" w:ascii="宋体" w:hAnsi="宋体" w:eastAsia="宋体" w:cs="宋体"/>
          <w:color w:val="auto"/>
          <w:sz w:val="24"/>
          <w:szCs w:val="24"/>
          <w:highlight w:val="none"/>
        </w:rPr>
        <w:t>投标人若对招标文件（含施工图、招标工程量清单）有疑问，应在提问截止</w:t>
      </w:r>
      <w:r>
        <w:rPr>
          <w:rFonts w:hint="eastAsia" w:ascii="宋体" w:hAnsi="宋体" w:eastAsia="宋体" w:cs="宋体"/>
          <w:color w:val="auto"/>
          <w:spacing w:val="-2"/>
          <w:sz w:val="24"/>
          <w:szCs w:val="24"/>
          <w:highlight w:val="none"/>
        </w:rPr>
        <w:t>时间（见本章第二节“重要事项时间地点一览表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”）前使用建设工程交易</w:t>
      </w:r>
      <w:r>
        <w:rPr>
          <w:rFonts w:hint="eastAsia" w:ascii="宋体" w:hAnsi="宋体" w:eastAsia="宋体" w:cs="宋体"/>
          <w:color w:val="auto"/>
          <w:spacing w:val="-3"/>
          <w:sz w:val="24"/>
          <w:szCs w:val="24"/>
          <w:highlight w:val="none"/>
        </w:rPr>
        <w:t>系统提出问</w:t>
      </w:r>
      <w:r>
        <w:rPr>
          <w:rFonts w:hint="eastAsia" w:ascii="宋体" w:hAnsi="宋体" w:eastAsia="宋体" w:cs="宋体"/>
          <w:color w:val="auto"/>
          <w:spacing w:val="-1"/>
          <w:sz w:val="24"/>
          <w:szCs w:val="24"/>
          <w:highlight w:val="none"/>
        </w:rPr>
        <w:t>题。未在指定时间前、未采用指定方式提出的，招标人不予受理。</w:t>
      </w:r>
    </w:p>
    <w:p w14:paraId="36B0B037">
      <w:pPr>
        <w:keepNext w:val="0"/>
        <w:keepLines w:val="0"/>
        <w:pageBreakBefore w:val="0"/>
        <w:widowControl w:val="0"/>
        <w:kinsoku w:val="0"/>
        <w:wordWrap/>
        <w:overflowPunct/>
        <w:topLinePunct w:val="0"/>
        <w:autoSpaceDE w:val="0"/>
        <w:autoSpaceDN w:val="0"/>
        <w:bidi w:val="0"/>
        <w:adjustRightInd w:val="0"/>
        <w:snapToGrid w:val="0"/>
        <w:spacing w:before="154" w:line="360" w:lineRule="auto"/>
        <w:ind w:left="9" w:right="16" w:firstLine="558"/>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7.2  </w:t>
      </w:r>
      <w:r>
        <w:rPr>
          <w:rFonts w:hint="eastAsia" w:ascii="宋体" w:hAnsi="宋体" w:eastAsia="宋体" w:cs="宋体"/>
          <w:color w:val="auto"/>
          <w:spacing w:val="-1"/>
          <w:sz w:val="24"/>
          <w:szCs w:val="24"/>
          <w:highlight w:val="none"/>
        </w:rPr>
        <w:t>招标人在提问截止时间（见本章第二节“重要</w:t>
      </w:r>
      <w:r>
        <w:rPr>
          <w:rFonts w:hint="eastAsia" w:ascii="宋体" w:hAnsi="宋体" w:eastAsia="宋体" w:cs="宋体"/>
          <w:color w:val="auto"/>
          <w:spacing w:val="-2"/>
          <w:sz w:val="24"/>
          <w:szCs w:val="24"/>
          <w:highlight w:val="none"/>
        </w:rPr>
        <w:t>事项时间地点一览表</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2"/>
          <w:sz w:val="24"/>
          <w:szCs w:val="24"/>
          <w:highlight w:val="none"/>
        </w:rPr>
        <w:t>”）后</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2"/>
          <w:sz w:val="24"/>
          <w:szCs w:val="24"/>
          <w:highlight w:val="none"/>
        </w:rPr>
        <w:t>3</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日内，一次性对收到的所有问题作出答复，并形成答疑（或修</w:t>
      </w:r>
      <w:r>
        <w:rPr>
          <w:rFonts w:hint="eastAsia" w:ascii="宋体" w:hAnsi="宋体" w:eastAsia="宋体" w:cs="宋体"/>
          <w:color w:val="auto"/>
          <w:spacing w:val="-2"/>
          <w:sz w:val="24"/>
          <w:szCs w:val="24"/>
          <w:highlight w:val="none"/>
        </w:rPr>
        <w:t>改）公告在发布招标公</w:t>
      </w:r>
      <w:r>
        <w:rPr>
          <w:rFonts w:hint="eastAsia" w:ascii="宋体" w:hAnsi="宋体" w:eastAsia="宋体" w:cs="宋体"/>
          <w:color w:val="auto"/>
          <w:spacing w:val="-1"/>
          <w:sz w:val="24"/>
          <w:szCs w:val="24"/>
          <w:highlight w:val="none"/>
        </w:rPr>
        <w:t>告的媒介上公开发布。答疑（或修改）公告一旦发布，即视所</w:t>
      </w:r>
      <w:r>
        <w:rPr>
          <w:rFonts w:hint="eastAsia" w:ascii="宋体" w:hAnsi="宋体" w:eastAsia="宋体" w:cs="宋体"/>
          <w:color w:val="auto"/>
          <w:spacing w:val="-2"/>
          <w:sz w:val="24"/>
          <w:szCs w:val="24"/>
          <w:highlight w:val="none"/>
        </w:rPr>
        <w:t>有潜在投标人已经知悉</w:t>
      </w:r>
      <w:r>
        <w:rPr>
          <w:rFonts w:hint="eastAsia" w:ascii="宋体" w:hAnsi="宋体" w:eastAsia="宋体" w:cs="宋体"/>
          <w:color w:val="auto"/>
          <w:spacing w:val="-1"/>
          <w:sz w:val="24"/>
          <w:szCs w:val="24"/>
          <w:highlight w:val="none"/>
        </w:rPr>
        <w:t>答疑（或修改）内容，投标人未及时关注而造成的损失和后果</w:t>
      </w:r>
      <w:r>
        <w:rPr>
          <w:rFonts w:hint="eastAsia" w:ascii="宋体" w:hAnsi="宋体" w:eastAsia="宋体" w:cs="宋体"/>
          <w:color w:val="auto"/>
          <w:spacing w:val="-2"/>
          <w:sz w:val="24"/>
          <w:szCs w:val="24"/>
          <w:highlight w:val="none"/>
        </w:rPr>
        <w:t>，由投标人自行承担。</w:t>
      </w:r>
    </w:p>
    <w:p w14:paraId="3A685D82">
      <w:pPr>
        <w:keepNext w:val="0"/>
        <w:keepLines w:val="0"/>
        <w:pageBreakBefore w:val="0"/>
        <w:widowControl w:val="0"/>
        <w:kinsoku w:val="0"/>
        <w:wordWrap/>
        <w:overflowPunct/>
        <w:topLinePunct w:val="0"/>
        <w:autoSpaceDE w:val="0"/>
        <w:autoSpaceDN w:val="0"/>
        <w:bidi w:val="0"/>
        <w:adjustRightInd w:val="0"/>
        <w:snapToGrid w:val="0"/>
        <w:spacing w:before="152" w:line="360" w:lineRule="auto"/>
        <w:ind w:firstLine="478" w:firstLineChars="200"/>
        <w:jc w:val="both"/>
        <w:textAlignment w:val="baseline"/>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7.3  </w:t>
      </w:r>
      <w:r>
        <w:rPr>
          <w:rFonts w:hint="eastAsia" w:ascii="宋体" w:hAnsi="宋体" w:eastAsia="宋体" w:cs="宋体"/>
          <w:color w:val="auto"/>
          <w:spacing w:val="-1"/>
          <w:sz w:val="24"/>
          <w:szCs w:val="24"/>
          <w:highlight w:val="none"/>
        </w:rPr>
        <w:t>招标人对招标文件所作的答疑（或修改）公告，构成</w:t>
      </w:r>
      <w:r>
        <w:rPr>
          <w:rFonts w:hint="eastAsia" w:ascii="宋体" w:hAnsi="宋体" w:eastAsia="宋体" w:cs="宋体"/>
          <w:color w:val="auto"/>
          <w:spacing w:val="-2"/>
          <w:sz w:val="24"/>
          <w:szCs w:val="24"/>
          <w:highlight w:val="none"/>
        </w:rPr>
        <w:t>招标文件的组成部分。</w:t>
      </w:r>
    </w:p>
    <w:p w14:paraId="4A158916">
      <w:pPr>
        <w:spacing w:before="79" w:line="360" w:lineRule="auto"/>
        <w:ind w:left="488"/>
        <w:outlineLvl w:val="2"/>
        <w:rPr>
          <w:rFonts w:hint="eastAsia" w:ascii="宋体" w:hAnsi="宋体" w:eastAsia="宋体" w:cs="宋体"/>
          <w:b/>
          <w:bCs/>
          <w:color w:val="auto"/>
          <w:spacing w:val="-1"/>
          <w:sz w:val="24"/>
          <w:szCs w:val="24"/>
          <w:highlight w:val="none"/>
        </w:rPr>
      </w:pPr>
      <w:bookmarkStart w:id="35" w:name="_Toc12890"/>
      <w:bookmarkStart w:id="36" w:name="_Toc947"/>
      <w:r>
        <w:rPr>
          <w:rFonts w:hint="eastAsia" w:ascii="宋体" w:hAnsi="宋体" w:eastAsia="宋体" w:cs="宋体"/>
          <w:b/>
          <w:bCs/>
          <w:color w:val="auto"/>
          <w:spacing w:val="-5"/>
          <w:sz w:val="24"/>
          <w:szCs w:val="24"/>
          <w:highlight w:val="none"/>
        </w:rPr>
        <w:t>8</w:t>
      </w:r>
      <w:r>
        <w:rPr>
          <w:rFonts w:hint="eastAsia" w:ascii="宋体" w:hAnsi="宋体" w:eastAsia="宋体" w:cs="宋体"/>
          <w:b/>
          <w:bCs/>
          <w:color w:val="auto"/>
          <w:spacing w:val="-23"/>
          <w:sz w:val="24"/>
          <w:szCs w:val="24"/>
          <w:highlight w:val="none"/>
          <w:lang w:eastAsia="zh-CN"/>
        </w:rPr>
        <w:t>.</w:t>
      </w:r>
      <w:r>
        <w:rPr>
          <w:rFonts w:hint="eastAsia" w:ascii="宋体" w:hAnsi="宋体" w:eastAsia="宋体" w:cs="宋体"/>
          <w:b/>
          <w:bCs/>
          <w:color w:val="auto"/>
          <w:spacing w:val="-1"/>
          <w:sz w:val="24"/>
          <w:szCs w:val="24"/>
          <w:highlight w:val="none"/>
        </w:rPr>
        <w:t>最高投标限价</w:t>
      </w:r>
      <w:bookmarkEnd w:id="35"/>
      <w:bookmarkEnd w:id="36"/>
    </w:p>
    <w:p w14:paraId="7D8411BA">
      <w:pPr>
        <w:spacing w:before="155" w:line="360"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8.1  </w:t>
      </w:r>
      <w:r>
        <w:rPr>
          <w:rFonts w:hint="eastAsia" w:ascii="宋体" w:hAnsi="宋体" w:eastAsia="宋体" w:cs="宋体"/>
          <w:color w:val="auto"/>
          <w:spacing w:val="-1"/>
          <w:sz w:val="24"/>
          <w:szCs w:val="24"/>
          <w:highlight w:val="none"/>
        </w:rPr>
        <w:t>本招标项目按照以下依据编制</w:t>
      </w:r>
      <w:r>
        <w:rPr>
          <w:rFonts w:hint="eastAsia" w:ascii="宋体" w:hAnsi="宋体" w:eastAsia="宋体" w:cs="宋体"/>
          <w:b/>
          <w:bCs/>
          <w:color w:val="auto"/>
          <w:spacing w:val="-1"/>
          <w:sz w:val="24"/>
          <w:szCs w:val="24"/>
          <w:highlight w:val="none"/>
          <w:lang w:eastAsia="zh-CN"/>
        </w:rPr>
        <w:t>最高投标限</w:t>
      </w:r>
      <w:r>
        <w:rPr>
          <w:rFonts w:hint="eastAsia" w:ascii="宋体" w:hAnsi="宋体" w:eastAsia="宋体" w:cs="宋体"/>
          <w:b/>
          <w:bCs/>
          <w:color w:val="auto"/>
          <w:spacing w:val="-1"/>
          <w:sz w:val="24"/>
          <w:szCs w:val="24"/>
          <w:highlight w:val="none"/>
        </w:rPr>
        <w:t>价</w:t>
      </w:r>
      <w:r>
        <w:rPr>
          <w:rFonts w:hint="eastAsia" w:ascii="宋体" w:hAnsi="宋体" w:eastAsia="宋体" w:cs="宋体"/>
          <w:color w:val="auto"/>
          <w:spacing w:val="-1"/>
          <w:sz w:val="24"/>
          <w:szCs w:val="24"/>
          <w:highlight w:val="none"/>
        </w:rPr>
        <w:t>：</w:t>
      </w:r>
    </w:p>
    <w:p w14:paraId="7771E585">
      <w:pPr>
        <w:spacing w:before="157" w:line="36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（1）《建设工程工程量清单计价规范》（GB50500—2013）；</w:t>
      </w:r>
    </w:p>
    <w:p w14:paraId="37010A3E">
      <w:pPr>
        <w:spacing w:before="153" w:line="360" w:lineRule="auto"/>
        <w:ind w:left="9" w:right="16"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（2）《广东省建设工程计价依据（2018）》。具体</w:t>
      </w:r>
      <w:r>
        <w:rPr>
          <w:rFonts w:hint="eastAsia" w:ascii="宋体" w:hAnsi="宋体" w:eastAsia="宋体" w:cs="宋体"/>
          <w:color w:val="auto"/>
          <w:spacing w:val="1"/>
          <w:sz w:val="24"/>
          <w:szCs w:val="24"/>
          <w:highlight w:val="none"/>
        </w:rPr>
        <w:t>包括：《广东省房屋建筑与</w:t>
      </w:r>
      <w:r>
        <w:rPr>
          <w:rFonts w:hint="eastAsia" w:ascii="宋体" w:hAnsi="宋体" w:eastAsia="宋体" w:cs="宋体"/>
          <w:color w:val="auto"/>
          <w:spacing w:val="-1"/>
          <w:sz w:val="24"/>
          <w:szCs w:val="24"/>
          <w:highlight w:val="none"/>
        </w:rPr>
        <w:t>装饰工程综合定额（2018）》《广东省市政工程综合定额（2018）》《</w:t>
      </w:r>
      <w:r>
        <w:rPr>
          <w:rFonts w:hint="eastAsia" w:ascii="宋体" w:hAnsi="宋体" w:eastAsia="宋体" w:cs="宋体"/>
          <w:color w:val="auto"/>
          <w:spacing w:val="-2"/>
          <w:sz w:val="24"/>
          <w:szCs w:val="24"/>
          <w:highlight w:val="none"/>
        </w:rPr>
        <w:t>广东省通用安</w:t>
      </w:r>
      <w:r>
        <w:rPr>
          <w:rFonts w:hint="eastAsia" w:ascii="宋体" w:hAnsi="宋体" w:eastAsia="宋体" w:cs="宋体"/>
          <w:color w:val="auto"/>
          <w:spacing w:val="-1"/>
          <w:sz w:val="24"/>
          <w:szCs w:val="24"/>
          <w:highlight w:val="none"/>
        </w:rPr>
        <w:t>装工程综合定额（2018）》《广东省园林绿化工程综合定额（2018）》</w:t>
      </w:r>
      <w:r>
        <w:rPr>
          <w:rFonts w:hint="eastAsia" w:ascii="宋体" w:hAnsi="宋体" w:eastAsia="宋体" w:cs="宋体"/>
          <w:color w:val="auto"/>
          <w:spacing w:val="-2"/>
          <w:sz w:val="24"/>
          <w:szCs w:val="24"/>
          <w:highlight w:val="none"/>
        </w:rPr>
        <w:t>《广东省建设</w:t>
      </w:r>
      <w:r>
        <w:rPr>
          <w:rFonts w:hint="eastAsia" w:ascii="宋体" w:hAnsi="宋体" w:eastAsia="宋体" w:cs="宋体"/>
          <w:color w:val="auto"/>
          <w:spacing w:val="-1"/>
          <w:sz w:val="24"/>
          <w:szCs w:val="24"/>
          <w:highlight w:val="none"/>
        </w:rPr>
        <w:t>工程施工机具台班费用编制规则（2018）》等；</w:t>
      </w:r>
    </w:p>
    <w:p w14:paraId="3143AC53">
      <w:pPr>
        <w:spacing w:before="154" w:line="36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（3）施工图及相关资料；</w:t>
      </w:r>
    </w:p>
    <w:p w14:paraId="26942C9D">
      <w:pPr>
        <w:spacing w:before="78" w:line="360" w:lineRule="auto"/>
        <w:ind w:left="502"/>
        <w:rPr>
          <w:rFonts w:hint="eastAsia" w:ascii="宋体" w:hAnsi="宋体" w:eastAsia="宋体" w:cs="宋体"/>
          <w:color w:val="auto"/>
          <w:sz w:val="24"/>
          <w:szCs w:val="24"/>
          <w:highlight w:val="none"/>
        </w:rPr>
      </w:pPr>
      <w:bookmarkStart w:id="37" w:name="bookmark119"/>
      <w:bookmarkEnd w:id="37"/>
      <w:r>
        <w:rPr>
          <w:rFonts w:hint="eastAsia" w:ascii="宋体" w:hAnsi="宋体" w:eastAsia="宋体" w:cs="宋体"/>
          <w:color w:val="auto"/>
          <w:spacing w:val="-2"/>
          <w:sz w:val="24"/>
          <w:szCs w:val="24"/>
          <w:highlight w:val="none"/>
        </w:rPr>
        <w:t>（4）招标文件及招标工程量清单；</w:t>
      </w:r>
    </w:p>
    <w:p w14:paraId="4C7E7F6F">
      <w:pPr>
        <w:spacing w:before="155" w:line="360" w:lineRule="auto"/>
        <w:ind w:left="50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（5）施工现场情况、工程特点及常规施工方案；</w:t>
      </w:r>
    </w:p>
    <w:p w14:paraId="4D821E47">
      <w:pPr>
        <w:spacing w:before="153" w:line="360" w:lineRule="auto"/>
        <w:ind w:left="12" w:right="136" w:firstLine="48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（6）项目所在地工程造价管理机构发布的工程造价信息，工程造</w:t>
      </w:r>
      <w:r>
        <w:rPr>
          <w:rFonts w:hint="eastAsia" w:ascii="宋体" w:hAnsi="宋体" w:eastAsia="宋体" w:cs="宋体"/>
          <w:color w:val="auto"/>
          <w:spacing w:val="-4"/>
          <w:sz w:val="24"/>
          <w:szCs w:val="24"/>
          <w:highlight w:val="none"/>
        </w:rPr>
        <w:t>价信息缺项的，</w:t>
      </w:r>
      <w:r>
        <w:rPr>
          <w:rFonts w:hint="eastAsia" w:ascii="宋体" w:hAnsi="宋体" w:eastAsia="宋体" w:cs="宋体"/>
          <w:color w:val="auto"/>
          <w:spacing w:val="-2"/>
          <w:sz w:val="24"/>
          <w:szCs w:val="24"/>
          <w:highlight w:val="none"/>
        </w:rPr>
        <w:t>参照市场价格；</w:t>
      </w:r>
    </w:p>
    <w:p w14:paraId="08839E0D">
      <w:pPr>
        <w:spacing w:before="157" w:line="360" w:lineRule="auto"/>
        <w:ind w:left="50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（7）与建设项目相关的标准、规范、技术资料。</w:t>
      </w:r>
    </w:p>
    <w:p w14:paraId="5E405D0D">
      <w:pPr>
        <w:spacing w:before="79" w:line="360" w:lineRule="auto"/>
        <w:ind w:left="11" w:firstLine="479"/>
        <w:jc w:val="both"/>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8.2</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lang w:eastAsia="zh-CN"/>
        </w:rPr>
        <w:t>本项目最高投标限价为人民币（大写）：陆佰伍拾柒万叁仟壹佰壹拾肆元壹角叁分（¥6,573,114.13元）。其中绿色施工安全防护措施费不低于：¥250,504.66元，暂估价（统一报价）为¥37,700.00元。</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3"/>
        <w:gridCol w:w="3960"/>
        <w:gridCol w:w="1485"/>
        <w:gridCol w:w="1185"/>
        <w:gridCol w:w="1695"/>
        <w:gridCol w:w="746"/>
      </w:tblGrid>
      <w:tr w14:paraId="5CD9F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3" w:type="dxa"/>
            <w:vMerge w:val="restart"/>
            <w:vAlign w:val="center"/>
          </w:tcPr>
          <w:p w14:paraId="4C39777E">
            <w:pPr>
              <w:widowControl w:val="0"/>
              <w:spacing w:line="240" w:lineRule="auto"/>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序号</w:t>
            </w:r>
          </w:p>
        </w:tc>
        <w:tc>
          <w:tcPr>
            <w:tcW w:w="3960" w:type="dxa"/>
            <w:vMerge w:val="restart"/>
            <w:vAlign w:val="center"/>
          </w:tcPr>
          <w:p w14:paraId="2B80C416">
            <w:pPr>
              <w:widowControl w:val="0"/>
              <w:spacing w:line="240" w:lineRule="auto"/>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单位工程名称</w:t>
            </w:r>
          </w:p>
        </w:tc>
        <w:tc>
          <w:tcPr>
            <w:tcW w:w="1485" w:type="dxa"/>
            <w:vMerge w:val="restart"/>
            <w:vAlign w:val="center"/>
          </w:tcPr>
          <w:p w14:paraId="7AD650A6">
            <w:pPr>
              <w:widowControl w:val="0"/>
              <w:spacing w:line="240" w:lineRule="auto"/>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金额（元）</w:t>
            </w:r>
          </w:p>
        </w:tc>
        <w:tc>
          <w:tcPr>
            <w:tcW w:w="3626" w:type="dxa"/>
            <w:gridSpan w:val="3"/>
            <w:vAlign w:val="center"/>
          </w:tcPr>
          <w:p w14:paraId="5C8D7657">
            <w:pPr>
              <w:widowControl w:val="0"/>
              <w:spacing w:line="240" w:lineRule="auto"/>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其中：（元）</w:t>
            </w:r>
          </w:p>
        </w:tc>
      </w:tr>
      <w:tr w14:paraId="6E74D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3" w:type="dxa"/>
            <w:vMerge w:val="continue"/>
            <w:vAlign w:val="center"/>
          </w:tcPr>
          <w:p w14:paraId="5B350E6D">
            <w:pPr>
              <w:widowControl w:val="0"/>
              <w:spacing w:line="240" w:lineRule="auto"/>
              <w:jc w:val="center"/>
              <w:rPr>
                <w:rFonts w:hint="eastAsia" w:ascii="宋体" w:hAnsi="宋体" w:eastAsia="宋体" w:cs="宋体"/>
                <w:b/>
                <w:bCs/>
                <w:sz w:val="24"/>
                <w:szCs w:val="24"/>
                <w:lang w:val="en-US" w:eastAsia="zh-CN"/>
              </w:rPr>
            </w:pPr>
          </w:p>
        </w:tc>
        <w:tc>
          <w:tcPr>
            <w:tcW w:w="3960" w:type="dxa"/>
            <w:vMerge w:val="continue"/>
            <w:vAlign w:val="center"/>
          </w:tcPr>
          <w:p w14:paraId="52E9986A">
            <w:pPr>
              <w:widowControl w:val="0"/>
              <w:spacing w:line="240" w:lineRule="auto"/>
              <w:jc w:val="center"/>
              <w:rPr>
                <w:rFonts w:hint="eastAsia" w:ascii="宋体" w:hAnsi="宋体" w:eastAsia="宋体" w:cs="宋体"/>
                <w:b/>
                <w:bCs/>
                <w:sz w:val="24"/>
                <w:szCs w:val="24"/>
                <w:lang w:val="en-US" w:eastAsia="zh-CN"/>
              </w:rPr>
            </w:pPr>
          </w:p>
        </w:tc>
        <w:tc>
          <w:tcPr>
            <w:tcW w:w="1485" w:type="dxa"/>
            <w:vMerge w:val="continue"/>
            <w:vAlign w:val="center"/>
          </w:tcPr>
          <w:p w14:paraId="375CD131">
            <w:pPr>
              <w:widowControl w:val="0"/>
              <w:spacing w:line="240" w:lineRule="auto"/>
              <w:jc w:val="center"/>
              <w:rPr>
                <w:rFonts w:hint="eastAsia" w:ascii="宋体" w:hAnsi="宋体" w:eastAsia="宋体" w:cs="宋体"/>
                <w:b/>
                <w:bCs/>
                <w:sz w:val="24"/>
                <w:szCs w:val="24"/>
                <w:lang w:val="en-US" w:eastAsia="zh-CN"/>
              </w:rPr>
            </w:pPr>
          </w:p>
        </w:tc>
        <w:tc>
          <w:tcPr>
            <w:tcW w:w="1185" w:type="dxa"/>
            <w:vAlign w:val="center"/>
          </w:tcPr>
          <w:p w14:paraId="5A3639CE">
            <w:pPr>
              <w:widowControl w:val="0"/>
              <w:spacing w:line="240" w:lineRule="auto"/>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暂估价</w:t>
            </w:r>
          </w:p>
        </w:tc>
        <w:tc>
          <w:tcPr>
            <w:tcW w:w="1695" w:type="dxa"/>
            <w:vAlign w:val="center"/>
          </w:tcPr>
          <w:p w14:paraId="6467F284">
            <w:pPr>
              <w:widowControl w:val="0"/>
              <w:spacing w:line="240" w:lineRule="auto"/>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绿色施工安全防护措施费</w:t>
            </w:r>
          </w:p>
        </w:tc>
        <w:tc>
          <w:tcPr>
            <w:tcW w:w="746" w:type="dxa"/>
            <w:vAlign w:val="center"/>
          </w:tcPr>
          <w:p w14:paraId="0B008944">
            <w:pPr>
              <w:widowControl w:val="0"/>
              <w:spacing w:line="240" w:lineRule="auto"/>
              <w:jc w:val="center"/>
              <w:rPr>
                <w:rFonts w:hint="eastAsia" w:ascii="宋体" w:hAnsi="宋体" w:eastAsia="宋体" w:cs="宋体"/>
                <w:b/>
                <w:bCs/>
                <w:sz w:val="24"/>
                <w:szCs w:val="24"/>
              </w:rPr>
            </w:pPr>
            <w:r>
              <w:rPr>
                <w:rFonts w:hint="eastAsia" w:ascii="宋体" w:hAnsi="宋体" w:eastAsia="宋体" w:cs="宋体"/>
                <w:b/>
                <w:bCs/>
                <w:sz w:val="24"/>
                <w:szCs w:val="24"/>
                <w:lang w:val="en-US" w:eastAsia="zh-CN"/>
              </w:rPr>
              <w:t>规费</w:t>
            </w:r>
          </w:p>
          <w:p w14:paraId="0D4E8A5A">
            <w:pPr>
              <w:widowControl w:val="0"/>
              <w:spacing w:line="240" w:lineRule="auto"/>
              <w:jc w:val="center"/>
              <w:rPr>
                <w:rFonts w:hint="eastAsia" w:ascii="宋体" w:hAnsi="宋体" w:eastAsia="宋体" w:cs="宋体"/>
                <w:b/>
                <w:bCs/>
                <w:sz w:val="24"/>
                <w:szCs w:val="24"/>
                <w:lang w:val="en-US" w:eastAsia="zh-CN"/>
              </w:rPr>
            </w:pPr>
          </w:p>
        </w:tc>
      </w:tr>
      <w:tr w14:paraId="21A63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783" w:type="dxa"/>
            <w:vAlign w:val="center"/>
          </w:tcPr>
          <w:p w14:paraId="32C907F1">
            <w:pPr>
              <w:widowControl w:val="0"/>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3960" w:type="dxa"/>
            <w:vAlign w:val="center"/>
          </w:tcPr>
          <w:p w14:paraId="25AF5DF1">
            <w:pPr>
              <w:widowControl w:val="0"/>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武江区重阳镇水口及大夫前村农产业示范带配套基础设施提升项目--室外部分</w:t>
            </w:r>
          </w:p>
        </w:tc>
        <w:tc>
          <w:tcPr>
            <w:tcW w:w="1485" w:type="dxa"/>
            <w:vAlign w:val="center"/>
          </w:tcPr>
          <w:p w14:paraId="37854217">
            <w:pPr>
              <w:widowControl w:val="0"/>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6524943.42</w:t>
            </w:r>
          </w:p>
        </w:tc>
        <w:tc>
          <w:tcPr>
            <w:tcW w:w="1185" w:type="dxa"/>
            <w:vAlign w:val="center"/>
          </w:tcPr>
          <w:p w14:paraId="59356AFF">
            <w:pPr>
              <w:widowControl w:val="0"/>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37700.00</w:t>
            </w:r>
          </w:p>
        </w:tc>
        <w:tc>
          <w:tcPr>
            <w:tcW w:w="1695" w:type="dxa"/>
            <w:vAlign w:val="center"/>
          </w:tcPr>
          <w:p w14:paraId="47CED6C8">
            <w:pPr>
              <w:widowControl w:val="0"/>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249496.90</w:t>
            </w:r>
          </w:p>
        </w:tc>
        <w:tc>
          <w:tcPr>
            <w:tcW w:w="746" w:type="dxa"/>
            <w:vAlign w:val="center"/>
          </w:tcPr>
          <w:p w14:paraId="579D6085">
            <w:pPr>
              <w:widowControl w:val="0"/>
              <w:spacing w:line="240" w:lineRule="auto"/>
              <w:jc w:val="both"/>
              <w:rPr>
                <w:rFonts w:hint="eastAsia" w:ascii="宋体" w:hAnsi="宋体" w:eastAsia="宋体" w:cs="宋体"/>
                <w:sz w:val="24"/>
                <w:szCs w:val="24"/>
                <w:lang w:val="en-US" w:eastAsia="zh-CN"/>
              </w:rPr>
            </w:pPr>
          </w:p>
        </w:tc>
      </w:tr>
      <w:tr w14:paraId="5B1BA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3" w:type="dxa"/>
            <w:vAlign w:val="center"/>
          </w:tcPr>
          <w:p w14:paraId="034FC310">
            <w:pPr>
              <w:widowControl w:val="0"/>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3960" w:type="dxa"/>
            <w:vAlign w:val="center"/>
          </w:tcPr>
          <w:p w14:paraId="70FB3B28">
            <w:pPr>
              <w:widowControl w:val="0"/>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武江区重阳镇水口及大夫前村农产业示范带配套基础设施提升项目--心形拱门</w:t>
            </w:r>
          </w:p>
        </w:tc>
        <w:tc>
          <w:tcPr>
            <w:tcW w:w="1485" w:type="dxa"/>
            <w:vAlign w:val="center"/>
          </w:tcPr>
          <w:p w14:paraId="30EB8AA8">
            <w:pPr>
              <w:widowControl w:val="0"/>
              <w:spacing w:line="24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26251.31</w:t>
            </w:r>
          </w:p>
          <w:p w14:paraId="3880AD89">
            <w:pPr>
              <w:widowControl w:val="0"/>
              <w:spacing w:line="240" w:lineRule="auto"/>
              <w:jc w:val="center"/>
              <w:rPr>
                <w:rFonts w:hint="eastAsia" w:ascii="宋体" w:hAnsi="宋体" w:eastAsia="宋体" w:cs="宋体"/>
                <w:sz w:val="24"/>
                <w:szCs w:val="24"/>
                <w:lang w:val="en-US" w:eastAsia="zh-CN"/>
              </w:rPr>
            </w:pPr>
          </w:p>
        </w:tc>
        <w:tc>
          <w:tcPr>
            <w:tcW w:w="1185" w:type="dxa"/>
            <w:vAlign w:val="center"/>
          </w:tcPr>
          <w:p w14:paraId="333DF398">
            <w:pPr>
              <w:widowControl w:val="0"/>
              <w:spacing w:line="240" w:lineRule="auto"/>
              <w:jc w:val="center"/>
              <w:rPr>
                <w:rFonts w:hint="eastAsia" w:ascii="宋体" w:hAnsi="宋体" w:eastAsia="宋体" w:cs="宋体"/>
                <w:sz w:val="24"/>
                <w:szCs w:val="24"/>
                <w:lang w:val="en-US" w:eastAsia="zh-CN"/>
              </w:rPr>
            </w:pPr>
          </w:p>
        </w:tc>
        <w:tc>
          <w:tcPr>
            <w:tcW w:w="1695" w:type="dxa"/>
            <w:vAlign w:val="center"/>
          </w:tcPr>
          <w:p w14:paraId="2EB9F181">
            <w:pPr>
              <w:widowControl w:val="0"/>
              <w:spacing w:line="24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540.39</w:t>
            </w:r>
          </w:p>
          <w:p w14:paraId="30ABF675">
            <w:pPr>
              <w:widowControl w:val="0"/>
              <w:spacing w:line="240" w:lineRule="auto"/>
              <w:jc w:val="center"/>
              <w:rPr>
                <w:rFonts w:hint="eastAsia" w:ascii="宋体" w:hAnsi="宋体" w:eastAsia="宋体" w:cs="宋体"/>
                <w:sz w:val="24"/>
                <w:szCs w:val="24"/>
                <w:lang w:val="en-US" w:eastAsia="zh-CN"/>
              </w:rPr>
            </w:pPr>
          </w:p>
        </w:tc>
        <w:tc>
          <w:tcPr>
            <w:tcW w:w="746" w:type="dxa"/>
            <w:vAlign w:val="center"/>
          </w:tcPr>
          <w:p w14:paraId="545A8A1E">
            <w:pPr>
              <w:widowControl w:val="0"/>
              <w:spacing w:line="240" w:lineRule="auto"/>
              <w:jc w:val="both"/>
              <w:rPr>
                <w:rFonts w:hint="eastAsia" w:ascii="宋体" w:hAnsi="宋体" w:eastAsia="宋体" w:cs="宋体"/>
                <w:sz w:val="24"/>
                <w:szCs w:val="24"/>
                <w:lang w:val="en-US" w:eastAsia="zh-CN"/>
              </w:rPr>
            </w:pPr>
          </w:p>
        </w:tc>
      </w:tr>
      <w:tr w14:paraId="0E614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3" w:type="dxa"/>
            <w:vAlign w:val="center"/>
          </w:tcPr>
          <w:p w14:paraId="03F12A80">
            <w:pPr>
              <w:widowControl w:val="0"/>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3960" w:type="dxa"/>
            <w:vAlign w:val="center"/>
          </w:tcPr>
          <w:p w14:paraId="577FFED7">
            <w:pPr>
              <w:widowControl w:val="0"/>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武江区重阳镇水口及大夫前村农产业示范带配套基础设施提升项目--绿化部分</w:t>
            </w:r>
          </w:p>
        </w:tc>
        <w:tc>
          <w:tcPr>
            <w:tcW w:w="1485" w:type="dxa"/>
            <w:vAlign w:val="center"/>
          </w:tcPr>
          <w:p w14:paraId="7A7FFD8E">
            <w:pPr>
              <w:widowControl w:val="0"/>
              <w:spacing w:line="24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21919.40</w:t>
            </w:r>
          </w:p>
          <w:p w14:paraId="26F563E8">
            <w:pPr>
              <w:widowControl w:val="0"/>
              <w:spacing w:line="240" w:lineRule="auto"/>
              <w:jc w:val="center"/>
              <w:rPr>
                <w:rFonts w:hint="eastAsia" w:ascii="宋体" w:hAnsi="宋体" w:eastAsia="宋体" w:cs="宋体"/>
                <w:sz w:val="24"/>
                <w:szCs w:val="24"/>
                <w:lang w:val="en-US" w:eastAsia="zh-CN"/>
              </w:rPr>
            </w:pPr>
          </w:p>
        </w:tc>
        <w:tc>
          <w:tcPr>
            <w:tcW w:w="1185" w:type="dxa"/>
            <w:vAlign w:val="center"/>
          </w:tcPr>
          <w:p w14:paraId="05E2B9DC">
            <w:pPr>
              <w:widowControl w:val="0"/>
              <w:spacing w:line="240" w:lineRule="auto"/>
              <w:jc w:val="center"/>
              <w:rPr>
                <w:rFonts w:hint="eastAsia" w:ascii="宋体" w:hAnsi="宋体" w:eastAsia="宋体" w:cs="宋体"/>
                <w:sz w:val="24"/>
                <w:szCs w:val="24"/>
                <w:lang w:val="en-US" w:eastAsia="zh-CN"/>
              </w:rPr>
            </w:pPr>
          </w:p>
        </w:tc>
        <w:tc>
          <w:tcPr>
            <w:tcW w:w="1695" w:type="dxa"/>
            <w:vAlign w:val="center"/>
          </w:tcPr>
          <w:p w14:paraId="73153224">
            <w:pPr>
              <w:widowControl w:val="0"/>
              <w:spacing w:line="24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467.37</w:t>
            </w:r>
          </w:p>
          <w:p w14:paraId="2CC39125">
            <w:pPr>
              <w:widowControl w:val="0"/>
              <w:spacing w:line="240" w:lineRule="auto"/>
              <w:jc w:val="center"/>
              <w:rPr>
                <w:rFonts w:hint="eastAsia" w:ascii="宋体" w:hAnsi="宋体" w:eastAsia="宋体" w:cs="宋体"/>
                <w:sz w:val="24"/>
                <w:szCs w:val="24"/>
                <w:lang w:val="en-US" w:eastAsia="zh-CN"/>
              </w:rPr>
            </w:pPr>
          </w:p>
        </w:tc>
        <w:tc>
          <w:tcPr>
            <w:tcW w:w="746" w:type="dxa"/>
            <w:vAlign w:val="center"/>
          </w:tcPr>
          <w:p w14:paraId="42F40EBB">
            <w:pPr>
              <w:widowControl w:val="0"/>
              <w:spacing w:line="240" w:lineRule="auto"/>
              <w:jc w:val="both"/>
              <w:rPr>
                <w:rFonts w:hint="eastAsia" w:ascii="宋体" w:hAnsi="宋体" w:eastAsia="宋体" w:cs="宋体"/>
                <w:sz w:val="24"/>
                <w:szCs w:val="24"/>
                <w:lang w:val="en-US" w:eastAsia="zh-CN"/>
              </w:rPr>
            </w:pPr>
          </w:p>
        </w:tc>
      </w:tr>
      <w:tr w14:paraId="0ECF9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43" w:type="dxa"/>
            <w:gridSpan w:val="2"/>
            <w:vAlign w:val="center"/>
          </w:tcPr>
          <w:p w14:paraId="3D204A67">
            <w:pPr>
              <w:widowControl w:val="0"/>
              <w:spacing w:line="240" w:lineRule="auto"/>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合计</w:t>
            </w:r>
          </w:p>
        </w:tc>
        <w:tc>
          <w:tcPr>
            <w:tcW w:w="1485" w:type="dxa"/>
            <w:vAlign w:val="center"/>
          </w:tcPr>
          <w:p w14:paraId="09AB252D">
            <w:pPr>
              <w:widowControl w:val="0"/>
              <w:spacing w:line="240" w:lineRule="auto"/>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6573114.13</w:t>
            </w:r>
          </w:p>
        </w:tc>
        <w:tc>
          <w:tcPr>
            <w:tcW w:w="1185" w:type="dxa"/>
            <w:vAlign w:val="center"/>
          </w:tcPr>
          <w:p w14:paraId="620B6074">
            <w:pPr>
              <w:widowControl w:val="0"/>
              <w:spacing w:line="240" w:lineRule="auto"/>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37700.00</w:t>
            </w:r>
          </w:p>
        </w:tc>
        <w:tc>
          <w:tcPr>
            <w:tcW w:w="1695" w:type="dxa"/>
            <w:vAlign w:val="center"/>
          </w:tcPr>
          <w:p w14:paraId="2533E36D">
            <w:pPr>
              <w:widowControl w:val="0"/>
              <w:spacing w:line="240" w:lineRule="auto"/>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250504.66</w:t>
            </w:r>
          </w:p>
        </w:tc>
        <w:tc>
          <w:tcPr>
            <w:tcW w:w="746" w:type="dxa"/>
            <w:vAlign w:val="center"/>
          </w:tcPr>
          <w:p w14:paraId="065DC762">
            <w:pPr>
              <w:widowControl w:val="0"/>
              <w:spacing w:line="240" w:lineRule="auto"/>
              <w:jc w:val="center"/>
              <w:rPr>
                <w:rFonts w:hint="eastAsia" w:ascii="宋体" w:hAnsi="宋体" w:eastAsia="宋体" w:cs="宋体"/>
                <w:b/>
                <w:bCs/>
                <w:sz w:val="24"/>
                <w:szCs w:val="24"/>
                <w:lang w:val="en-US" w:eastAsia="zh-CN"/>
              </w:rPr>
            </w:pPr>
          </w:p>
        </w:tc>
      </w:tr>
    </w:tbl>
    <w:p w14:paraId="29778293">
      <w:pPr>
        <w:keepNext w:val="0"/>
        <w:keepLines w:val="0"/>
        <w:pageBreakBefore w:val="0"/>
        <w:widowControl w:val="0"/>
        <w:kinsoku w:val="0"/>
        <w:wordWrap/>
        <w:overflowPunct/>
        <w:topLinePunct w:val="0"/>
        <w:autoSpaceDE w:val="0"/>
        <w:autoSpaceDN w:val="0"/>
        <w:bidi w:val="0"/>
        <w:adjustRightInd w:val="0"/>
        <w:snapToGrid w:val="0"/>
        <w:spacing w:before="79" w:line="360" w:lineRule="auto"/>
        <w:ind w:firstLine="482"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3</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color w:val="auto"/>
          <w:sz w:val="24"/>
          <w:szCs w:val="24"/>
          <w:highlight w:val="none"/>
        </w:rPr>
        <w:t>暂估价指招标工程量清单中提供的用于支付必然发生但暂时不能确定价格的</w:t>
      </w:r>
      <w:r>
        <w:rPr>
          <w:rFonts w:hint="eastAsia" w:ascii="宋体" w:hAnsi="宋体" w:eastAsia="宋体" w:cs="宋体"/>
          <w:color w:val="auto"/>
          <w:spacing w:val="-1"/>
          <w:sz w:val="24"/>
          <w:szCs w:val="24"/>
          <w:highlight w:val="none"/>
        </w:rPr>
        <w:t>材料、工程设备的单价以及专业工程的金额；暂列金额指招标</w:t>
      </w:r>
      <w:r>
        <w:rPr>
          <w:rFonts w:hint="eastAsia" w:ascii="宋体" w:hAnsi="宋体" w:eastAsia="宋体" w:cs="宋体"/>
          <w:color w:val="auto"/>
          <w:spacing w:val="-2"/>
          <w:sz w:val="24"/>
          <w:szCs w:val="24"/>
          <w:highlight w:val="none"/>
        </w:rPr>
        <w:t>工程量清单中暂定并包括在合同价款中的一笔款项，用于工程合同签订时尚未确定或</w:t>
      </w:r>
      <w:r>
        <w:rPr>
          <w:rFonts w:hint="eastAsia" w:ascii="宋体" w:hAnsi="宋体" w:eastAsia="宋体" w:cs="宋体"/>
          <w:color w:val="auto"/>
          <w:spacing w:val="-3"/>
          <w:sz w:val="24"/>
          <w:szCs w:val="24"/>
          <w:highlight w:val="none"/>
        </w:rPr>
        <w:t>者不可预见的所需材料、</w:t>
      </w:r>
      <w:r>
        <w:rPr>
          <w:rFonts w:hint="eastAsia" w:ascii="宋体" w:hAnsi="宋体" w:eastAsia="宋体" w:cs="宋体"/>
          <w:color w:val="auto"/>
          <w:spacing w:val="-1"/>
          <w:sz w:val="24"/>
          <w:szCs w:val="24"/>
          <w:highlight w:val="none"/>
        </w:rPr>
        <w:t>工程设备、服务的采购，施工中可能发生的工程变更、合同约</w:t>
      </w:r>
      <w:r>
        <w:rPr>
          <w:rFonts w:hint="eastAsia" w:ascii="宋体" w:hAnsi="宋体" w:eastAsia="宋体" w:cs="宋体"/>
          <w:color w:val="auto"/>
          <w:spacing w:val="-2"/>
          <w:sz w:val="24"/>
          <w:szCs w:val="24"/>
          <w:highlight w:val="none"/>
        </w:rPr>
        <w:t>定调整因素出现时的合</w:t>
      </w:r>
      <w:r>
        <w:rPr>
          <w:rFonts w:hint="eastAsia" w:ascii="宋体" w:hAnsi="宋体" w:eastAsia="宋体" w:cs="宋体"/>
          <w:color w:val="auto"/>
          <w:spacing w:val="-1"/>
          <w:sz w:val="24"/>
          <w:szCs w:val="24"/>
          <w:highlight w:val="none"/>
        </w:rPr>
        <w:t>同价款调整以及发生的索赔、现场签证确认等的费用。</w:t>
      </w:r>
    </w:p>
    <w:p w14:paraId="169F5C58">
      <w:pPr>
        <w:keepNext w:val="0"/>
        <w:keepLines w:val="0"/>
        <w:pageBreakBefore w:val="0"/>
        <w:widowControl w:val="0"/>
        <w:kinsoku w:val="0"/>
        <w:wordWrap/>
        <w:overflowPunct/>
        <w:topLinePunct w:val="0"/>
        <w:autoSpaceDE w:val="0"/>
        <w:autoSpaceDN w:val="0"/>
        <w:bidi w:val="0"/>
        <w:adjustRightInd w:val="0"/>
        <w:snapToGrid w:val="0"/>
        <w:spacing w:before="36" w:line="360" w:lineRule="auto"/>
        <w:ind w:left="10" w:right="200" w:firstLine="48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4</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本招标项目以暂估价形式列入招标工程量清单中的材料、工程设备、专业工</w:t>
      </w:r>
      <w:r>
        <w:rPr>
          <w:rFonts w:hint="eastAsia" w:ascii="宋体" w:hAnsi="宋体" w:eastAsia="宋体" w:cs="宋体"/>
          <w:color w:val="auto"/>
          <w:spacing w:val="-2"/>
          <w:sz w:val="24"/>
          <w:szCs w:val="24"/>
          <w:highlight w:val="none"/>
        </w:rPr>
        <w:t>程（以下统称“暂估价项目</w:t>
      </w:r>
      <w:r>
        <w:rPr>
          <w:rFonts w:hint="eastAsia" w:ascii="宋体" w:hAnsi="宋体" w:eastAsia="宋体" w:cs="宋体"/>
          <w:color w:val="auto"/>
          <w:spacing w:val="-80"/>
          <w:sz w:val="24"/>
          <w:szCs w:val="24"/>
          <w:highlight w:val="none"/>
        </w:rPr>
        <w:t xml:space="preserve"> </w:t>
      </w:r>
      <w:r>
        <w:rPr>
          <w:rFonts w:hint="eastAsia" w:ascii="宋体" w:hAnsi="宋体" w:eastAsia="宋体" w:cs="宋体"/>
          <w:color w:val="auto"/>
          <w:spacing w:val="-2"/>
          <w:sz w:val="24"/>
          <w:szCs w:val="24"/>
          <w:highlight w:val="none"/>
        </w:rPr>
        <w:t>”）包括：</w:t>
      </w:r>
      <w:r>
        <w:rPr>
          <w:rFonts w:hint="eastAsia" w:ascii="宋体" w:hAnsi="宋体" w:eastAsia="宋体" w:cs="宋体"/>
          <w:color w:val="auto"/>
          <w:sz w:val="24"/>
          <w:szCs w:val="24"/>
          <w:highlight w:val="none"/>
          <w:u w:val="single"/>
        </w:rPr>
        <w:t>为招标人在工程量清单中提供的用于支付必然发生但暂时不能确定价格的材料、工程设备的单价以及专业工程的金额。投标人必须按招标工程量清单中列出的单价、金额统一报价，其结算原则按本招标文件相关条款执行。</w:t>
      </w:r>
    </w:p>
    <w:p w14:paraId="1D1A87E1">
      <w:pPr>
        <w:keepNext w:val="0"/>
        <w:keepLines w:val="0"/>
        <w:pageBreakBefore w:val="0"/>
        <w:widowControl w:val="0"/>
        <w:kinsoku w:val="0"/>
        <w:wordWrap/>
        <w:overflowPunct/>
        <w:topLinePunct w:val="0"/>
        <w:autoSpaceDE w:val="0"/>
        <w:autoSpaceDN w:val="0"/>
        <w:bidi w:val="0"/>
        <w:adjustRightInd w:val="0"/>
        <w:snapToGrid w:val="0"/>
        <w:spacing w:before="36" w:line="360" w:lineRule="auto"/>
        <w:ind w:left="10" w:right="200" w:firstLine="48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5</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当暂估价项目的内容、标准、要求在项目实施过程中得以深化、明确、固定后，按以下原则发包：</w:t>
      </w:r>
    </w:p>
    <w:p w14:paraId="33109C8D">
      <w:pPr>
        <w:keepNext w:val="0"/>
        <w:keepLines w:val="0"/>
        <w:pageBreakBefore w:val="0"/>
        <w:widowControl w:val="0"/>
        <w:kinsoku w:val="0"/>
        <w:wordWrap/>
        <w:overflowPunct/>
        <w:topLinePunct w:val="0"/>
        <w:autoSpaceDE w:val="0"/>
        <w:autoSpaceDN w:val="0"/>
        <w:bidi w:val="0"/>
        <w:adjustRightInd w:val="0"/>
        <w:snapToGrid w:val="0"/>
        <w:spacing w:before="36" w:line="360" w:lineRule="auto"/>
        <w:ind w:left="10" w:right="200" w:firstLine="48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（1）暂估价项目按工程、货物（指材料或工程设备，下同）的类别分类汇总的金额，达到必须招标规模标准的，由中标人招标，招标人参与管理，确定专业工程承包人（或材料、工程 设备供应商）和合同价格。</w:t>
      </w:r>
    </w:p>
    <w:p w14:paraId="64DAAE36">
      <w:pPr>
        <w:keepNext w:val="0"/>
        <w:keepLines w:val="0"/>
        <w:pageBreakBefore w:val="0"/>
        <w:widowControl w:val="0"/>
        <w:kinsoku w:val="0"/>
        <w:wordWrap/>
        <w:overflowPunct/>
        <w:topLinePunct w:val="0"/>
        <w:autoSpaceDE w:val="0"/>
        <w:autoSpaceDN w:val="0"/>
        <w:bidi w:val="0"/>
        <w:adjustRightInd w:val="0"/>
        <w:snapToGrid w:val="0"/>
        <w:spacing w:before="36" w:line="360" w:lineRule="auto"/>
        <w:ind w:left="10" w:right="200" w:firstLine="48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（2）暂估价项目按工程、货物的类别分类汇总的金额，未达到必须招标规模标准但适用政府采购规定的，按照政府采购规定确定专业工程承包人（或材料、工程设备供应商）和合同价格。</w:t>
      </w:r>
    </w:p>
    <w:p w14:paraId="76EC6FD1">
      <w:pPr>
        <w:keepNext w:val="0"/>
        <w:keepLines w:val="0"/>
        <w:pageBreakBefore w:val="0"/>
        <w:widowControl w:val="0"/>
        <w:kinsoku w:val="0"/>
        <w:wordWrap/>
        <w:overflowPunct/>
        <w:topLinePunct w:val="0"/>
        <w:autoSpaceDE w:val="0"/>
        <w:autoSpaceDN w:val="0"/>
        <w:bidi w:val="0"/>
        <w:adjustRightInd w:val="0"/>
        <w:snapToGrid w:val="0"/>
        <w:spacing w:before="154" w:line="360" w:lineRule="auto"/>
        <w:ind w:left="11" w:right="65" w:firstLine="48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（3）暂估价项目按工程、货物的类别分类汇总的金额，未</w:t>
      </w:r>
      <w:r>
        <w:rPr>
          <w:rFonts w:hint="eastAsia" w:ascii="宋体" w:hAnsi="宋体" w:eastAsia="宋体" w:cs="宋体"/>
          <w:color w:val="auto"/>
          <w:spacing w:val="1"/>
          <w:sz w:val="24"/>
          <w:szCs w:val="24"/>
          <w:highlight w:val="none"/>
        </w:rPr>
        <w:t>达到必须招标规模标</w:t>
      </w:r>
      <w:r>
        <w:rPr>
          <w:rFonts w:hint="eastAsia" w:ascii="宋体" w:hAnsi="宋体" w:eastAsia="宋体" w:cs="宋体"/>
          <w:color w:val="auto"/>
          <w:spacing w:val="-1"/>
          <w:sz w:val="24"/>
          <w:szCs w:val="24"/>
          <w:highlight w:val="none"/>
        </w:rPr>
        <w:t>准也不适用政府采购规定，中标人具备相应资格条件的，</w:t>
      </w:r>
      <w:r>
        <w:rPr>
          <w:rFonts w:hint="eastAsia" w:ascii="宋体" w:hAnsi="宋体" w:eastAsia="宋体" w:cs="宋体"/>
          <w:color w:val="auto"/>
          <w:spacing w:val="-2"/>
          <w:sz w:val="24"/>
          <w:szCs w:val="24"/>
          <w:highlight w:val="none"/>
        </w:rPr>
        <w:t>由中标人承包；中标人不具</w:t>
      </w:r>
      <w:r>
        <w:rPr>
          <w:rFonts w:hint="eastAsia" w:ascii="宋体" w:hAnsi="宋体" w:eastAsia="宋体" w:cs="宋体"/>
          <w:color w:val="auto"/>
          <w:spacing w:val="-1"/>
          <w:sz w:val="24"/>
          <w:szCs w:val="24"/>
          <w:highlight w:val="none"/>
        </w:rPr>
        <w:t>备相应资格条件但具备分包权的，由中标人分包，招标人</w:t>
      </w:r>
      <w:r>
        <w:rPr>
          <w:rFonts w:hint="eastAsia" w:ascii="宋体" w:hAnsi="宋体" w:eastAsia="宋体" w:cs="宋体"/>
          <w:color w:val="auto"/>
          <w:spacing w:val="-2"/>
          <w:sz w:val="24"/>
          <w:szCs w:val="24"/>
          <w:highlight w:val="none"/>
        </w:rPr>
        <w:t>同中标人结算原则按本招标文件相关条款执行。</w:t>
      </w:r>
    </w:p>
    <w:p w14:paraId="5C652789">
      <w:pPr>
        <w:keepNext w:val="0"/>
        <w:keepLines w:val="0"/>
        <w:pageBreakBefore w:val="0"/>
        <w:widowControl w:val="0"/>
        <w:kinsoku w:val="0"/>
        <w:wordWrap/>
        <w:overflowPunct/>
        <w:topLinePunct w:val="0"/>
        <w:autoSpaceDE w:val="0"/>
        <w:autoSpaceDN w:val="0"/>
        <w:bidi w:val="0"/>
        <w:adjustRightInd w:val="0"/>
        <w:snapToGrid w:val="0"/>
        <w:spacing w:before="154" w:line="360" w:lineRule="auto"/>
        <w:ind w:left="11" w:right="65" w:firstLine="48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（4）暂估价项目按工程、货物的类别分类汇总的金额，未</w:t>
      </w:r>
      <w:r>
        <w:rPr>
          <w:rFonts w:hint="eastAsia" w:ascii="宋体" w:hAnsi="宋体" w:eastAsia="宋体" w:cs="宋体"/>
          <w:color w:val="auto"/>
          <w:spacing w:val="1"/>
          <w:sz w:val="24"/>
          <w:szCs w:val="24"/>
          <w:highlight w:val="none"/>
        </w:rPr>
        <w:t>达到必须招标规模标</w:t>
      </w:r>
      <w:r>
        <w:rPr>
          <w:rFonts w:hint="eastAsia" w:ascii="宋体" w:hAnsi="宋体" w:eastAsia="宋体" w:cs="宋体"/>
          <w:color w:val="auto"/>
          <w:spacing w:val="-1"/>
          <w:sz w:val="24"/>
          <w:szCs w:val="24"/>
          <w:highlight w:val="none"/>
        </w:rPr>
        <w:t>准也不适用政府采购规定，中标人既不具备相应资格条件</w:t>
      </w:r>
      <w:r>
        <w:rPr>
          <w:rFonts w:hint="eastAsia" w:ascii="宋体" w:hAnsi="宋体" w:eastAsia="宋体" w:cs="宋体"/>
          <w:color w:val="auto"/>
          <w:spacing w:val="-2"/>
          <w:sz w:val="24"/>
          <w:szCs w:val="24"/>
          <w:highlight w:val="none"/>
        </w:rPr>
        <w:t>又不具备分包权的，由招标人另行发包。</w:t>
      </w:r>
    </w:p>
    <w:p w14:paraId="33A9C25D">
      <w:pPr>
        <w:keepNext w:val="0"/>
        <w:keepLines w:val="0"/>
        <w:pageBreakBefore w:val="0"/>
        <w:widowControl w:val="0"/>
        <w:kinsoku w:val="0"/>
        <w:wordWrap/>
        <w:overflowPunct/>
        <w:topLinePunct w:val="0"/>
        <w:autoSpaceDE w:val="0"/>
        <w:autoSpaceDN w:val="0"/>
        <w:bidi w:val="0"/>
        <w:adjustRightInd w:val="0"/>
        <w:snapToGrid w:val="0"/>
        <w:spacing w:before="155" w:line="360" w:lineRule="auto"/>
        <w:ind w:left="9" w:right="66" w:firstLine="49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（5）暂估价项目由其他承包人承包的，纳入中标人的管理</w:t>
      </w:r>
      <w:r>
        <w:rPr>
          <w:rFonts w:hint="eastAsia" w:ascii="宋体" w:hAnsi="宋体" w:eastAsia="宋体" w:cs="宋体"/>
          <w:color w:val="auto"/>
          <w:spacing w:val="1"/>
          <w:sz w:val="24"/>
          <w:szCs w:val="24"/>
          <w:highlight w:val="none"/>
        </w:rPr>
        <w:t>和协调范围，由其他</w:t>
      </w:r>
      <w:r>
        <w:rPr>
          <w:rFonts w:hint="eastAsia" w:ascii="宋体" w:hAnsi="宋体" w:eastAsia="宋体" w:cs="宋体"/>
          <w:color w:val="auto"/>
          <w:spacing w:val="-1"/>
          <w:sz w:val="24"/>
          <w:szCs w:val="24"/>
          <w:highlight w:val="none"/>
        </w:rPr>
        <w:t>承包人向中标人承担质量、安全、文明施工、工期责任，中标</w:t>
      </w:r>
      <w:r>
        <w:rPr>
          <w:rFonts w:hint="eastAsia" w:ascii="宋体" w:hAnsi="宋体" w:eastAsia="宋体" w:cs="宋体"/>
          <w:color w:val="auto"/>
          <w:spacing w:val="-2"/>
          <w:sz w:val="24"/>
          <w:szCs w:val="24"/>
          <w:highlight w:val="none"/>
        </w:rPr>
        <w:t>人向招标人承担责任。</w:t>
      </w:r>
    </w:p>
    <w:p w14:paraId="2166C88B">
      <w:pPr>
        <w:keepNext w:val="0"/>
        <w:keepLines w:val="0"/>
        <w:pageBreakBefore w:val="0"/>
        <w:widowControl w:val="0"/>
        <w:kinsoku w:val="0"/>
        <w:wordWrap/>
        <w:overflowPunct/>
        <w:topLinePunct w:val="0"/>
        <w:autoSpaceDE w:val="0"/>
        <w:autoSpaceDN w:val="0"/>
        <w:bidi w:val="0"/>
        <w:adjustRightInd w:val="0"/>
        <w:snapToGrid w:val="0"/>
        <w:spacing w:before="155" w:line="360" w:lineRule="auto"/>
        <w:ind w:left="10" w:right="65" w:firstLine="478"/>
        <w:jc w:val="both"/>
        <w:textAlignment w:val="baseline"/>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本招标项目以暂列金额形式列入招标工程量清单中的所需货物和服务的采购</w:t>
      </w:r>
      <w:r>
        <w:rPr>
          <w:rFonts w:hint="eastAsia" w:ascii="宋体" w:hAnsi="宋体" w:eastAsia="宋体" w:cs="宋体"/>
          <w:color w:val="auto"/>
          <w:spacing w:val="-1"/>
          <w:sz w:val="24"/>
          <w:szCs w:val="24"/>
          <w:highlight w:val="none"/>
        </w:rPr>
        <w:t>（以下统称“暂列金额项目</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1"/>
          <w:sz w:val="24"/>
          <w:szCs w:val="24"/>
          <w:highlight w:val="none"/>
        </w:rPr>
        <w:t>”）若有发生，按照本节第</w:t>
      </w:r>
      <w:r>
        <w:rPr>
          <w:rFonts w:hint="eastAsia" w:ascii="宋体" w:hAnsi="宋体" w:eastAsia="宋体" w:cs="宋体"/>
          <w:color w:val="auto"/>
          <w:spacing w:val="-52"/>
          <w:sz w:val="24"/>
          <w:szCs w:val="24"/>
          <w:highlight w:val="none"/>
        </w:rPr>
        <w:t xml:space="preserve"> </w:t>
      </w:r>
      <w:r>
        <w:rPr>
          <w:rFonts w:hint="eastAsia" w:ascii="宋体" w:hAnsi="宋体" w:eastAsia="宋体" w:cs="宋体"/>
          <w:b/>
          <w:bCs/>
          <w:color w:val="auto"/>
          <w:spacing w:val="-1"/>
          <w:sz w:val="24"/>
          <w:szCs w:val="24"/>
          <w:highlight w:val="none"/>
        </w:rPr>
        <w:t xml:space="preserve">8.5 </w:t>
      </w:r>
      <w:r>
        <w:rPr>
          <w:rFonts w:hint="eastAsia" w:ascii="宋体" w:hAnsi="宋体" w:eastAsia="宋体" w:cs="宋体"/>
          <w:color w:val="auto"/>
          <w:spacing w:val="-1"/>
          <w:sz w:val="24"/>
          <w:szCs w:val="24"/>
          <w:highlight w:val="none"/>
        </w:rPr>
        <w:t>条的规定确定货物（或服务）供应商和合同价格。暂列金额项目由其他承包人承包的</w:t>
      </w:r>
      <w:r>
        <w:rPr>
          <w:rFonts w:hint="eastAsia" w:ascii="宋体" w:hAnsi="宋体" w:eastAsia="宋体" w:cs="宋体"/>
          <w:color w:val="auto"/>
          <w:spacing w:val="-2"/>
          <w:sz w:val="24"/>
          <w:szCs w:val="24"/>
          <w:highlight w:val="none"/>
        </w:rPr>
        <w:t>，纳入中标人的管理和协</w:t>
      </w:r>
      <w:r>
        <w:rPr>
          <w:rFonts w:hint="eastAsia" w:ascii="宋体" w:hAnsi="宋体" w:eastAsia="宋体" w:cs="宋体"/>
          <w:color w:val="auto"/>
          <w:spacing w:val="-1"/>
          <w:sz w:val="24"/>
          <w:szCs w:val="24"/>
          <w:highlight w:val="none"/>
        </w:rPr>
        <w:t>调范围</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由其他承包人向中标人承担质量、安全、文明</w:t>
      </w:r>
      <w:r>
        <w:rPr>
          <w:rFonts w:hint="eastAsia" w:ascii="宋体" w:hAnsi="宋体" w:eastAsia="宋体" w:cs="宋体"/>
          <w:color w:val="auto"/>
          <w:spacing w:val="-2"/>
          <w:sz w:val="24"/>
          <w:szCs w:val="24"/>
          <w:highlight w:val="none"/>
        </w:rPr>
        <w:t>施工、工期责任，中标人向招标人承担责任。</w:t>
      </w:r>
    </w:p>
    <w:p w14:paraId="28912A05">
      <w:pPr>
        <w:spacing w:before="79" w:line="360" w:lineRule="auto"/>
        <w:ind w:left="487"/>
        <w:outlineLvl w:val="2"/>
        <w:rPr>
          <w:rFonts w:hint="eastAsia" w:ascii="宋体" w:hAnsi="宋体" w:eastAsia="宋体" w:cs="宋体"/>
          <w:color w:val="auto"/>
          <w:sz w:val="24"/>
          <w:szCs w:val="24"/>
          <w:highlight w:val="none"/>
        </w:rPr>
      </w:pPr>
      <w:bookmarkStart w:id="38" w:name="_Toc25884"/>
      <w:bookmarkStart w:id="39" w:name="_Toc19930"/>
      <w:r>
        <w:rPr>
          <w:rFonts w:hint="eastAsia" w:ascii="宋体" w:hAnsi="宋体" w:eastAsia="宋体" w:cs="宋体"/>
          <w:b/>
          <w:bCs/>
          <w:color w:val="auto"/>
          <w:spacing w:val="-8"/>
          <w:sz w:val="24"/>
          <w:szCs w:val="24"/>
          <w:highlight w:val="none"/>
        </w:rPr>
        <w:t>9</w:t>
      </w:r>
      <w:r>
        <w:rPr>
          <w:rFonts w:hint="eastAsia" w:ascii="宋体" w:hAnsi="宋体" w:eastAsia="宋体" w:cs="宋体"/>
          <w:b/>
          <w:bCs/>
          <w:color w:val="auto"/>
          <w:spacing w:val="-29"/>
          <w:sz w:val="24"/>
          <w:szCs w:val="24"/>
          <w:highlight w:val="none"/>
          <w:lang w:eastAsia="zh-CN"/>
        </w:rPr>
        <w:t>.</w:t>
      </w:r>
      <w:r>
        <w:rPr>
          <w:rFonts w:hint="eastAsia" w:ascii="宋体" w:hAnsi="宋体" w:eastAsia="宋体" w:cs="宋体"/>
          <w:b/>
          <w:bCs/>
          <w:color w:val="auto"/>
          <w:spacing w:val="-8"/>
          <w:sz w:val="24"/>
          <w:szCs w:val="24"/>
          <w:highlight w:val="none"/>
        </w:rPr>
        <w:t>投标报价</w:t>
      </w:r>
      <w:bookmarkEnd w:id="38"/>
      <w:bookmarkEnd w:id="39"/>
    </w:p>
    <w:p w14:paraId="36361E61">
      <w:pPr>
        <w:keepNext w:val="0"/>
        <w:keepLines w:val="0"/>
        <w:pageBreakBefore w:val="0"/>
        <w:widowControl w:val="0"/>
        <w:kinsoku w:val="0"/>
        <w:wordWrap/>
        <w:overflowPunct/>
        <w:topLinePunct w:val="0"/>
        <w:autoSpaceDE w:val="0"/>
        <w:autoSpaceDN w:val="0"/>
        <w:bidi w:val="0"/>
        <w:adjustRightInd w:val="0"/>
        <w:snapToGrid w:val="0"/>
        <w:spacing w:before="157" w:line="360" w:lineRule="auto"/>
        <w:ind w:left="487"/>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9.1  </w:t>
      </w:r>
      <w:r>
        <w:rPr>
          <w:rFonts w:hint="eastAsia" w:ascii="宋体" w:hAnsi="宋体" w:eastAsia="宋体" w:cs="宋体"/>
          <w:color w:val="auto"/>
          <w:spacing w:val="-1"/>
          <w:sz w:val="24"/>
          <w:szCs w:val="24"/>
          <w:highlight w:val="none"/>
        </w:rPr>
        <w:t>投标人应按照以下依据编制投标报价：</w:t>
      </w:r>
    </w:p>
    <w:p w14:paraId="4F06C9F5">
      <w:pPr>
        <w:keepNext w:val="0"/>
        <w:keepLines w:val="0"/>
        <w:pageBreakBefore w:val="0"/>
        <w:widowControl w:val="0"/>
        <w:kinsoku w:val="0"/>
        <w:wordWrap/>
        <w:overflowPunct/>
        <w:topLinePunct w:val="0"/>
        <w:autoSpaceDE w:val="0"/>
        <w:autoSpaceDN w:val="0"/>
        <w:bidi w:val="0"/>
        <w:adjustRightInd w:val="0"/>
        <w:snapToGrid w:val="0"/>
        <w:spacing w:before="155" w:line="360" w:lineRule="auto"/>
        <w:ind w:left="50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（1）《建设工程工程量清单计价规范》（GB50500—2013</w:t>
      </w:r>
      <w:r>
        <w:rPr>
          <w:rFonts w:hint="eastAsia" w:ascii="宋体" w:hAnsi="宋体" w:eastAsia="宋体" w:cs="宋体"/>
          <w:color w:val="auto"/>
          <w:spacing w:val="4"/>
          <w:sz w:val="24"/>
          <w:szCs w:val="24"/>
          <w:highlight w:val="none"/>
        </w:rPr>
        <w:t>）；</w:t>
      </w:r>
    </w:p>
    <w:p w14:paraId="6C7C7907">
      <w:pPr>
        <w:keepNext w:val="0"/>
        <w:keepLines w:val="0"/>
        <w:pageBreakBefore w:val="0"/>
        <w:widowControl w:val="0"/>
        <w:kinsoku w:val="0"/>
        <w:wordWrap/>
        <w:overflowPunct/>
        <w:topLinePunct w:val="0"/>
        <w:autoSpaceDE w:val="0"/>
        <w:autoSpaceDN w:val="0"/>
        <w:bidi w:val="0"/>
        <w:adjustRightInd w:val="0"/>
        <w:snapToGrid w:val="0"/>
        <w:spacing w:before="153" w:line="360" w:lineRule="auto"/>
        <w:ind w:left="9" w:right="65" w:firstLine="49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（2）《广东省建设工程计价依据（2018）》。具体</w:t>
      </w:r>
      <w:r>
        <w:rPr>
          <w:rFonts w:hint="eastAsia" w:ascii="宋体" w:hAnsi="宋体" w:eastAsia="宋体" w:cs="宋体"/>
          <w:color w:val="auto"/>
          <w:spacing w:val="1"/>
          <w:sz w:val="24"/>
          <w:szCs w:val="24"/>
          <w:highlight w:val="none"/>
        </w:rPr>
        <w:t>包括：《广东省房屋建筑与</w:t>
      </w:r>
      <w:r>
        <w:rPr>
          <w:rFonts w:hint="eastAsia" w:ascii="宋体" w:hAnsi="宋体" w:eastAsia="宋体" w:cs="宋体"/>
          <w:color w:val="auto"/>
          <w:spacing w:val="-1"/>
          <w:sz w:val="24"/>
          <w:szCs w:val="24"/>
          <w:highlight w:val="none"/>
        </w:rPr>
        <w:t>装饰工程综合定额（2018）》《广东省市政工程综合定额（2018）》《</w:t>
      </w:r>
      <w:r>
        <w:rPr>
          <w:rFonts w:hint="eastAsia" w:ascii="宋体" w:hAnsi="宋体" w:eastAsia="宋体" w:cs="宋体"/>
          <w:color w:val="auto"/>
          <w:spacing w:val="-2"/>
          <w:sz w:val="24"/>
          <w:szCs w:val="24"/>
          <w:highlight w:val="none"/>
        </w:rPr>
        <w:t>广东省通用安</w:t>
      </w:r>
      <w:r>
        <w:rPr>
          <w:rFonts w:hint="eastAsia" w:ascii="宋体" w:hAnsi="宋体" w:eastAsia="宋体" w:cs="宋体"/>
          <w:color w:val="auto"/>
          <w:spacing w:val="-1"/>
          <w:sz w:val="24"/>
          <w:szCs w:val="24"/>
          <w:highlight w:val="none"/>
        </w:rPr>
        <w:t>装工程综合定额（2018）》《广东省园林绿化工程综合定额（2018）》</w:t>
      </w:r>
      <w:r>
        <w:rPr>
          <w:rFonts w:hint="eastAsia" w:ascii="宋体" w:hAnsi="宋体" w:eastAsia="宋体" w:cs="宋体"/>
          <w:color w:val="auto"/>
          <w:spacing w:val="-2"/>
          <w:sz w:val="24"/>
          <w:szCs w:val="24"/>
          <w:highlight w:val="none"/>
        </w:rPr>
        <w:t>《广东省建设</w:t>
      </w:r>
      <w:r>
        <w:rPr>
          <w:rFonts w:hint="eastAsia" w:ascii="宋体" w:hAnsi="宋体" w:eastAsia="宋体" w:cs="宋体"/>
          <w:color w:val="auto"/>
          <w:spacing w:val="-1"/>
          <w:sz w:val="24"/>
          <w:szCs w:val="24"/>
          <w:highlight w:val="none"/>
        </w:rPr>
        <w:t>工程施工机具台班费用编制规则（2018）》等；</w:t>
      </w:r>
    </w:p>
    <w:p w14:paraId="6DA419D1">
      <w:pPr>
        <w:keepNext w:val="0"/>
        <w:keepLines w:val="0"/>
        <w:pageBreakBefore w:val="0"/>
        <w:widowControl w:val="0"/>
        <w:kinsoku w:val="0"/>
        <w:wordWrap/>
        <w:overflowPunct/>
        <w:topLinePunct w:val="0"/>
        <w:autoSpaceDE w:val="0"/>
        <w:autoSpaceDN w:val="0"/>
        <w:bidi w:val="0"/>
        <w:adjustRightInd w:val="0"/>
        <w:snapToGrid w:val="0"/>
        <w:spacing w:before="78" w:line="360" w:lineRule="auto"/>
        <w:ind w:left="501"/>
        <w:textAlignment w:val="baseline"/>
        <w:rPr>
          <w:rFonts w:hint="eastAsia" w:ascii="宋体" w:hAnsi="宋体" w:eastAsia="宋体" w:cs="宋体"/>
          <w:color w:val="auto"/>
          <w:sz w:val="24"/>
          <w:szCs w:val="24"/>
          <w:highlight w:val="none"/>
        </w:rPr>
      </w:pPr>
      <w:bookmarkStart w:id="40" w:name="bookmark120"/>
      <w:bookmarkEnd w:id="40"/>
      <w:r>
        <w:rPr>
          <w:rFonts w:hint="eastAsia" w:ascii="宋体" w:hAnsi="宋体" w:eastAsia="宋体" w:cs="宋体"/>
          <w:color w:val="auto"/>
          <w:spacing w:val="-3"/>
          <w:sz w:val="24"/>
          <w:szCs w:val="24"/>
          <w:highlight w:val="none"/>
        </w:rPr>
        <w:t>（3）企业定额；</w:t>
      </w:r>
    </w:p>
    <w:p w14:paraId="2A1D6921">
      <w:pPr>
        <w:keepNext w:val="0"/>
        <w:keepLines w:val="0"/>
        <w:pageBreakBefore w:val="0"/>
        <w:widowControl w:val="0"/>
        <w:kinsoku w:val="0"/>
        <w:wordWrap/>
        <w:overflowPunct/>
        <w:topLinePunct w:val="0"/>
        <w:autoSpaceDE w:val="0"/>
        <w:autoSpaceDN w:val="0"/>
        <w:bidi w:val="0"/>
        <w:adjustRightInd w:val="0"/>
        <w:snapToGrid w:val="0"/>
        <w:spacing w:before="155" w:line="360" w:lineRule="auto"/>
        <w:ind w:left="50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（4）招标文件及其答疑（或修改）公告、招标工程量清单；</w:t>
      </w:r>
    </w:p>
    <w:p w14:paraId="1E239EF3">
      <w:pPr>
        <w:keepNext w:val="0"/>
        <w:keepLines w:val="0"/>
        <w:pageBreakBefore w:val="0"/>
        <w:widowControl w:val="0"/>
        <w:kinsoku w:val="0"/>
        <w:wordWrap/>
        <w:overflowPunct/>
        <w:topLinePunct w:val="0"/>
        <w:autoSpaceDE w:val="0"/>
        <w:autoSpaceDN w:val="0"/>
        <w:bidi w:val="0"/>
        <w:adjustRightInd w:val="0"/>
        <w:snapToGrid w:val="0"/>
        <w:spacing w:before="154" w:line="360" w:lineRule="auto"/>
        <w:ind w:left="50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（5）施工图及相关资料；</w:t>
      </w:r>
    </w:p>
    <w:p w14:paraId="4805DE51">
      <w:pPr>
        <w:keepNext w:val="0"/>
        <w:keepLines w:val="0"/>
        <w:pageBreakBefore w:val="0"/>
        <w:widowControl w:val="0"/>
        <w:kinsoku w:val="0"/>
        <w:wordWrap/>
        <w:overflowPunct/>
        <w:topLinePunct w:val="0"/>
        <w:autoSpaceDE w:val="0"/>
        <w:autoSpaceDN w:val="0"/>
        <w:bidi w:val="0"/>
        <w:adjustRightInd w:val="0"/>
        <w:snapToGrid w:val="0"/>
        <w:spacing w:before="152" w:line="360" w:lineRule="auto"/>
        <w:ind w:left="50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（6）施工现场情况、工程特点及投标时拟定的施工组织设计或施工方案；</w:t>
      </w:r>
    </w:p>
    <w:p w14:paraId="4E1DCFFE">
      <w:pPr>
        <w:keepNext w:val="0"/>
        <w:keepLines w:val="0"/>
        <w:pageBreakBefore w:val="0"/>
        <w:widowControl w:val="0"/>
        <w:kinsoku w:val="0"/>
        <w:wordWrap/>
        <w:overflowPunct/>
        <w:topLinePunct w:val="0"/>
        <w:autoSpaceDE w:val="0"/>
        <w:autoSpaceDN w:val="0"/>
        <w:bidi w:val="0"/>
        <w:adjustRightInd w:val="0"/>
        <w:snapToGrid w:val="0"/>
        <w:spacing w:before="156" w:line="360" w:lineRule="auto"/>
        <w:ind w:left="50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（7）市场价格信息或项目所在地工程造价管理机构发布的工程造价信息；</w:t>
      </w:r>
    </w:p>
    <w:p w14:paraId="5825D2D8">
      <w:pPr>
        <w:keepNext w:val="0"/>
        <w:keepLines w:val="0"/>
        <w:pageBreakBefore w:val="0"/>
        <w:widowControl w:val="0"/>
        <w:kinsoku w:val="0"/>
        <w:wordWrap/>
        <w:overflowPunct/>
        <w:topLinePunct w:val="0"/>
        <w:autoSpaceDE w:val="0"/>
        <w:autoSpaceDN w:val="0"/>
        <w:bidi w:val="0"/>
        <w:adjustRightInd w:val="0"/>
        <w:snapToGrid w:val="0"/>
        <w:spacing w:before="155" w:line="360" w:lineRule="auto"/>
        <w:ind w:left="50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（8）与建设项目相关的标准、规范、技术资料。</w:t>
      </w:r>
    </w:p>
    <w:p w14:paraId="1BDA0FF0">
      <w:pPr>
        <w:keepNext w:val="0"/>
        <w:keepLines w:val="0"/>
        <w:pageBreakBefore w:val="0"/>
        <w:widowControl w:val="0"/>
        <w:kinsoku w:val="0"/>
        <w:wordWrap/>
        <w:overflowPunct/>
        <w:topLinePunct w:val="0"/>
        <w:autoSpaceDE w:val="0"/>
        <w:autoSpaceDN w:val="0"/>
        <w:bidi w:val="0"/>
        <w:adjustRightInd w:val="0"/>
        <w:snapToGrid w:val="0"/>
        <w:spacing w:before="153" w:line="360" w:lineRule="auto"/>
        <w:ind w:left="8" w:right="150" w:firstLine="558"/>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9.2  </w:t>
      </w:r>
      <w:r>
        <w:rPr>
          <w:rFonts w:hint="eastAsia" w:ascii="宋体" w:hAnsi="宋体" w:eastAsia="宋体" w:cs="宋体"/>
          <w:color w:val="auto"/>
          <w:spacing w:val="-2"/>
          <w:sz w:val="24"/>
          <w:szCs w:val="24"/>
          <w:highlight w:val="none"/>
        </w:rPr>
        <w:t>投标人应根据招标工程量清单、工程量清单计价规范中的工作内容、设计文</w:t>
      </w:r>
      <w:r>
        <w:rPr>
          <w:rFonts w:hint="eastAsia" w:ascii="宋体" w:hAnsi="宋体" w:eastAsia="宋体" w:cs="宋体"/>
          <w:color w:val="auto"/>
          <w:spacing w:val="-1"/>
          <w:sz w:val="24"/>
          <w:szCs w:val="24"/>
          <w:highlight w:val="none"/>
        </w:rPr>
        <w:t>件和有关要求、施工现场实际情况、投标人拟定的施工组织设计</w:t>
      </w:r>
      <w:r>
        <w:rPr>
          <w:rFonts w:hint="eastAsia" w:ascii="宋体" w:hAnsi="宋体" w:eastAsia="宋体" w:cs="宋体"/>
          <w:color w:val="auto"/>
          <w:spacing w:val="-2"/>
          <w:sz w:val="24"/>
          <w:szCs w:val="24"/>
          <w:highlight w:val="none"/>
        </w:rPr>
        <w:t>、本单位的企业定额</w:t>
      </w:r>
      <w:r>
        <w:rPr>
          <w:rFonts w:hint="eastAsia" w:ascii="宋体" w:hAnsi="宋体" w:eastAsia="宋体" w:cs="宋体"/>
          <w:color w:val="auto"/>
          <w:spacing w:val="-1"/>
          <w:sz w:val="24"/>
          <w:szCs w:val="24"/>
          <w:highlight w:val="none"/>
        </w:rPr>
        <w:t>和市场价格进行编制，自行报价，并承担一定范围内的风险费用</w:t>
      </w:r>
      <w:r>
        <w:rPr>
          <w:rFonts w:hint="eastAsia" w:ascii="宋体" w:hAnsi="宋体" w:eastAsia="宋体" w:cs="宋体"/>
          <w:color w:val="auto"/>
          <w:spacing w:val="-2"/>
          <w:sz w:val="24"/>
          <w:szCs w:val="24"/>
          <w:highlight w:val="none"/>
        </w:rPr>
        <w:t>。所谓“一定范围内</w:t>
      </w:r>
      <w:r>
        <w:rPr>
          <w:rFonts w:hint="eastAsia" w:ascii="宋体" w:hAnsi="宋体" w:eastAsia="宋体" w:cs="宋体"/>
          <w:color w:val="auto"/>
          <w:spacing w:val="-3"/>
          <w:sz w:val="24"/>
          <w:szCs w:val="24"/>
          <w:highlight w:val="none"/>
        </w:rPr>
        <w:t>的风险</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”是指合同约定的风险。</w:t>
      </w:r>
    </w:p>
    <w:p w14:paraId="1D39A523">
      <w:pPr>
        <w:spacing w:before="152" w:line="360" w:lineRule="auto"/>
        <w:ind w:left="9" w:right="150" w:firstLine="557"/>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9.3  </w:t>
      </w:r>
      <w:r>
        <w:rPr>
          <w:rFonts w:hint="eastAsia" w:ascii="宋体" w:hAnsi="宋体" w:eastAsia="宋体" w:cs="宋体"/>
          <w:color w:val="auto"/>
          <w:spacing w:val="-2"/>
          <w:sz w:val="24"/>
          <w:szCs w:val="24"/>
          <w:highlight w:val="none"/>
        </w:rPr>
        <w:t>招标人及招标代理机构不集中组织现场踏勘，投标人需要了解现场情况的，</w:t>
      </w:r>
      <w:r>
        <w:rPr>
          <w:rFonts w:hint="eastAsia" w:ascii="宋体" w:hAnsi="宋体" w:eastAsia="宋体" w:cs="宋体"/>
          <w:color w:val="auto"/>
          <w:spacing w:val="-1"/>
          <w:sz w:val="24"/>
          <w:szCs w:val="24"/>
          <w:highlight w:val="none"/>
        </w:rPr>
        <w:t>可自行进行现场踏勘。各投标人应勘察施工现场及周围环</w:t>
      </w:r>
      <w:r>
        <w:rPr>
          <w:rFonts w:hint="eastAsia" w:ascii="宋体" w:hAnsi="宋体" w:eastAsia="宋体" w:cs="宋体"/>
          <w:color w:val="auto"/>
          <w:spacing w:val="-2"/>
          <w:sz w:val="24"/>
          <w:szCs w:val="24"/>
          <w:highlight w:val="none"/>
        </w:rPr>
        <w:t>境、地形、地貌、水文、交</w:t>
      </w:r>
      <w:r>
        <w:rPr>
          <w:rFonts w:hint="eastAsia" w:ascii="宋体" w:hAnsi="宋体" w:eastAsia="宋体" w:cs="宋体"/>
          <w:color w:val="auto"/>
          <w:spacing w:val="-1"/>
          <w:sz w:val="24"/>
          <w:szCs w:val="24"/>
          <w:highlight w:val="none"/>
        </w:rPr>
        <w:t>通等情况，以获得一切可能影响到投标的直接资料。投标人应</w:t>
      </w:r>
      <w:r>
        <w:rPr>
          <w:rFonts w:hint="eastAsia" w:ascii="宋体" w:hAnsi="宋体" w:eastAsia="宋体" w:cs="宋体"/>
          <w:color w:val="auto"/>
          <w:spacing w:val="-2"/>
          <w:sz w:val="24"/>
          <w:szCs w:val="24"/>
          <w:highlight w:val="none"/>
        </w:rPr>
        <w:t>针对现场情况编制施工</w:t>
      </w:r>
      <w:r>
        <w:rPr>
          <w:rFonts w:hint="eastAsia" w:ascii="宋体" w:hAnsi="宋体" w:eastAsia="宋体" w:cs="宋体"/>
          <w:color w:val="auto"/>
          <w:spacing w:val="-1"/>
          <w:sz w:val="24"/>
          <w:szCs w:val="24"/>
          <w:highlight w:val="none"/>
        </w:rPr>
        <w:t>组织设计，并在编制投标报价时考虑现场情况的影响。</w:t>
      </w:r>
    </w:p>
    <w:p w14:paraId="40D7449B">
      <w:pPr>
        <w:spacing w:before="155" w:line="360" w:lineRule="auto"/>
        <w:ind w:left="10" w:right="150" w:firstLine="55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9.4  </w:t>
      </w:r>
      <w:r>
        <w:rPr>
          <w:rFonts w:hint="eastAsia" w:ascii="宋体" w:hAnsi="宋体" w:eastAsia="宋体" w:cs="宋体"/>
          <w:color w:val="auto"/>
          <w:spacing w:val="-2"/>
          <w:sz w:val="24"/>
          <w:szCs w:val="24"/>
          <w:highlight w:val="none"/>
        </w:rPr>
        <w:t>招标人向投标人提供的有关现场的数据和资料，是招标人现有的能被投标人</w:t>
      </w:r>
      <w:r>
        <w:rPr>
          <w:rFonts w:hint="eastAsia" w:ascii="宋体" w:hAnsi="宋体" w:eastAsia="宋体" w:cs="宋体"/>
          <w:color w:val="auto"/>
          <w:sz w:val="24"/>
          <w:szCs w:val="24"/>
          <w:highlight w:val="none"/>
        </w:rPr>
        <w:t>利用的资料，招标人对投标人做出的任何推论</w:t>
      </w:r>
      <w:r>
        <w:rPr>
          <w:rFonts w:hint="eastAsia" w:ascii="宋体" w:hAnsi="宋体" w:eastAsia="宋体" w:cs="宋体"/>
          <w:color w:val="auto"/>
          <w:spacing w:val="-1"/>
          <w:sz w:val="24"/>
          <w:szCs w:val="24"/>
          <w:highlight w:val="none"/>
        </w:rPr>
        <w:t>、理解和结论均不负责任。</w:t>
      </w:r>
    </w:p>
    <w:p w14:paraId="5FF17A23">
      <w:pPr>
        <w:spacing w:before="154" w:line="360" w:lineRule="auto"/>
        <w:ind w:left="12" w:firstLine="554"/>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9.5  </w:t>
      </w:r>
      <w:r>
        <w:rPr>
          <w:rFonts w:hint="eastAsia" w:ascii="宋体" w:hAnsi="宋体" w:eastAsia="宋体" w:cs="宋体"/>
          <w:color w:val="auto"/>
          <w:spacing w:val="-2"/>
          <w:sz w:val="24"/>
          <w:szCs w:val="24"/>
          <w:highlight w:val="none"/>
        </w:rPr>
        <w:t>投标人必须按照招标工程量清单及表格填报价格。项目编码、项目名称、项</w:t>
      </w:r>
      <w:r>
        <w:rPr>
          <w:rFonts w:hint="eastAsia" w:ascii="宋体" w:hAnsi="宋体" w:eastAsia="宋体" w:cs="宋体"/>
          <w:color w:val="auto"/>
          <w:spacing w:val="2"/>
          <w:sz w:val="24"/>
          <w:szCs w:val="24"/>
          <w:highlight w:val="none"/>
        </w:rPr>
        <w:t>目特征、计量单位、工程量必须与招标工程量清单一致。所有报价均以人</w:t>
      </w:r>
      <w:r>
        <w:rPr>
          <w:rFonts w:hint="eastAsia" w:ascii="宋体" w:hAnsi="宋体" w:eastAsia="宋体" w:cs="宋体"/>
          <w:color w:val="auto"/>
          <w:spacing w:val="1"/>
          <w:sz w:val="24"/>
          <w:szCs w:val="24"/>
          <w:highlight w:val="none"/>
        </w:rPr>
        <w:t>民币“元</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rPr>
        <w:t>为单位，并保留小数点后两位。</w:t>
      </w:r>
    </w:p>
    <w:p w14:paraId="18DC44D4">
      <w:pPr>
        <w:keepNext w:val="0"/>
        <w:keepLines w:val="0"/>
        <w:pageBreakBefore w:val="0"/>
        <w:widowControl w:val="0"/>
        <w:kinsoku w:val="0"/>
        <w:wordWrap/>
        <w:overflowPunct/>
        <w:topLinePunct w:val="0"/>
        <w:autoSpaceDE w:val="0"/>
        <w:autoSpaceDN w:val="0"/>
        <w:bidi w:val="0"/>
        <w:adjustRightInd w:val="0"/>
        <w:snapToGrid w:val="0"/>
        <w:spacing w:before="158" w:line="360" w:lineRule="auto"/>
        <w:ind w:left="9" w:right="150" w:firstLine="557"/>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9.6  </w:t>
      </w:r>
      <w:r>
        <w:rPr>
          <w:rFonts w:hint="eastAsia" w:ascii="宋体" w:hAnsi="宋体" w:eastAsia="宋体" w:cs="宋体"/>
          <w:color w:val="auto"/>
          <w:spacing w:val="-2"/>
          <w:sz w:val="24"/>
          <w:szCs w:val="24"/>
          <w:highlight w:val="none"/>
        </w:rPr>
        <w:t>投标人只允许有一个投标总价。投标总价必须同时用大、小写表示，大、小</w:t>
      </w:r>
      <w:r>
        <w:rPr>
          <w:rFonts w:hint="eastAsia" w:ascii="宋体" w:hAnsi="宋体" w:eastAsia="宋体" w:cs="宋体"/>
          <w:color w:val="auto"/>
          <w:spacing w:val="-1"/>
          <w:sz w:val="24"/>
          <w:szCs w:val="24"/>
          <w:highlight w:val="none"/>
        </w:rPr>
        <w:t>写报价应保持一致，若不一致，以大写报价为准。招标工程量</w:t>
      </w:r>
      <w:r>
        <w:rPr>
          <w:rFonts w:hint="eastAsia" w:ascii="宋体" w:hAnsi="宋体" w:eastAsia="宋体" w:cs="宋体"/>
          <w:color w:val="auto"/>
          <w:spacing w:val="-2"/>
          <w:sz w:val="24"/>
          <w:szCs w:val="24"/>
          <w:highlight w:val="none"/>
        </w:rPr>
        <w:t>清单与计价表中列明的</w:t>
      </w:r>
      <w:r>
        <w:rPr>
          <w:rFonts w:hint="eastAsia" w:ascii="宋体" w:hAnsi="宋体" w:eastAsia="宋体" w:cs="宋体"/>
          <w:color w:val="auto"/>
          <w:spacing w:val="-1"/>
          <w:sz w:val="24"/>
          <w:szCs w:val="24"/>
          <w:highlight w:val="none"/>
        </w:rPr>
        <w:t>所有需要填写单价和合价的项目，投标人均应填写且只允许有</w:t>
      </w:r>
      <w:r>
        <w:rPr>
          <w:rFonts w:hint="eastAsia" w:ascii="宋体" w:hAnsi="宋体" w:eastAsia="宋体" w:cs="宋体"/>
          <w:color w:val="auto"/>
          <w:spacing w:val="-2"/>
          <w:sz w:val="24"/>
          <w:szCs w:val="24"/>
          <w:highlight w:val="none"/>
        </w:rPr>
        <w:t>一个报价。未填写单价</w:t>
      </w:r>
      <w:r>
        <w:rPr>
          <w:rFonts w:hint="eastAsia" w:ascii="宋体" w:hAnsi="宋体" w:eastAsia="宋体" w:cs="宋体"/>
          <w:color w:val="auto"/>
          <w:spacing w:val="-1"/>
          <w:sz w:val="24"/>
          <w:szCs w:val="24"/>
          <w:highlight w:val="none"/>
        </w:rPr>
        <w:t>和合价的项目，视为此项费用已包含在已标价工程量清单其他</w:t>
      </w:r>
      <w:r>
        <w:rPr>
          <w:rFonts w:hint="eastAsia" w:ascii="宋体" w:hAnsi="宋体" w:eastAsia="宋体" w:cs="宋体"/>
          <w:color w:val="auto"/>
          <w:spacing w:val="-2"/>
          <w:sz w:val="24"/>
          <w:szCs w:val="24"/>
          <w:highlight w:val="none"/>
        </w:rPr>
        <w:t>项目的单价和合价中，</w:t>
      </w:r>
      <w:r>
        <w:rPr>
          <w:rFonts w:hint="eastAsia" w:ascii="宋体" w:hAnsi="宋体" w:eastAsia="宋体" w:cs="宋体"/>
          <w:color w:val="auto"/>
          <w:spacing w:val="-1"/>
          <w:sz w:val="24"/>
          <w:szCs w:val="24"/>
          <w:highlight w:val="none"/>
        </w:rPr>
        <w:t>竣工结算时不得重新组价和调整。</w:t>
      </w:r>
    </w:p>
    <w:p w14:paraId="1259ACCC">
      <w:pPr>
        <w:keepNext w:val="0"/>
        <w:keepLines w:val="0"/>
        <w:pageBreakBefore w:val="0"/>
        <w:widowControl w:val="0"/>
        <w:kinsoku w:val="0"/>
        <w:wordWrap/>
        <w:overflowPunct/>
        <w:topLinePunct w:val="0"/>
        <w:autoSpaceDE w:val="0"/>
        <w:autoSpaceDN w:val="0"/>
        <w:bidi w:val="0"/>
        <w:adjustRightInd w:val="0"/>
        <w:snapToGrid w:val="0"/>
        <w:spacing w:before="152" w:line="360" w:lineRule="auto"/>
        <w:ind w:left="7" w:right="120" w:firstLine="480"/>
        <w:textAlignment w:val="baseline"/>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z w:val="24"/>
          <w:szCs w:val="24"/>
          <w:highlight w:val="none"/>
        </w:rPr>
        <w:t xml:space="preserve">9.7  </w:t>
      </w:r>
      <w:r>
        <w:rPr>
          <w:rFonts w:hint="eastAsia" w:ascii="宋体" w:hAnsi="宋体" w:eastAsia="宋体" w:cs="宋体"/>
          <w:color w:val="auto"/>
          <w:sz w:val="24"/>
          <w:szCs w:val="24"/>
          <w:highlight w:val="none"/>
        </w:rPr>
        <w:t>投标人的投标总价不得高于</w:t>
      </w:r>
      <w:r>
        <w:rPr>
          <w:rFonts w:hint="eastAsia" w:ascii="宋体" w:hAnsi="宋体" w:eastAsia="宋体" w:cs="宋体"/>
          <w:b/>
          <w:bCs/>
          <w:color w:val="auto"/>
          <w:sz w:val="24"/>
          <w:szCs w:val="24"/>
          <w:highlight w:val="none"/>
        </w:rPr>
        <w:t>最高投标限价</w:t>
      </w:r>
      <w:r>
        <w:rPr>
          <w:rFonts w:hint="eastAsia" w:ascii="宋体" w:hAnsi="宋体" w:eastAsia="宋体" w:cs="宋体"/>
          <w:color w:val="auto"/>
          <w:sz w:val="24"/>
          <w:szCs w:val="24"/>
          <w:highlight w:val="none"/>
        </w:rPr>
        <w:t>，也不得低于工程成本。投标人对</w:t>
      </w:r>
      <w:r>
        <w:rPr>
          <w:rFonts w:hint="eastAsia" w:ascii="宋体" w:hAnsi="宋体" w:eastAsia="宋体" w:cs="宋体"/>
          <w:color w:val="auto"/>
          <w:spacing w:val="-1"/>
          <w:sz w:val="24"/>
          <w:szCs w:val="24"/>
          <w:highlight w:val="none"/>
        </w:rPr>
        <w:t>投标总价的所有优惠（降价、让利等</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1"/>
          <w:sz w:val="24"/>
          <w:szCs w:val="24"/>
          <w:highlight w:val="none"/>
        </w:rPr>
        <w:t>均应当反映在具体清单项目或其综合</w:t>
      </w:r>
      <w:r>
        <w:rPr>
          <w:rFonts w:hint="eastAsia" w:ascii="宋体" w:hAnsi="宋体" w:eastAsia="宋体" w:cs="宋体"/>
          <w:color w:val="auto"/>
          <w:spacing w:val="-2"/>
          <w:sz w:val="24"/>
          <w:szCs w:val="24"/>
          <w:highlight w:val="none"/>
        </w:rPr>
        <w:t>单价的</w:t>
      </w:r>
      <w:r>
        <w:rPr>
          <w:rFonts w:hint="eastAsia" w:ascii="宋体" w:hAnsi="宋体" w:eastAsia="宋体" w:cs="宋体"/>
          <w:color w:val="auto"/>
          <w:spacing w:val="1"/>
          <w:sz w:val="24"/>
          <w:szCs w:val="24"/>
          <w:highlight w:val="none"/>
        </w:rPr>
        <w:t>报价上。</w:t>
      </w:r>
      <w:r>
        <w:rPr>
          <w:rFonts w:hint="eastAsia" w:ascii="宋体" w:hAnsi="宋体" w:eastAsia="宋体" w:cs="宋体"/>
          <w:b/>
          <w:bCs/>
          <w:color w:val="auto"/>
          <w:spacing w:val="1"/>
          <w:sz w:val="24"/>
          <w:szCs w:val="24"/>
          <w:highlight w:val="none"/>
        </w:rPr>
        <w:t>如果投标人的投标总价下浮率高于15%时，投标人必须在投标文件中专项</w:t>
      </w:r>
      <w:r>
        <w:rPr>
          <w:rFonts w:hint="eastAsia" w:ascii="宋体" w:hAnsi="宋体" w:eastAsia="宋体" w:cs="宋体"/>
          <w:b/>
          <w:bCs/>
          <w:color w:val="auto"/>
          <w:spacing w:val="-3"/>
          <w:sz w:val="24"/>
          <w:szCs w:val="24"/>
          <w:highlight w:val="none"/>
        </w:rPr>
        <w:t>作出详细合理的书面说明并提供以往类似工程详细成本分析报告供评标委员会审查。</w:t>
      </w:r>
    </w:p>
    <w:p w14:paraId="2D9785B9">
      <w:pPr>
        <w:keepNext w:val="0"/>
        <w:keepLines w:val="0"/>
        <w:pageBreakBefore w:val="0"/>
        <w:widowControl w:val="0"/>
        <w:kinsoku w:val="0"/>
        <w:wordWrap/>
        <w:overflowPunct/>
        <w:topLinePunct w:val="0"/>
        <w:autoSpaceDE w:val="0"/>
        <w:autoSpaceDN w:val="0"/>
        <w:bidi w:val="0"/>
        <w:adjustRightInd w:val="0"/>
        <w:snapToGrid w:val="0"/>
        <w:textAlignment w:val="baseline"/>
        <w:rPr>
          <w:rFonts w:hint="eastAsia" w:ascii="宋体" w:hAnsi="宋体" w:eastAsia="宋体" w:cs="宋体"/>
          <w:b/>
          <w:bCs/>
          <w:snapToGrid w:val="0"/>
          <w:color w:val="auto"/>
          <w:spacing w:val="1"/>
          <w:sz w:val="24"/>
          <w:szCs w:val="24"/>
          <w:highlight w:val="none"/>
          <w:lang w:val="en-US" w:eastAsia="zh-CN" w:bidi="ar-SA"/>
        </w:rPr>
      </w:pPr>
      <w:bookmarkStart w:id="41" w:name="_Toc22704"/>
      <w:r>
        <w:rPr>
          <w:rFonts w:hint="eastAsia" w:ascii="宋体" w:hAnsi="宋体" w:eastAsia="宋体" w:cs="宋体"/>
          <w:b/>
          <w:bCs/>
          <w:snapToGrid w:val="0"/>
          <w:color w:val="auto"/>
          <w:spacing w:val="1"/>
          <w:sz w:val="24"/>
          <w:szCs w:val="24"/>
          <w:highlight w:val="none"/>
          <w:lang w:val="en-US" w:eastAsia="zh-CN" w:bidi="ar-SA"/>
        </w:rPr>
        <w:t>投标总价下浮率=（1-投标总价</w:t>
      </w:r>
      <w:r>
        <w:rPr>
          <w:rFonts w:hint="eastAsia" w:ascii="宋体" w:hAnsi="宋体" w:eastAsia="宋体" w:cs="宋体"/>
          <w:b/>
          <w:bCs/>
          <w:snapToGrid w:val="0"/>
          <w:color w:val="auto"/>
          <w:spacing w:val="1"/>
          <w:sz w:val="24"/>
          <w:szCs w:val="24"/>
          <w:highlight w:val="none"/>
          <w:lang w:val="en-US" w:eastAsia="en-US" w:bidi="ar-SA"/>
        </w:rPr>
        <w:t>÷</w:t>
      </w:r>
      <w:r>
        <w:rPr>
          <w:rFonts w:hint="eastAsia" w:ascii="宋体" w:hAnsi="宋体" w:eastAsia="宋体" w:cs="宋体"/>
          <w:b/>
          <w:bCs/>
          <w:snapToGrid w:val="0"/>
          <w:color w:val="auto"/>
          <w:spacing w:val="1"/>
          <w:sz w:val="24"/>
          <w:szCs w:val="24"/>
          <w:highlight w:val="none"/>
          <w:lang w:val="en-US" w:eastAsia="zh-CN" w:bidi="ar-SA"/>
        </w:rPr>
        <w:t>招标控制价）</w:t>
      </w:r>
      <w:r>
        <w:rPr>
          <w:rFonts w:hint="eastAsia" w:ascii="宋体" w:hAnsi="宋体" w:eastAsia="宋体" w:cs="宋体"/>
          <w:b/>
          <w:bCs/>
          <w:snapToGrid w:val="0"/>
          <w:color w:val="auto"/>
          <w:spacing w:val="1"/>
          <w:sz w:val="24"/>
          <w:szCs w:val="24"/>
          <w:highlight w:val="none"/>
          <w:lang w:val="en-US" w:eastAsia="en-US" w:bidi="ar-SA"/>
        </w:rPr>
        <w:t>×</w:t>
      </w:r>
      <w:r>
        <w:rPr>
          <w:rFonts w:hint="eastAsia" w:ascii="宋体" w:hAnsi="宋体" w:eastAsia="宋体" w:cs="宋体"/>
          <w:b/>
          <w:bCs/>
          <w:snapToGrid w:val="0"/>
          <w:color w:val="auto"/>
          <w:spacing w:val="1"/>
          <w:sz w:val="24"/>
          <w:szCs w:val="24"/>
          <w:highlight w:val="none"/>
          <w:lang w:val="en-US" w:eastAsia="zh-CN" w:bidi="ar-SA"/>
        </w:rPr>
        <w:t>100%</w:t>
      </w:r>
      <w:bookmarkEnd w:id="41"/>
    </w:p>
    <w:p w14:paraId="4DC38C7E">
      <w:pPr>
        <w:keepNext w:val="0"/>
        <w:keepLines w:val="0"/>
        <w:pageBreakBefore w:val="0"/>
        <w:widowControl w:val="0"/>
        <w:kinsoku w:val="0"/>
        <w:wordWrap/>
        <w:overflowPunct/>
        <w:topLinePunct w:val="0"/>
        <w:autoSpaceDE w:val="0"/>
        <w:autoSpaceDN w:val="0"/>
        <w:bidi w:val="0"/>
        <w:adjustRightInd w:val="0"/>
        <w:snapToGrid w:val="0"/>
        <w:spacing w:before="146" w:line="360" w:lineRule="auto"/>
        <w:ind w:left="29" w:right="153" w:firstLine="458"/>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9.8  </w:t>
      </w:r>
      <w:r>
        <w:rPr>
          <w:rFonts w:hint="eastAsia" w:ascii="宋体" w:hAnsi="宋体" w:eastAsia="宋体" w:cs="宋体"/>
          <w:color w:val="auto"/>
          <w:sz w:val="24"/>
          <w:szCs w:val="24"/>
          <w:highlight w:val="none"/>
        </w:rPr>
        <w:t>投标人的绿色施工安全防护措施费报价必须达到或超过</w:t>
      </w:r>
      <w:r>
        <w:rPr>
          <w:rFonts w:hint="eastAsia" w:ascii="宋体" w:hAnsi="宋体" w:eastAsia="宋体" w:cs="宋体"/>
          <w:b/>
          <w:bCs/>
          <w:color w:val="auto"/>
          <w:sz w:val="24"/>
          <w:szCs w:val="24"/>
          <w:highlight w:val="none"/>
        </w:rPr>
        <w:t>最高投标限价</w:t>
      </w:r>
      <w:r>
        <w:rPr>
          <w:rFonts w:hint="eastAsia" w:ascii="宋体" w:hAnsi="宋体" w:eastAsia="宋体" w:cs="宋体"/>
          <w:color w:val="auto"/>
          <w:sz w:val="24"/>
          <w:szCs w:val="24"/>
          <w:highlight w:val="none"/>
        </w:rPr>
        <w:t>中</w:t>
      </w:r>
      <w:r>
        <w:rPr>
          <w:rFonts w:hint="eastAsia" w:ascii="宋体" w:hAnsi="宋体" w:eastAsia="宋体" w:cs="宋体"/>
          <w:color w:val="auto"/>
          <w:spacing w:val="-1"/>
          <w:sz w:val="24"/>
          <w:szCs w:val="24"/>
          <w:highlight w:val="none"/>
        </w:rPr>
        <w:t>提供</w:t>
      </w:r>
      <w:r>
        <w:rPr>
          <w:rFonts w:hint="eastAsia" w:ascii="宋体" w:hAnsi="宋体" w:eastAsia="宋体" w:cs="宋体"/>
          <w:color w:val="auto"/>
          <w:spacing w:val="-3"/>
          <w:sz w:val="24"/>
          <w:szCs w:val="24"/>
          <w:highlight w:val="none"/>
        </w:rPr>
        <w:t>的绿色施工安全防护措施费。</w:t>
      </w:r>
    </w:p>
    <w:p w14:paraId="1D4AD06B">
      <w:pPr>
        <w:keepNext w:val="0"/>
        <w:keepLines w:val="0"/>
        <w:pageBreakBefore w:val="0"/>
        <w:widowControl w:val="0"/>
        <w:kinsoku w:val="0"/>
        <w:wordWrap/>
        <w:overflowPunct/>
        <w:topLinePunct w:val="0"/>
        <w:autoSpaceDE w:val="0"/>
        <w:autoSpaceDN w:val="0"/>
        <w:bidi w:val="0"/>
        <w:adjustRightInd w:val="0"/>
        <w:snapToGrid w:val="0"/>
        <w:spacing w:before="78" w:line="360" w:lineRule="auto"/>
        <w:ind w:right="99" w:firstLine="48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9.9  </w:t>
      </w:r>
      <w:r>
        <w:rPr>
          <w:rFonts w:hint="eastAsia" w:ascii="宋体" w:hAnsi="宋体" w:eastAsia="宋体" w:cs="宋体"/>
          <w:color w:val="auto"/>
          <w:sz w:val="24"/>
          <w:szCs w:val="24"/>
          <w:highlight w:val="none"/>
        </w:rPr>
        <w:t>投标人必须按照招标工程量清单中提供的暂列金额和暂估价统一报价。投标</w:t>
      </w:r>
      <w:r>
        <w:rPr>
          <w:rFonts w:hint="eastAsia" w:ascii="宋体" w:hAnsi="宋体" w:eastAsia="宋体" w:cs="宋体"/>
          <w:color w:val="auto"/>
          <w:spacing w:val="-1"/>
          <w:sz w:val="24"/>
          <w:szCs w:val="24"/>
          <w:highlight w:val="none"/>
        </w:rPr>
        <w:t>人应充分考虑暂估价项目（或暂列金额项目）的管理和协调所发</w:t>
      </w:r>
      <w:r>
        <w:rPr>
          <w:rFonts w:hint="eastAsia" w:ascii="宋体" w:hAnsi="宋体" w:eastAsia="宋体" w:cs="宋体"/>
          <w:color w:val="auto"/>
          <w:spacing w:val="-2"/>
          <w:sz w:val="24"/>
          <w:szCs w:val="24"/>
          <w:highlight w:val="none"/>
        </w:rPr>
        <w:t>生的费用，并将其纳</w:t>
      </w:r>
      <w:r>
        <w:rPr>
          <w:rFonts w:hint="eastAsia" w:ascii="宋体" w:hAnsi="宋体" w:eastAsia="宋体" w:cs="宋体"/>
          <w:color w:val="auto"/>
          <w:spacing w:val="-1"/>
          <w:sz w:val="24"/>
          <w:szCs w:val="24"/>
          <w:highlight w:val="none"/>
        </w:rPr>
        <w:t>入已标价工程量清单中的适当项目。招标人视该项管理和协调所</w:t>
      </w:r>
      <w:r>
        <w:rPr>
          <w:rFonts w:hint="eastAsia" w:ascii="宋体" w:hAnsi="宋体" w:eastAsia="宋体" w:cs="宋体"/>
          <w:color w:val="auto"/>
          <w:spacing w:val="-2"/>
          <w:sz w:val="24"/>
          <w:szCs w:val="24"/>
          <w:highlight w:val="none"/>
        </w:rPr>
        <w:t>发生的费用已包含在</w:t>
      </w:r>
      <w:r>
        <w:rPr>
          <w:rFonts w:hint="eastAsia" w:ascii="宋体" w:hAnsi="宋体" w:eastAsia="宋体" w:cs="宋体"/>
          <w:color w:val="auto"/>
          <w:spacing w:val="-1"/>
          <w:sz w:val="24"/>
          <w:szCs w:val="24"/>
          <w:highlight w:val="none"/>
        </w:rPr>
        <w:t>其它有价款的竞争性报价内，不再另行支付。</w:t>
      </w:r>
    </w:p>
    <w:p w14:paraId="6365E107">
      <w:pPr>
        <w:spacing w:before="78" w:line="360" w:lineRule="auto"/>
        <w:ind w:right="99" w:firstLine="478" w:firstLineChars="200"/>
        <w:rPr>
          <w:rFonts w:hint="eastAsia" w:ascii="宋体" w:hAnsi="宋体" w:eastAsia="宋体" w:cs="宋体"/>
          <w:color w:val="auto"/>
          <w:spacing w:val="-3"/>
          <w:sz w:val="24"/>
          <w:szCs w:val="24"/>
          <w:highlight w:val="none"/>
          <w:lang w:eastAsia="zh-CN"/>
        </w:rPr>
      </w:pPr>
      <w:r>
        <w:rPr>
          <w:rFonts w:hint="eastAsia" w:ascii="宋体" w:hAnsi="宋体" w:eastAsia="宋体" w:cs="宋体"/>
          <w:b/>
          <w:bCs/>
          <w:color w:val="auto"/>
          <w:spacing w:val="-1"/>
          <w:sz w:val="24"/>
          <w:szCs w:val="24"/>
          <w:highlight w:val="none"/>
        </w:rPr>
        <w:t>9.10</w:t>
      </w:r>
      <w:r>
        <w:rPr>
          <w:rFonts w:hint="eastAsia" w:ascii="宋体" w:hAnsi="宋体" w:eastAsia="宋体" w:cs="宋体"/>
          <w:b/>
          <w:bCs/>
          <w:color w:val="auto"/>
          <w:spacing w:val="-1"/>
          <w:sz w:val="24"/>
          <w:szCs w:val="24"/>
          <w:highlight w:val="none"/>
          <w:lang w:val="en-US" w:eastAsia="zh-CN"/>
        </w:rPr>
        <w:t xml:space="preserve"> </w:t>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预算包干内容一般包括施工雨（污）水的排除、因地形影响造成的场内料具二次运输、20米高以下的工程用水加压措施、施工材料堆放场地的整理、机电安装后的补洞（槽）工料费、工程成品保护费、施工中的临时停水停电、基础埋深2米以内挖土方的塌方、日间照明施工增加费（不包括地下室和特殊工程）、完工清场后的垃</w:t>
      </w:r>
      <w:r>
        <w:rPr>
          <w:rFonts w:hint="eastAsia" w:ascii="宋体" w:hAnsi="宋体" w:eastAsia="宋体" w:cs="宋体"/>
          <w:color w:val="auto"/>
          <w:spacing w:val="-7"/>
          <w:sz w:val="24"/>
          <w:szCs w:val="24"/>
          <w:highlight w:val="none"/>
        </w:rPr>
        <w:t>圾外运等。投标报价时，应按《广东省建设工程计价依据（2018）》规定的费率报价，</w:t>
      </w:r>
      <w:r>
        <w:rPr>
          <w:rFonts w:hint="eastAsia" w:ascii="宋体" w:hAnsi="宋体" w:eastAsia="宋体" w:cs="宋体"/>
          <w:color w:val="auto"/>
          <w:spacing w:val="-2"/>
          <w:sz w:val="24"/>
          <w:szCs w:val="24"/>
          <w:highlight w:val="none"/>
        </w:rPr>
        <w:t>若招标工程量清单明确说明不计算预算包干费或</w:t>
      </w:r>
      <w:r>
        <w:rPr>
          <w:rFonts w:hint="eastAsia" w:ascii="宋体" w:hAnsi="宋体" w:eastAsia="宋体" w:cs="宋体"/>
          <w:color w:val="auto"/>
          <w:spacing w:val="-3"/>
          <w:sz w:val="24"/>
          <w:szCs w:val="24"/>
          <w:highlight w:val="none"/>
        </w:rPr>
        <w:t>另外确定预算包干费费率的，则按招</w:t>
      </w:r>
      <w:r>
        <w:rPr>
          <w:rFonts w:hint="eastAsia" w:ascii="宋体" w:hAnsi="宋体" w:eastAsia="宋体" w:cs="宋体"/>
          <w:color w:val="auto"/>
          <w:spacing w:val="-3"/>
          <w:sz w:val="24"/>
          <w:szCs w:val="24"/>
          <w:highlight w:val="none"/>
          <w:lang w:eastAsia="zh-CN"/>
        </w:rPr>
        <w:t>标工程量清单报价。</w:t>
      </w:r>
    </w:p>
    <w:p w14:paraId="3CE024D8">
      <w:pPr>
        <w:pageBreakBefore w:val="0"/>
        <w:kinsoku/>
        <w:overflowPunct/>
        <w:topLinePunct w:val="0"/>
        <w:autoSpaceDE/>
        <w:autoSpaceDN/>
        <w:bidi w:val="0"/>
        <w:snapToGrid w:val="0"/>
        <w:spacing w:line="360" w:lineRule="auto"/>
        <w:ind w:firstLine="482" w:firstLineChars="200"/>
        <w:rPr>
          <w:rFonts w:hint="eastAsia" w:ascii="宋体" w:hAnsi="宋体" w:eastAsia="宋体" w:cs="宋体"/>
          <w:color w:val="auto"/>
          <w:spacing w:val="-3"/>
          <w:sz w:val="24"/>
          <w:szCs w:val="24"/>
          <w:highlight w:val="none"/>
          <w:lang w:eastAsia="zh-CN"/>
        </w:rPr>
      </w:pPr>
      <w:r>
        <w:rPr>
          <w:rFonts w:hint="eastAsia" w:ascii="宋体" w:hAnsi="宋体" w:eastAsia="宋体" w:cs="宋体"/>
          <w:b/>
          <w:bCs/>
          <w:color w:val="auto"/>
          <w:sz w:val="24"/>
          <w:szCs w:val="24"/>
          <w:lang w:val="en-US" w:eastAsia="zh-CN"/>
        </w:rPr>
        <w:t>9.11</w:t>
      </w:r>
      <w:r>
        <w:rPr>
          <w:rFonts w:hint="eastAsia" w:ascii="宋体" w:hAnsi="宋体" w:eastAsia="宋体" w:cs="宋体"/>
          <w:color w:val="auto"/>
          <w:sz w:val="24"/>
          <w:szCs w:val="24"/>
          <w:lang w:eastAsia="zh-CN"/>
        </w:rPr>
        <w:t>招标代理费和评标专家酬劳的支付：本工程的招标代理费和评标专家酬劳由中标人支付，该费用不再另行报价，由投标人在投标报价时综合考虑在内。中标人在领取中标通知书前须向招标代理机构一次性支付（评标专家酬劳包括食宿费用、交通费、专家评审劳务费等。）</w:t>
      </w:r>
    </w:p>
    <w:p w14:paraId="03BA4414">
      <w:pPr>
        <w:spacing w:before="78" w:line="360" w:lineRule="auto"/>
        <w:ind w:left="496"/>
        <w:outlineLvl w:val="2"/>
        <w:rPr>
          <w:rFonts w:hint="eastAsia" w:ascii="宋体" w:hAnsi="宋体" w:eastAsia="宋体" w:cs="宋体"/>
          <w:color w:val="auto"/>
          <w:sz w:val="24"/>
          <w:szCs w:val="24"/>
          <w:highlight w:val="none"/>
        </w:rPr>
      </w:pPr>
      <w:bookmarkStart w:id="42" w:name="_Toc26296"/>
      <w:bookmarkStart w:id="43" w:name="_Toc15232"/>
      <w:r>
        <w:rPr>
          <w:rFonts w:hint="eastAsia" w:ascii="宋体" w:hAnsi="宋体" w:eastAsia="宋体" w:cs="宋体"/>
          <w:b/>
          <w:bCs/>
          <w:color w:val="auto"/>
          <w:spacing w:val="-6"/>
          <w:sz w:val="24"/>
          <w:szCs w:val="24"/>
          <w:highlight w:val="none"/>
        </w:rPr>
        <w:t>10</w:t>
      </w:r>
      <w:r>
        <w:rPr>
          <w:rFonts w:hint="eastAsia" w:ascii="宋体" w:hAnsi="宋体" w:eastAsia="宋体" w:cs="宋体"/>
          <w:b/>
          <w:bCs/>
          <w:color w:val="auto"/>
          <w:spacing w:val="-21"/>
          <w:sz w:val="24"/>
          <w:szCs w:val="24"/>
          <w:highlight w:val="none"/>
          <w:lang w:eastAsia="zh-CN"/>
        </w:rPr>
        <w:t>.</w:t>
      </w:r>
      <w:r>
        <w:rPr>
          <w:rFonts w:hint="eastAsia" w:ascii="宋体" w:hAnsi="宋体" w:eastAsia="宋体" w:cs="宋体"/>
          <w:b/>
          <w:bCs/>
          <w:color w:val="auto"/>
          <w:spacing w:val="-6"/>
          <w:sz w:val="24"/>
          <w:szCs w:val="24"/>
          <w:highlight w:val="none"/>
        </w:rPr>
        <w:t>投标文件的编制要求</w:t>
      </w:r>
      <w:bookmarkEnd w:id="42"/>
      <w:bookmarkEnd w:id="43"/>
    </w:p>
    <w:p w14:paraId="0C191376">
      <w:pPr>
        <w:spacing w:before="68" w:line="360" w:lineRule="auto"/>
        <w:ind w:left="11" w:right="99" w:firstLine="563"/>
        <w:rPr>
          <w:rFonts w:hint="eastAsia" w:ascii="宋体" w:hAnsi="宋体" w:eastAsia="宋体" w:cs="宋体"/>
          <w:b w:val="0"/>
          <w:bCs w:val="0"/>
          <w:color w:val="auto"/>
          <w:spacing w:val="-3"/>
          <w:sz w:val="24"/>
          <w:szCs w:val="24"/>
          <w:highlight w:val="none"/>
        </w:rPr>
      </w:pPr>
      <w:bookmarkStart w:id="44" w:name="_Toc20590"/>
      <w:bookmarkStart w:id="45" w:name="_Toc25990"/>
      <w:r>
        <w:rPr>
          <w:rFonts w:hint="eastAsia" w:ascii="宋体" w:hAnsi="宋体" w:eastAsia="宋体" w:cs="宋体"/>
          <w:b/>
          <w:bCs/>
          <w:color w:val="auto"/>
          <w:spacing w:val="-3"/>
          <w:sz w:val="24"/>
          <w:szCs w:val="24"/>
          <w:highlight w:val="none"/>
        </w:rPr>
        <w:t xml:space="preserve">10.1  </w:t>
      </w:r>
      <w:r>
        <w:rPr>
          <w:rFonts w:hint="eastAsia" w:ascii="宋体" w:hAnsi="宋体" w:eastAsia="宋体" w:cs="宋体"/>
          <w:b w:val="0"/>
          <w:bCs w:val="0"/>
          <w:color w:val="auto"/>
          <w:spacing w:val="-3"/>
          <w:sz w:val="24"/>
          <w:szCs w:val="24"/>
          <w:highlight w:val="none"/>
        </w:rPr>
        <w:t>一般要求</w:t>
      </w:r>
      <w:bookmarkEnd w:id="44"/>
      <w:bookmarkEnd w:id="45"/>
    </w:p>
    <w:p w14:paraId="7DC17D36">
      <w:pPr>
        <w:spacing w:before="118" w:line="360" w:lineRule="auto"/>
        <w:ind w:left="11" w:right="99" w:firstLine="4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投标文件应按第六章投标文件格式规定的内容，投标人提交的投标文件应当使</w:t>
      </w:r>
      <w:r>
        <w:rPr>
          <w:rFonts w:hint="eastAsia" w:ascii="宋体" w:hAnsi="宋体" w:eastAsia="宋体" w:cs="宋体"/>
          <w:color w:val="auto"/>
          <w:spacing w:val="-1"/>
          <w:sz w:val="24"/>
          <w:szCs w:val="24"/>
          <w:highlight w:val="none"/>
        </w:rPr>
        <w:t>用招标文件所提供的投标文件全部格式。</w:t>
      </w:r>
    </w:p>
    <w:p w14:paraId="00D2071A">
      <w:pPr>
        <w:spacing w:before="68" w:line="360" w:lineRule="auto"/>
        <w:ind w:left="11" w:right="99" w:firstLine="563"/>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10.1.1  </w:t>
      </w:r>
      <w:r>
        <w:rPr>
          <w:rFonts w:hint="eastAsia" w:ascii="宋体" w:hAnsi="宋体" w:eastAsia="宋体" w:cs="宋体"/>
          <w:color w:val="auto"/>
          <w:spacing w:val="-3"/>
          <w:sz w:val="24"/>
          <w:szCs w:val="24"/>
          <w:highlight w:val="none"/>
        </w:rPr>
        <w:t>投标人必须响应招标文件，并在充分理解招</w:t>
      </w:r>
      <w:r>
        <w:rPr>
          <w:rFonts w:hint="eastAsia" w:ascii="宋体" w:hAnsi="宋体" w:eastAsia="宋体" w:cs="宋体"/>
          <w:color w:val="auto"/>
          <w:spacing w:val="-4"/>
          <w:sz w:val="24"/>
          <w:szCs w:val="24"/>
          <w:highlight w:val="none"/>
        </w:rPr>
        <w:t>标人提供的全部文件、设计图</w:t>
      </w:r>
      <w:r>
        <w:rPr>
          <w:rFonts w:hint="eastAsia" w:ascii="宋体" w:hAnsi="宋体" w:eastAsia="宋体" w:cs="宋体"/>
          <w:color w:val="auto"/>
          <w:spacing w:val="-1"/>
          <w:sz w:val="24"/>
          <w:szCs w:val="24"/>
          <w:highlight w:val="none"/>
        </w:rPr>
        <w:t>纸、资料及现场条件的基础上编制投标文件。因投标文件</w:t>
      </w:r>
      <w:r>
        <w:rPr>
          <w:rFonts w:hint="eastAsia" w:ascii="宋体" w:hAnsi="宋体" w:eastAsia="宋体" w:cs="宋体"/>
          <w:color w:val="auto"/>
          <w:spacing w:val="-2"/>
          <w:sz w:val="24"/>
          <w:szCs w:val="24"/>
          <w:highlight w:val="none"/>
        </w:rPr>
        <w:t>不符合招标文件的要求而造</w:t>
      </w:r>
      <w:r>
        <w:rPr>
          <w:rFonts w:hint="eastAsia" w:ascii="宋体" w:hAnsi="宋体" w:eastAsia="宋体" w:cs="宋体"/>
          <w:color w:val="auto"/>
          <w:spacing w:val="-1"/>
          <w:sz w:val="24"/>
          <w:szCs w:val="24"/>
          <w:highlight w:val="none"/>
        </w:rPr>
        <w:t>成的损失和后果，由投标人自行承担。</w:t>
      </w:r>
    </w:p>
    <w:p w14:paraId="6CE89948">
      <w:pPr>
        <w:spacing w:before="123" w:line="360" w:lineRule="auto"/>
        <w:ind w:left="8" w:firstLine="566"/>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10.1.2  </w:t>
      </w:r>
      <w:r>
        <w:rPr>
          <w:rFonts w:hint="eastAsia" w:ascii="宋体" w:hAnsi="宋体" w:eastAsia="宋体" w:cs="宋体"/>
          <w:color w:val="auto"/>
          <w:spacing w:val="-3"/>
          <w:sz w:val="24"/>
          <w:szCs w:val="24"/>
          <w:highlight w:val="none"/>
        </w:rPr>
        <w:t>投标文件全部采用电子文档，投标文件所附</w:t>
      </w:r>
      <w:r>
        <w:rPr>
          <w:rFonts w:hint="eastAsia" w:ascii="宋体" w:hAnsi="宋体" w:eastAsia="宋体" w:cs="宋体"/>
          <w:color w:val="auto"/>
          <w:spacing w:val="-4"/>
          <w:sz w:val="24"/>
          <w:szCs w:val="24"/>
          <w:highlight w:val="none"/>
        </w:rPr>
        <w:t>证书证件均为原件扫描件，并</w:t>
      </w:r>
      <w:r>
        <w:rPr>
          <w:rFonts w:hint="eastAsia" w:ascii="宋体" w:hAnsi="宋体" w:eastAsia="宋体" w:cs="宋体"/>
          <w:color w:val="auto"/>
          <w:spacing w:val="-1"/>
          <w:sz w:val="24"/>
          <w:szCs w:val="24"/>
          <w:highlight w:val="none"/>
        </w:rPr>
        <w:t>采用单位数字证书，按招标文件要求在相应位置加盖电子印章。</w:t>
      </w:r>
      <w:r>
        <w:rPr>
          <w:rFonts w:hint="eastAsia" w:ascii="宋体" w:hAnsi="宋体" w:eastAsia="宋体" w:cs="宋体"/>
          <w:color w:val="auto"/>
          <w:spacing w:val="-2"/>
          <w:sz w:val="24"/>
          <w:szCs w:val="24"/>
          <w:highlight w:val="none"/>
        </w:rPr>
        <w:t>投标文件中需个人签</w:t>
      </w:r>
      <w:r>
        <w:rPr>
          <w:rFonts w:hint="eastAsia" w:ascii="宋体" w:hAnsi="宋体" w:eastAsia="宋体" w:cs="宋体"/>
          <w:color w:val="auto"/>
          <w:spacing w:val="-1"/>
          <w:sz w:val="24"/>
          <w:szCs w:val="24"/>
          <w:highlight w:val="none"/>
        </w:rPr>
        <w:t>字或盖章的，应加盖个人电子印章或在线下完成后扫描上传。按</w:t>
      </w:r>
      <w:r>
        <w:rPr>
          <w:rFonts w:hint="eastAsia" w:ascii="宋体" w:hAnsi="宋体" w:eastAsia="宋体" w:cs="宋体"/>
          <w:color w:val="auto"/>
          <w:spacing w:val="-2"/>
          <w:sz w:val="24"/>
          <w:szCs w:val="24"/>
          <w:highlight w:val="none"/>
        </w:rPr>
        <w:t>照交易平台关于全流</w:t>
      </w:r>
      <w:r>
        <w:rPr>
          <w:rFonts w:hint="eastAsia" w:ascii="宋体" w:hAnsi="宋体" w:eastAsia="宋体" w:cs="宋体"/>
          <w:color w:val="auto"/>
          <w:spacing w:val="-7"/>
          <w:sz w:val="24"/>
          <w:szCs w:val="24"/>
          <w:highlight w:val="none"/>
        </w:rPr>
        <w:t>程电子化项目的相关指南进行操作。详见：全国公共资源</w:t>
      </w:r>
      <w:r>
        <w:rPr>
          <w:rFonts w:hint="eastAsia" w:ascii="宋体" w:hAnsi="宋体" w:eastAsia="宋体" w:cs="宋体"/>
          <w:color w:val="auto"/>
          <w:spacing w:val="-8"/>
          <w:sz w:val="24"/>
          <w:szCs w:val="24"/>
          <w:highlight w:val="none"/>
        </w:rPr>
        <w:t>交易平台（广东省·韶关市）</w:t>
      </w:r>
      <w:r>
        <w:rPr>
          <w:rFonts w:hint="eastAsia" w:ascii="宋体" w:hAnsi="宋体" w:eastAsia="宋体" w:cs="宋体"/>
          <w:color w:val="auto"/>
          <w:spacing w:val="-2"/>
          <w:sz w:val="24"/>
          <w:szCs w:val="24"/>
          <w:highlight w:val="none"/>
        </w:rPr>
        <w:t>交易指引。</w:t>
      </w:r>
    </w:p>
    <w:p w14:paraId="56ED9FEA">
      <w:pPr>
        <w:spacing w:before="1" w:line="360" w:lineRule="auto"/>
        <w:ind w:left="57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10.1.3  </w:t>
      </w:r>
      <w:r>
        <w:rPr>
          <w:rFonts w:hint="eastAsia" w:ascii="宋体" w:hAnsi="宋体" w:eastAsia="宋体" w:cs="宋体"/>
          <w:color w:val="auto"/>
          <w:spacing w:val="-1"/>
          <w:sz w:val="24"/>
          <w:szCs w:val="24"/>
          <w:highlight w:val="none"/>
        </w:rPr>
        <w:t>投标文件需按以下要求签字、盖章：电子投标文件：</w:t>
      </w:r>
    </w:p>
    <w:p w14:paraId="09125407">
      <w:pPr>
        <w:spacing w:before="111" w:line="360" w:lineRule="auto"/>
        <w:ind w:right="133" w:firstLine="57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"10.1.3.1"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
          <w:bCs/>
          <w:color w:val="auto"/>
          <w:spacing w:val="-2"/>
          <w:sz w:val="24"/>
          <w:szCs w:val="24"/>
          <w:highlight w:val="none"/>
        </w:rPr>
        <w:t>10.1.3.1</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投标文件封面、组成</w:t>
      </w:r>
      <w:r>
        <w:rPr>
          <w:rFonts w:hint="eastAsia" w:ascii="宋体" w:hAnsi="宋体" w:eastAsia="宋体" w:cs="宋体"/>
          <w:color w:val="auto"/>
          <w:spacing w:val="-3"/>
          <w:sz w:val="24"/>
          <w:szCs w:val="24"/>
          <w:highlight w:val="none"/>
        </w:rPr>
        <w:t>内容中凡注明“签字</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3"/>
          <w:sz w:val="24"/>
          <w:szCs w:val="24"/>
          <w:highlight w:val="none"/>
        </w:rPr>
        <w:t>”处由要求的人员签字或电子</w:t>
      </w:r>
      <w:r>
        <w:rPr>
          <w:rFonts w:hint="eastAsia" w:ascii="宋体" w:hAnsi="宋体" w:eastAsia="宋体" w:cs="宋体"/>
          <w:color w:val="auto"/>
          <w:spacing w:val="-2"/>
          <w:sz w:val="24"/>
          <w:szCs w:val="24"/>
          <w:highlight w:val="none"/>
        </w:rPr>
        <w:t>签章；凡注明“签字或盖章</w:t>
      </w:r>
      <w:r>
        <w:rPr>
          <w:rFonts w:hint="eastAsia" w:ascii="宋体" w:hAnsi="宋体" w:eastAsia="宋体" w:cs="宋体"/>
          <w:color w:val="auto"/>
          <w:spacing w:val="-87"/>
          <w:sz w:val="24"/>
          <w:szCs w:val="24"/>
          <w:highlight w:val="none"/>
        </w:rPr>
        <w:t xml:space="preserve"> </w:t>
      </w:r>
      <w:r>
        <w:rPr>
          <w:rFonts w:hint="eastAsia" w:ascii="宋体" w:hAnsi="宋体" w:eastAsia="宋体" w:cs="宋体"/>
          <w:color w:val="auto"/>
          <w:spacing w:val="-2"/>
          <w:sz w:val="24"/>
          <w:szCs w:val="24"/>
          <w:highlight w:val="none"/>
        </w:rPr>
        <w:t>”处由要求的人员签字或盖其私章（电子印章</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2"/>
          <w:sz w:val="24"/>
          <w:szCs w:val="24"/>
          <w:highlight w:val="none"/>
        </w:rPr>
        <w:t>凡注明</w:t>
      </w:r>
      <w:r>
        <w:rPr>
          <w:rFonts w:hint="eastAsia" w:ascii="宋体" w:hAnsi="宋体" w:eastAsia="宋体" w:cs="宋体"/>
          <w:color w:val="auto"/>
          <w:spacing w:val="-1"/>
          <w:sz w:val="24"/>
          <w:szCs w:val="24"/>
          <w:highlight w:val="none"/>
        </w:rPr>
        <w:t>“签字并盖执业印章</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”处由要求的人员签字并盖其执业印</w:t>
      </w:r>
      <w:r>
        <w:rPr>
          <w:rFonts w:hint="eastAsia" w:ascii="宋体" w:hAnsi="宋体" w:eastAsia="宋体" w:cs="宋体"/>
          <w:color w:val="auto"/>
          <w:spacing w:val="-2"/>
          <w:sz w:val="24"/>
          <w:szCs w:val="24"/>
          <w:highlight w:val="none"/>
        </w:rPr>
        <w:t>章。</w:t>
      </w:r>
    </w:p>
    <w:p w14:paraId="06844991">
      <w:pPr>
        <w:spacing w:before="112" w:line="360" w:lineRule="auto"/>
        <w:ind w:left="13" w:right="133" w:firstLine="5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"10.1.3.2"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
          <w:bCs/>
          <w:color w:val="auto"/>
          <w:spacing w:val="-2"/>
          <w:sz w:val="24"/>
          <w:szCs w:val="24"/>
          <w:highlight w:val="none"/>
        </w:rPr>
        <w:t>10.1.3.2</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投标文件封套、封面、组成内容中凡要求录入投标人名称且注明“盖单</w:t>
      </w:r>
      <w:r>
        <w:rPr>
          <w:rFonts w:hint="eastAsia" w:ascii="宋体" w:hAnsi="宋体" w:eastAsia="宋体" w:cs="宋体"/>
          <w:color w:val="auto"/>
          <w:spacing w:val="-3"/>
          <w:sz w:val="24"/>
          <w:szCs w:val="24"/>
          <w:highlight w:val="none"/>
        </w:rPr>
        <w:t>位章</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3"/>
          <w:sz w:val="24"/>
          <w:szCs w:val="24"/>
          <w:highlight w:val="none"/>
        </w:rPr>
        <w:t>”处盖单位法人公章（电子印章）。</w:t>
      </w:r>
    </w:p>
    <w:p w14:paraId="56A0EC54">
      <w:pPr>
        <w:spacing w:before="146" w:line="360" w:lineRule="auto"/>
        <w:ind w:left="16" w:right="135" w:firstLine="56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"10.1.3.3"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
          <w:bCs/>
          <w:color w:val="auto"/>
          <w:spacing w:val="-1"/>
          <w:sz w:val="24"/>
          <w:szCs w:val="24"/>
          <w:highlight w:val="none"/>
        </w:rPr>
        <w:t>10.1.3.3</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投标文件的签字均为签字人本人亲笔署名或签章</w:t>
      </w:r>
      <w:r>
        <w:rPr>
          <w:rFonts w:hint="eastAsia" w:ascii="宋体" w:hAnsi="宋体" w:eastAsia="宋体" w:cs="宋体"/>
          <w:color w:val="auto"/>
          <w:spacing w:val="-2"/>
          <w:sz w:val="24"/>
          <w:szCs w:val="24"/>
          <w:highlight w:val="none"/>
        </w:rPr>
        <w:t>（电子印章</w:t>
      </w:r>
      <w:r>
        <w:rPr>
          <w:rFonts w:hint="eastAsia" w:ascii="宋体" w:hAnsi="宋体" w:eastAsia="宋体" w:cs="宋体"/>
          <w:color w:val="auto"/>
          <w:spacing w:val="-14"/>
          <w:sz w:val="24"/>
          <w:szCs w:val="24"/>
          <w:highlight w:val="none"/>
        </w:rPr>
        <w:t>），</w:t>
      </w:r>
      <w:r>
        <w:rPr>
          <w:rFonts w:hint="eastAsia" w:ascii="宋体" w:hAnsi="宋体" w:eastAsia="宋体" w:cs="宋体"/>
          <w:color w:val="auto"/>
          <w:spacing w:val="-2"/>
          <w:sz w:val="24"/>
          <w:szCs w:val="24"/>
          <w:highlight w:val="none"/>
        </w:rPr>
        <w:t>其余部</w:t>
      </w:r>
      <w:r>
        <w:rPr>
          <w:rFonts w:hint="eastAsia" w:ascii="宋体" w:hAnsi="宋体" w:eastAsia="宋体" w:cs="宋体"/>
          <w:color w:val="auto"/>
          <w:spacing w:val="-1"/>
          <w:sz w:val="24"/>
          <w:szCs w:val="24"/>
          <w:highlight w:val="none"/>
        </w:rPr>
        <w:t>分的复印件无须另行签字、盖章。</w:t>
      </w:r>
    </w:p>
    <w:p w14:paraId="4F952D25">
      <w:pPr>
        <w:spacing w:before="155" w:line="360" w:lineRule="auto"/>
        <w:ind w:left="16" w:right="133" w:firstLine="562"/>
        <w:rPr>
          <w:rFonts w:hint="eastAsia" w:ascii="宋体" w:hAnsi="宋体" w:eastAsia="宋体" w:cs="宋体"/>
          <w:color w:val="auto"/>
          <w:spacing w:val="-1"/>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"10.1.3.4"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
          <w:bCs/>
          <w:color w:val="auto"/>
          <w:spacing w:val="-2"/>
          <w:sz w:val="24"/>
          <w:szCs w:val="24"/>
          <w:highlight w:val="none"/>
        </w:rPr>
        <w:t>10.1.3.4</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联合体投标的，除《联合体协议书》外，由联合体牵头人按以上要求签</w:t>
      </w:r>
      <w:r>
        <w:rPr>
          <w:rFonts w:hint="eastAsia" w:ascii="宋体" w:hAnsi="宋体" w:eastAsia="宋体" w:cs="宋体"/>
          <w:color w:val="auto"/>
          <w:spacing w:val="-1"/>
          <w:sz w:val="24"/>
          <w:szCs w:val="24"/>
          <w:highlight w:val="none"/>
        </w:rPr>
        <w:t>亲笔署名或签章（电子印章）即可。</w:t>
      </w:r>
      <w:bookmarkStart w:id="46" w:name="_Toc15948"/>
      <w:bookmarkStart w:id="47" w:name="_Toc21271"/>
    </w:p>
    <w:p w14:paraId="3FEDC4B5">
      <w:pPr>
        <w:spacing w:before="155" w:line="360" w:lineRule="auto"/>
        <w:ind w:left="16" w:right="133" w:firstLine="562"/>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10.2  </w:t>
      </w:r>
      <w:r>
        <w:rPr>
          <w:rFonts w:hint="eastAsia" w:ascii="宋体" w:hAnsi="宋体" w:eastAsia="宋体" w:cs="宋体"/>
          <w:color w:val="auto"/>
          <w:spacing w:val="-2"/>
          <w:sz w:val="24"/>
          <w:szCs w:val="24"/>
          <w:highlight w:val="none"/>
        </w:rPr>
        <w:t>商务标书的编制要求</w:t>
      </w:r>
      <w:bookmarkEnd w:id="46"/>
      <w:bookmarkEnd w:id="47"/>
    </w:p>
    <w:p w14:paraId="0F56AEDA">
      <w:pPr>
        <w:keepNext w:val="0"/>
        <w:keepLines w:val="0"/>
        <w:pageBreakBefore w:val="0"/>
        <w:widowControl w:val="0"/>
        <w:overflowPunct/>
        <w:topLinePunct w:val="0"/>
        <w:bidi w:val="0"/>
        <w:adjustRightInd w:val="0"/>
        <w:snapToGrid w:val="0"/>
        <w:spacing w:before="157" w:line="360" w:lineRule="auto"/>
        <w:ind w:left="581"/>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10.2.1 </w:t>
      </w:r>
      <w:r>
        <w:rPr>
          <w:rFonts w:hint="eastAsia" w:ascii="宋体" w:hAnsi="宋体" w:eastAsia="宋体" w:cs="宋体"/>
          <w:color w:val="auto"/>
          <w:spacing w:val="-1"/>
          <w:sz w:val="24"/>
          <w:szCs w:val="24"/>
          <w:highlight w:val="none"/>
        </w:rPr>
        <w:t>商务标书包括但不限于以下内容：</w:t>
      </w:r>
    </w:p>
    <w:p w14:paraId="0AA1DC90">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highlight w:val="none"/>
        </w:rPr>
      </w:pPr>
      <w:bookmarkStart w:id="48" w:name="bookmark121"/>
      <w:bookmarkEnd w:id="48"/>
      <w:r>
        <w:rPr>
          <w:rFonts w:hint="eastAsia" w:ascii="宋体" w:hAnsi="宋体" w:eastAsia="宋体" w:cs="宋体"/>
          <w:snapToGrid w:val="0"/>
          <w:color w:val="auto"/>
          <w:kern w:val="0"/>
          <w:sz w:val="24"/>
          <w:szCs w:val="24"/>
          <w:highlight w:val="none"/>
        </w:rPr>
        <w:t>（1）封面（格式一）；</w:t>
      </w:r>
    </w:p>
    <w:p w14:paraId="68911AF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（2）目录； </w:t>
      </w:r>
    </w:p>
    <w:p w14:paraId="67F4068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（3）《投标函》（格式二）；</w:t>
      </w:r>
    </w:p>
    <w:p w14:paraId="083F24D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（4）《各项承诺一览表》（格式三）；</w:t>
      </w:r>
    </w:p>
    <w:p w14:paraId="5C538F91">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（5）《授权委托书》（格式四）；</w:t>
      </w:r>
    </w:p>
    <w:p w14:paraId="017A17A9">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（6）《法定代表人身份证明》（格式五）；</w:t>
      </w:r>
    </w:p>
    <w:p w14:paraId="770EFBD6">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7</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投标保证缴纳证明（投标人采用投标保证金的，附建设工程交易系统《缴纳投标保证金通知书》页面截图和银行转账单彩色扫描件；采用投标保证担保的，附银行保函彩色扫描件；采用投标保证保险的，附电子保单和</w:t>
      </w:r>
      <w:r>
        <w:rPr>
          <w:rFonts w:hint="eastAsia" w:ascii="宋体" w:hAnsi="宋体" w:eastAsia="宋体" w:cs="宋体"/>
          <w:b/>
          <w:bCs/>
          <w:snapToGrid w:val="0"/>
          <w:color w:val="auto"/>
          <w:kern w:val="0"/>
          <w:sz w:val="24"/>
          <w:szCs w:val="24"/>
          <w:highlight w:val="none"/>
          <w:lang w:val="en-US" w:eastAsia="zh-CN"/>
        </w:rPr>
        <w:t>《韶关市公共资源交易一体化平台保证金缴纳信息》页面截图）</w:t>
      </w:r>
      <w:r>
        <w:rPr>
          <w:rFonts w:hint="eastAsia" w:ascii="宋体" w:hAnsi="宋体" w:eastAsia="宋体" w:cs="宋体"/>
          <w:snapToGrid w:val="0"/>
          <w:color w:val="auto"/>
          <w:kern w:val="0"/>
          <w:sz w:val="24"/>
          <w:szCs w:val="24"/>
          <w:highlight w:val="none"/>
          <w:lang w:val="en-US" w:eastAsia="zh-CN"/>
        </w:rPr>
        <w:t>；</w:t>
      </w:r>
    </w:p>
    <w:p w14:paraId="6345F3A4">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8</w:t>
      </w:r>
      <w:r>
        <w:rPr>
          <w:rFonts w:hint="eastAsia" w:ascii="宋体" w:hAnsi="宋体" w:eastAsia="宋体" w:cs="宋体"/>
          <w:snapToGrid w:val="0"/>
          <w:color w:val="auto"/>
          <w:kern w:val="0"/>
          <w:sz w:val="24"/>
          <w:szCs w:val="24"/>
          <w:highlight w:val="none"/>
        </w:rPr>
        <w:t>）《投标人基本情况表》（格式</w:t>
      </w:r>
      <w:r>
        <w:rPr>
          <w:rFonts w:hint="eastAsia" w:ascii="宋体" w:hAnsi="宋体" w:eastAsia="宋体" w:cs="宋体"/>
          <w:snapToGrid w:val="0"/>
          <w:color w:val="auto"/>
          <w:kern w:val="0"/>
          <w:sz w:val="24"/>
          <w:szCs w:val="24"/>
          <w:highlight w:val="none"/>
          <w:lang w:val="en-US" w:eastAsia="zh-CN"/>
        </w:rPr>
        <w:t>六</w:t>
      </w:r>
      <w:r>
        <w:rPr>
          <w:rFonts w:hint="eastAsia" w:ascii="宋体" w:hAnsi="宋体" w:eastAsia="宋体" w:cs="宋体"/>
          <w:snapToGrid w:val="0"/>
          <w:color w:val="auto"/>
          <w:kern w:val="0"/>
          <w:sz w:val="24"/>
          <w:szCs w:val="24"/>
          <w:highlight w:val="none"/>
        </w:rPr>
        <w:t>）及所附资料；</w:t>
      </w:r>
    </w:p>
    <w:p w14:paraId="77AE3B5F">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9</w:t>
      </w:r>
      <w:r>
        <w:rPr>
          <w:rFonts w:hint="eastAsia" w:ascii="宋体" w:hAnsi="宋体" w:eastAsia="宋体" w:cs="宋体"/>
          <w:snapToGrid w:val="0"/>
          <w:color w:val="auto"/>
          <w:kern w:val="0"/>
          <w:sz w:val="24"/>
          <w:szCs w:val="24"/>
          <w:highlight w:val="none"/>
        </w:rPr>
        <w:t>）《项目经理简历表》（格式</w:t>
      </w:r>
      <w:r>
        <w:rPr>
          <w:rFonts w:hint="eastAsia" w:ascii="宋体" w:hAnsi="宋体" w:eastAsia="宋体" w:cs="宋体"/>
          <w:snapToGrid w:val="0"/>
          <w:color w:val="auto"/>
          <w:kern w:val="0"/>
          <w:sz w:val="24"/>
          <w:szCs w:val="24"/>
          <w:highlight w:val="none"/>
          <w:lang w:val="en-US" w:eastAsia="zh-CN"/>
        </w:rPr>
        <w:t>七</w:t>
      </w:r>
      <w:r>
        <w:rPr>
          <w:rFonts w:hint="eastAsia" w:ascii="宋体" w:hAnsi="宋体" w:eastAsia="宋体" w:cs="宋体"/>
          <w:snapToGrid w:val="0"/>
          <w:color w:val="auto"/>
          <w:kern w:val="0"/>
          <w:sz w:val="24"/>
          <w:szCs w:val="24"/>
          <w:highlight w:val="none"/>
        </w:rPr>
        <w:t>）及所附资料；</w:t>
      </w:r>
    </w:p>
    <w:p w14:paraId="2B6A637D">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0</w:t>
      </w:r>
      <w:r>
        <w:rPr>
          <w:rFonts w:hint="eastAsia" w:ascii="宋体" w:hAnsi="宋体" w:eastAsia="宋体" w:cs="宋体"/>
          <w:snapToGrid w:val="0"/>
          <w:color w:val="auto"/>
          <w:kern w:val="0"/>
          <w:sz w:val="24"/>
          <w:szCs w:val="24"/>
          <w:highlight w:val="none"/>
        </w:rPr>
        <w:t>）《项目经理任职声明》（格式</w:t>
      </w:r>
      <w:r>
        <w:rPr>
          <w:rFonts w:hint="eastAsia" w:ascii="宋体" w:hAnsi="宋体" w:eastAsia="宋体" w:cs="宋体"/>
          <w:snapToGrid w:val="0"/>
          <w:color w:val="auto"/>
          <w:kern w:val="0"/>
          <w:sz w:val="24"/>
          <w:szCs w:val="24"/>
          <w:highlight w:val="none"/>
          <w:lang w:val="en-US" w:eastAsia="zh-CN"/>
        </w:rPr>
        <w:t>八</w:t>
      </w:r>
      <w:r>
        <w:rPr>
          <w:rFonts w:hint="eastAsia" w:ascii="宋体" w:hAnsi="宋体" w:eastAsia="宋体" w:cs="宋体"/>
          <w:snapToGrid w:val="0"/>
          <w:color w:val="auto"/>
          <w:kern w:val="0"/>
          <w:sz w:val="24"/>
          <w:szCs w:val="24"/>
          <w:highlight w:val="none"/>
        </w:rPr>
        <w:t>）；</w:t>
      </w:r>
    </w:p>
    <w:p w14:paraId="275FFD0D">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）《项目技术负责人简历表》（格式</w:t>
      </w:r>
      <w:r>
        <w:rPr>
          <w:rFonts w:hint="eastAsia" w:ascii="宋体" w:hAnsi="宋体" w:eastAsia="宋体" w:cs="宋体"/>
          <w:snapToGrid w:val="0"/>
          <w:color w:val="auto"/>
          <w:kern w:val="0"/>
          <w:sz w:val="24"/>
          <w:szCs w:val="24"/>
          <w:highlight w:val="none"/>
          <w:lang w:val="en-US" w:eastAsia="zh-CN"/>
        </w:rPr>
        <w:t>九</w:t>
      </w:r>
      <w:r>
        <w:rPr>
          <w:rFonts w:hint="eastAsia" w:ascii="宋体" w:hAnsi="宋体" w:eastAsia="宋体" w:cs="宋体"/>
          <w:snapToGrid w:val="0"/>
          <w:color w:val="auto"/>
          <w:kern w:val="0"/>
          <w:sz w:val="24"/>
          <w:szCs w:val="24"/>
          <w:highlight w:val="none"/>
        </w:rPr>
        <w:t>）及所附资料；</w:t>
      </w:r>
    </w:p>
    <w:p w14:paraId="78DB8445">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）《项目管理机构组成表》（格式十）及所附资料；</w:t>
      </w:r>
    </w:p>
    <w:p w14:paraId="775CFAF4">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）本节“评标方法”要求提供的评审资料；</w:t>
      </w:r>
    </w:p>
    <w:p w14:paraId="239977E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rPr>
        <w:t>）投标人认为有必要补充的其他资料。（例如投标人已经工商变更，但其企业资质证书、安全生产许可证或其员工执业资格注册证书上的企业名称未能在投标期间完成变更的书面说明和佐证材料；</w:t>
      </w:r>
      <w:r>
        <w:rPr>
          <w:rFonts w:hint="eastAsia" w:ascii="宋体" w:hAnsi="宋体" w:eastAsia="宋体" w:cs="宋体"/>
          <w:b/>
          <w:bCs/>
          <w:snapToGrid w:val="0"/>
          <w:color w:val="auto"/>
          <w:kern w:val="0"/>
          <w:sz w:val="24"/>
          <w:szCs w:val="24"/>
          <w:highlight w:val="none"/>
        </w:rPr>
        <w:t>企业所在省、地级市住建部门或其授权的组织（机构）关于企业资质、人员资格有效期自动顺延或延期办理的相关文件等）</w:t>
      </w:r>
      <w:r>
        <w:rPr>
          <w:rFonts w:hint="eastAsia" w:ascii="宋体" w:hAnsi="宋体" w:eastAsia="宋体" w:cs="宋体"/>
          <w:snapToGrid w:val="0"/>
          <w:color w:val="auto"/>
          <w:kern w:val="0"/>
          <w:sz w:val="24"/>
          <w:szCs w:val="24"/>
          <w:highlight w:val="none"/>
        </w:rPr>
        <w:t>。</w:t>
      </w:r>
    </w:p>
    <w:p w14:paraId="6B288EDE">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10.2.2</w:t>
      </w:r>
      <w:r>
        <w:rPr>
          <w:rFonts w:hint="eastAsia" w:ascii="宋体" w:hAnsi="宋体" w:eastAsia="宋体" w:cs="宋体"/>
          <w:snapToGrid w:val="0"/>
          <w:color w:val="auto"/>
          <w:kern w:val="0"/>
          <w:sz w:val="24"/>
          <w:szCs w:val="24"/>
          <w:highlight w:val="none"/>
        </w:rPr>
        <w:t xml:space="preserve"> 本节第</w:t>
      </w:r>
      <w:r>
        <w:rPr>
          <w:rFonts w:hint="eastAsia" w:ascii="宋体" w:hAnsi="宋体" w:eastAsia="宋体" w:cs="宋体"/>
          <w:b/>
          <w:bCs/>
          <w:snapToGrid w:val="0"/>
          <w:color w:val="auto"/>
          <w:kern w:val="0"/>
          <w:sz w:val="24"/>
          <w:szCs w:val="24"/>
          <w:highlight w:val="none"/>
        </w:rPr>
        <w:t>10.2.1</w:t>
      </w:r>
      <w:r>
        <w:rPr>
          <w:rFonts w:hint="eastAsia" w:ascii="宋体" w:hAnsi="宋体" w:eastAsia="宋体" w:cs="宋体"/>
          <w:snapToGrid w:val="0"/>
          <w:color w:val="auto"/>
          <w:kern w:val="0"/>
          <w:sz w:val="24"/>
          <w:szCs w:val="24"/>
          <w:highlight w:val="none"/>
        </w:rPr>
        <w:t>目中所列出的商务标书组成内容中，第（1）至第（1</w:t>
      </w: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）项所有投标人均应提供</w:t>
      </w:r>
      <w:r>
        <w:rPr>
          <w:rFonts w:hint="eastAsia" w:ascii="宋体" w:hAnsi="宋体" w:eastAsia="宋体" w:cs="宋体"/>
          <w:b/>
          <w:bCs/>
          <w:snapToGrid w:val="0"/>
          <w:color w:val="auto"/>
          <w:kern w:val="0"/>
          <w:sz w:val="24"/>
          <w:szCs w:val="24"/>
          <w:highlight w:val="none"/>
        </w:rPr>
        <w:t>。</w:t>
      </w:r>
    </w:p>
    <w:p w14:paraId="2AC83DC3">
      <w:pPr>
        <w:keepNext w:val="0"/>
        <w:keepLines w:val="0"/>
        <w:pageBreakBefore w:val="0"/>
        <w:kinsoku/>
        <w:wordWrap w:val="0"/>
        <w:overflowPunct/>
        <w:autoSpaceDE/>
        <w:autoSpaceDN/>
        <w:bidi w:val="0"/>
        <w:adjustRightInd w:val="0"/>
        <w:snapToGrid w:val="0"/>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snapToGrid w:val="0"/>
          <w:color w:val="auto"/>
          <w:kern w:val="0"/>
          <w:sz w:val="24"/>
          <w:szCs w:val="24"/>
          <w:highlight w:val="none"/>
        </w:rPr>
        <w:t>10.2.3</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bCs/>
          <w:snapToGrid w:val="0"/>
          <w:color w:val="auto"/>
          <w:kern w:val="0"/>
          <w:sz w:val="24"/>
          <w:szCs w:val="24"/>
          <w:highlight w:val="none"/>
        </w:rPr>
        <w:t>商务标书的组成内容按本节第</w:t>
      </w:r>
      <w:r>
        <w:rPr>
          <w:rFonts w:hint="eastAsia" w:ascii="宋体" w:hAnsi="宋体" w:eastAsia="宋体" w:cs="宋体"/>
          <w:b/>
          <w:snapToGrid w:val="0"/>
          <w:color w:val="auto"/>
          <w:kern w:val="0"/>
          <w:sz w:val="24"/>
          <w:szCs w:val="24"/>
          <w:highlight w:val="none"/>
        </w:rPr>
        <w:t>10.2.1</w:t>
      </w:r>
      <w:r>
        <w:rPr>
          <w:rFonts w:hint="eastAsia" w:ascii="宋体" w:hAnsi="宋体" w:eastAsia="宋体" w:cs="宋体"/>
          <w:bCs/>
          <w:snapToGrid w:val="0"/>
          <w:color w:val="auto"/>
          <w:kern w:val="0"/>
          <w:sz w:val="24"/>
          <w:szCs w:val="24"/>
          <w:highlight w:val="none"/>
        </w:rPr>
        <w:t>目规定的顺序整理、编排后，逐页（页码起始从封面开始）连续标记页码</w:t>
      </w:r>
      <w:r>
        <w:rPr>
          <w:rFonts w:hint="eastAsia" w:ascii="宋体" w:hAnsi="宋体" w:eastAsia="宋体" w:cs="宋体"/>
          <w:snapToGrid w:val="0"/>
          <w:color w:val="auto"/>
          <w:kern w:val="0"/>
          <w:sz w:val="24"/>
          <w:szCs w:val="24"/>
          <w:highlight w:val="none"/>
        </w:rPr>
        <w:t>，作成一个PDF格式电子文件</w:t>
      </w:r>
      <w:r>
        <w:rPr>
          <w:rFonts w:hint="eastAsia" w:ascii="宋体" w:hAnsi="宋体" w:eastAsia="宋体" w:cs="宋体"/>
          <w:bCs/>
          <w:snapToGrid w:val="0"/>
          <w:color w:val="auto"/>
          <w:kern w:val="0"/>
          <w:sz w:val="24"/>
          <w:szCs w:val="24"/>
          <w:highlight w:val="none"/>
        </w:rPr>
        <w:t>。</w:t>
      </w:r>
      <w:bookmarkStart w:id="49" w:name="_Hlt69670029"/>
      <w:bookmarkEnd w:id="49"/>
      <w:bookmarkStart w:id="50" w:name="_Hlt87783273"/>
      <w:bookmarkEnd w:id="50"/>
      <w:bookmarkStart w:id="51" w:name="_Toc274313881"/>
    </w:p>
    <w:p w14:paraId="722C6DEB">
      <w:pPr>
        <w:spacing w:before="155" w:line="360" w:lineRule="auto"/>
        <w:ind w:left="16" w:right="133" w:firstLine="562"/>
        <w:rPr>
          <w:rFonts w:hint="eastAsia" w:ascii="宋体" w:hAnsi="宋体" w:eastAsia="宋体" w:cs="宋体"/>
          <w:b/>
          <w:bCs/>
          <w:color w:val="auto"/>
          <w:spacing w:val="-2"/>
          <w:sz w:val="24"/>
          <w:szCs w:val="24"/>
          <w:highlight w:val="none"/>
        </w:rPr>
      </w:pPr>
      <w:bookmarkStart w:id="52" w:name="_Toc20435"/>
      <w:bookmarkStart w:id="53" w:name="_Toc1207"/>
      <w:r>
        <w:rPr>
          <w:rFonts w:hint="eastAsia" w:ascii="宋体" w:hAnsi="宋体" w:eastAsia="宋体" w:cs="宋体"/>
          <w:b/>
          <w:bCs/>
          <w:color w:val="auto"/>
          <w:spacing w:val="-2"/>
          <w:sz w:val="24"/>
          <w:szCs w:val="24"/>
          <w:highlight w:val="none"/>
        </w:rPr>
        <w:t>10.3</w:t>
      </w:r>
      <w:bookmarkStart w:id="54" w:name="_Hlt69670035"/>
      <w:bookmarkEnd w:id="54"/>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b w:val="0"/>
          <w:bCs w:val="0"/>
          <w:color w:val="auto"/>
          <w:spacing w:val="-2"/>
          <w:sz w:val="24"/>
          <w:szCs w:val="24"/>
          <w:highlight w:val="none"/>
        </w:rPr>
        <w:t>经济标书的编制要求</w:t>
      </w:r>
      <w:bookmarkEnd w:id="51"/>
      <w:bookmarkEnd w:id="52"/>
      <w:bookmarkEnd w:id="53"/>
    </w:p>
    <w:p w14:paraId="3316F8EC">
      <w:pPr>
        <w:keepNext w:val="0"/>
        <w:keepLines w:val="0"/>
        <w:pageBreakBefore w:val="0"/>
        <w:kinsoku/>
        <w:wordWrap w:val="0"/>
        <w:overflowPunct/>
        <w:autoSpaceDE/>
        <w:autoSpaceDN/>
        <w:bidi w:val="0"/>
        <w:adjustRightInd w:val="0"/>
        <w:snapToGrid w:val="0"/>
        <w:spacing w:line="360" w:lineRule="auto"/>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10.3.1</w:t>
      </w:r>
      <w:r>
        <w:rPr>
          <w:rFonts w:hint="eastAsia" w:ascii="宋体" w:hAnsi="宋体" w:eastAsia="宋体" w:cs="宋体"/>
          <w:snapToGrid w:val="0"/>
          <w:color w:val="auto"/>
          <w:kern w:val="0"/>
          <w:sz w:val="24"/>
          <w:szCs w:val="24"/>
          <w:highlight w:val="none"/>
        </w:rPr>
        <w:t xml:space="preserve"> 经济标书包括以下内容：</w:t>
      </w:r>
    </w:p>
    <w:p w14:paraId="00F2E6C5">
      <w:pPr>
        <w:keepNext w:val="0"/>
        <w:keepLines w:val="0"/>
        <w:pageBreakBefore w:val="0"/>
        <w:kinsoku/>
        <w:wordWrap w:val="0"/>
        <w:overflowPunct/>
        <w:autoSpaceDE/>
        <w:autoSpaceDN/>
        <w:bidi w:val="0"/>
        <w:adjustRightInd w:val="0"/>
        <w:snapToGrid w:val="0"/>
        <w:spacing w:line="360" w:lineRule="auto"/>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（1）封面（格式一）；</w:t>
      </w:r>
    </w:p>
    <w:p w14:paraId="46828E44">
      <w:pPr>
        <w:keepNext w:val="0"/>
        <w:keepLines w:val="0"/>
        <w:pageBreakBefore w:val="0"/>
        <w:kinsoku/>
        <w:wordWrap w:val="0"/>
        <w:overflowPunct/>
        <w:autoSpaceDE/>
        <w:autoSpaceDN/>
        <w:bidi w:val="0"/>
        <w:adjustRightInd w:val="0"/>
        <w:snapToGrid w:val="0"/>
        <w:spacing w:line="360" w:lineRule="auto"/>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（2）目录；</w:t>
      </w:r>
    </w:p>
    <w:p w14:paraId="0EEB1714">
      <w:pPr>
        <w:keepNext w:val="0"/>
        <w:keepLines w:val="0"/>
        <w:pageBreakBefore w:val="0"/>
        <w:kinsoku/>
        <w:wordWrap w:val="0"/>
        <w:overflowPunct/>
        <w:autoSpaceDE/>
        <w:autoSpaceDN/>
        <w:bidi w:val="0"/>
        <w:adjustRightInd w:val="0"/>
        <w:snapToGrid w:val="0"/>
        <w:spacing w:line="360" w:lineRule="auto"/>
        <w:ind w:firstLine="480"/>
        <w:rPr>
          <w:rFonts w:hint="eastAsia" w:ascii="宋体" w:hAnsi="宋体" w:eastAsia="宋体" w:cs="宋体"/>
          <w:color w:val="auto"/>
          <w:sz w:val="24"/>
          <w:szCs w:val="24"/>
          <w:highlight w:val="none"/>
        </w:rPr>
      </w:pPr>
      <w:bookmarkStart w:id="55" w:name="_Hlt69699579"/>
      <w:bookmarkEnd w:id="55"/>
      <w:r>
        <w:rPr>
          <w:rFonts w:hint="eastAsia" w:ascii="宋体" w:hAnsi="宋体" w:eastAsia="宋体" w:cs="宋体"/>
          <w:color w:val="auto"/>
          <w:sz w:val="24"/>
          <w:szCs w:val="24"/>
          <w:highlight w:val="none"/>
        </w:rPr>
        <w:t>（3）《投标总价》；</w:t>
      </w:r>
    </w:p>
    <w:p w14:paraId="1D1AD6AA">
      <w:pPr>
        <w:keepNext w:val="0"/>
        <w:keepLines w:val="0"/>
        <w:pageBreakBefore w:val="0"/>
        <w:kinsoku/>
        <w:wordWrap w:val="0"/>
        <w:overflowPunct/>
        <w:autoSpaceDE/>
        <w:autoSpaceDN/>
        <w:bidi w:val="0"/>
        <w:adjustRightInd w:val="0"/>
        <w:snapToGrid w:val="0"/>
        <w:spacing w:line="360" w:lineRule="auto"/>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说明：《投标总价》的格式按照《建设工程工程量清单计价规范》（GB50500—2013）执行，并应满足以下要求：</w:t>
      </w:r>
    </w:p>
    <w:p w14:paraId="25D6703B">
      <w:pPr>
        <w:keepNext w:val="0"/>
        <w:keepLines w:val="0"/>
        <w:pageBreakBefore w:val="0"/>
        <w:widowControl/>
        <w:suppressLineNumbers w:val="0"/>
        <w:kinsoku/>
        <w:overflowPunct/>
        <w:autoSpaceDE/>
        <w:autoSpaceDN/>
        <w:bidi w:val="0"/>
        <w:spacing w:line="360" w:lineRule="auto"/>
        <w:ind w:firstLine="723" w:firstLineChars="30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a</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《投标总价扉页》（即扉—3）后应附编制人的造价工程师注册证书</w:t>
      </w:r>
      <w:r>
        <w:rPr>
          <w:rFonts w:hint="eastAsia" w:ascii="宋体" w:hAnsi="宋体" w:eastAsia="宋体" w:cs="宋体"/>
          <w:snapToGrid w:val="0"/>
          <w:color w:val="auto"/>
          <w:kern w:val="0"/>
          <w:sz w:val="24"/>
          <w:szCs w:val="24"/>
          <w:highlight w:val="none"/>
          <w:lang w:val="en-US" w:eastAsia="zh-CN"/>
        </w:rPr>
        <w:t>彩色扫描件</w:t>
      </w:r>
      <w:r>
        <w:rPr>
          <w:rFonts w:hint="eastAsia" w:ascii="宋体" w:hAnsi="宋体" w:eastAsia="宋体" w:cs="宋体"/>
          <w:snapToGrid w:val="0"/>
          <w:color w:val="auto"/>
          <w:kern w:val="0"/>
          <w:sz w:val="24"/>
          <w:szCs w:val="24"/>
          <w:highlight w:val="none"/>
        </w:rPr>
        <w:t>（须复印或打印至变更注册栏</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bidi="ar"/>
        </w:rPr>
        <w:t>一级造价师或二级造价师均可提供电子证书</w:t>
      </w:r>
      <w:r>
        <w:rPr>
          <w:rFonts w:hint="eastAsia" w:ascii="宋体" w:hAnsi="宋体" w:eastAsia="宋体" w:cs="宋体"/>
          <w:snapToGrid w:val="0"/>
          <w:color w:val="auto"/>
          <w:kern w:val="0"/>
          <w:sz w:val="24"/>
          <w:szCs w:val="24"/>
          <w:highlight w:val="none"/>
        </w:rPr>
        <w:t>）；投标人委托造价咨询单位编制《投标总价》的，在该扉页“投标人”栏目加盖造价咨询人公章，并在该扉页后附造价咨询人的营业执照副本</w:t>
      </w:r>
      <w:r>
        <w:rPr>
          <w:rFonts w:hint="eastAsia" w:ascii="宋体" w:hAnsi="宋体" w:eastAsia="宋体" w:cs="宋体"/>
          <w:snapToGrid w:val="0"/>
          <w:color w:val="auto"/>
          <w:kern w:val="0"/>
          <w:sz w:val="24"/>
          <w:szCs w:val="24"/>
          <w:highlight w:val="none"/>
          <w:lang w:val="en-US" w:eastAsia="zh-CN"/>
        </w:rPr>
        <w:t>彩色扫描件</w:t>
      </w:r>
      <w:r>
        <w:rPr>
          <w:rFonts w:hint="eastAsia" w:ascii="宋体" w:hAnsi="宋体" w:eastAsia="宋体" w:cs="宋体"/>
          <w:snapToGrid w:val="0"/>
          <w:color w:val="auto"/>
          <w:kern w:val="0"/>
          <w:sz w:val="24"/>
          <w:szCs w:val="24"/>
          <w:highlight w:val="none"/>
        </w:rPr>
        <w:t>。</w:t>
      </w:r>
    </w:p>
    <w:p w14:paraId="7A6CACCD">
      <w:pPr>
        <w:keepNext w:val="0"/>
        <w:keepLines w:val="0"/>
        <w:pageBreakBefore w:val="0"/>
        <w:kinsoku/>
        <w:wordWrap w:val="0"/>
        <w:overflowPunct/>
        <w:autoSpaceDE/>
        <w:autoSpaceDN/>
        <w:bidi w:val="0"/>
        <w:adjustRightInd w:val="0"/>
        <w:snapToGrid w:val="0"/>
        <w:spacing w:line="360" w:lineRule="auto"/>
        <w:ind w:firstLine="723" w:firstLineChars="3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b</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投标人认为有必要补充的其他资料（例如关于投标总价下浮率超过15%的书面说明和佐证材料）。</w:t>
      </w:r>
    </w:p>
    <w:p w14:paraId="42CA8CBA">
      <w:pPr>
        <w:keepNext w:val="0"/>
        <w:keepLines w:val="0"/>
        <w:pageBreakBefore w:val="0"/>
        <w:kinsoku/>
        <w:wordWrap w:val="0"/>
        <w:overflowPunct/>
        <w:autoSpaceDE/>
        <w:autoSpaceDN/>
        <w:bidi w:val="0"/>
        <w:adjustRightInd w:val="0"/>
        <w:snapToGrid w:val="0"/>
        <w:spacing w:line="360" w:lineRule="auto"/>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10.3.2</w:t>
      </w:r>
      <w:r>
        <w:rPr>
          <w:rFonts w:hint="eastAsia" w:ascii="宋体" w:hAnsi="宋体" w:eastAsia="宋体" w:cs="宋体"/>
          <w:snapToGrid w:val="0"/>
          <w:color w:val="auto"/>
          <w:kern w:val="0"/>
          <w:sz w:val="24"/>
          <w:szCs w:val="24"/>
          <w:highlight w:val="none"/>
        </w:rPr>
        <w:t xml:space="preserve"> 本节第</w:t>
      </w:r>
      <w:r>
        <w:rPr>
          <w:rFonts w:hint="eastAsia" w:ascii="宋体" w:hAnsi="宋体" w:eastAsia="宋体" w:cs="宋体"/>
          <w:b/>
          <w:bCs/>
          <w:snapToGrid w:val="0"/>
          <w:color w:val="auto"/>
          <w:kern w:val="0"/>
          <w:sz w:val="24"/>
          <w:szCs w:val="24"/>
          <w:highlight w:val="none"/>
        </w:rPr>
        <w:t>10.3.1</w:t>
      </w:r>
      <w:r>
        <w:rPr>
          <w:rFonts w:hint="eastAsia" w:ascii="宋体" w:hAnsi="宋体" w:eastAsia="宋体" w:cs="宋体"/>
          <w:snapToGrid w:val="0"/>
          <w:color w:val="auto"/>
          <w:kern w:val="0"/>
          <w:sz w:val="24"/>
          <w:szCs w:val="24"/>
          <w:highlight w:val="none"/>
        </w:rPr>
        <w:t>目中所列出的经济标书组成内容中，第（1）至第（3）项所有投标人均应提供</w:t>
      </w:r>
      <w:bookmarkStart w:id="56" w:name="_Hlt145127239"/>
      <w:bookmarkEnd w:id="56"/>
      <w:r>
        <w:rPr>
          <w:rFonts w:hint="eastAsia" w:ascii="宋体" w:hAnsi="宋体" w:eastAsia="宋体" w:cs="宋体"/>
          <w:snapToGrid w:val="0"/>
          <w:color w:val="auto"/>
          <w:kern w:val="0"/>
          <w:sz w:val="24"/>
          <w:szCs w:val="24"/>
          <w:highlight w:val="none"/>
        </w:rPr>
        <w:t>。</w:t>
      </w:r>
    </w:p>
    <w:p w14:paraId="2A012BEE">
      <w:pPr>
        <w:keepNext w:val="0"/>
        <w:keepLines w:val="0"/>
        <w:pageBreakBefore w:val="0"/>
        <w:kinsoku/>
        <w:wordWrap w:val="0"/>
        <w:overflowPunct/>
        <w:autoSpaceDE/>
        <w:autoSpaceDN/>
        <w:bidi w:val="0"/>
        <w:adjustRightInd w:val="0"/>
        <w:snapToGrid w:val="0"/>
        <w:spacing w:line="360" w:lineRule="auto"/>
        <w:ind w:firstLine="482" w:firstLineChars="200"/>
        <w:rPr>
          <w:rFonts w:hint="eastAsia" w:ascii="宋体" w:hAnsi="宋体" w:eastAsia="宋体" w:cs="宋体"/>
          <w:b/>
          <w:bCs/>
          <w:snapToGrid w:val="0"/>
          <w:color w:val="auto"/>
          <w:sz w:val="24"/>
          <w:szCs w:val="24"/>
          <w:highlight w:val="none"/>
        </w:rPr>
      </w:pPr>
      <w:r>
        <w:rPr>
          <w:rFonts w:hint="eastAsia" w:ascii="宋体" w:hAnsi="宋体" w:eastAsia="宋体" w:cs="宋体"/>
          <w:b/>
          <w:bCs/>
          <w:snapToGrid w:val="0"/>
          <w:color w:val="auto"/>
          <w:kern w:val="0"/>
          <w:sz w:val="24"/>
          <w:szCs w:val="24"/>
          <w:highlight w:val="none"/>
        </w:rPr>
        <w:t xml:space="preserve">10.3.3 </w:t>
      </w:r>
      <w:r>
        <w:rPr>
          <w:rFonts w:hint="eastAsia" w:ascii="宋体" w:hAnsi="宋体" w:eastAsia="宋体" w:cs="宋体"/>
          <w:snapToGrid w:val="0"/>
          <w:color w:val="auto"/>
          <w:kern w:val="0"/>
          <w:sz w:val="24"/>
          <w:szCs w:val="24"/>
          <w:highlight w:val="none"/>
        </w:rPr>
        <w:t>经济标书的组成内容应按本节第</w:t>
      </w:r>
      <w:r>
        <w:rPr>
          <w:rFonts w:hint="eastAsia" w:ascii="宋体" w:hAnsi="宋体" w:eastAsia="宋体" w:cs="宋体"/>
          <w:b/>
          <w:bCs/>
          <w:snapToGrid w:val="0"/>
          <w:color w:val="auto"/>
          <w:kern w:val="0"/>
          <w:sz w:val="24"/>
          <w:szCs w:val="24"/>
          <w:highlight w:val="none"/>
        </w:rPr>
        <w:t>10.3.1</w:t>
      </w:r>
      <w:r>
        <w:rPr>
          <w:rFonts w:hint="eastAsia" w:ascii="宋体" w:hAnsi="宋体" w:eastAsia="宋体" w:cs="宋体"/>
          <w:snapToGrid w:val="0"/>
          <w:color w:val="auto"/>
          <w:kern w:val="0"/>
          <w:sz w:val="24"/>
          <w:szCs w:val="24"/>
          <w:highlight w:val="none"/>
        </w:rPr>
        <w:t>目规定的顺序整理、编排后，逐页（页码起始从封面开始）连续标记页码</w:t>
      </w:r>
      <w:r>
        <w:rPr>
          <w:rFonts w:hint="eastAsia" w:ascii="宋体" w:hAnsi="宋体" w:eastAsia="宋体" w:cs="宋体"/>
          <w:snapToGrid w:val="0"/>
          <w:color w:val="auto"/>
          <w:kern w:val="0"/>
          <w:sz w:val="24"/>
          <w:szCs w:val="24"/>
          <w:highlight w:val="none"/>
          <w:lang w:val="en-US" w:eastAsia="zh-CN" w:bidi="ar-SA"/>
        </w:rPr>
        <w:t>，作成一个PDF格式电子文件</w:t>
      </w:r>
      <w:r>
        <w:rPr>
          <w:rFonts w:hint="eastAsia" w:ascii="宋体" w:hAnsi="宋体" w:eastAsia="宋体" w:cs="宋体"/>
          <w:snapToGrid w:val="0"/>
          <w:color w:val="auto"/>
          <w:kern w:val="0"/>
          <w:sz w:val="24"/>
          <w:szCs w:val="24"/>
          <w:highlight w:val="none"/>
        </w:rPr>
        <w:t>。</w:t>
      </w:r>
    </w:p>
    <w:p w14:paraId="274133CF">
      <w:pPr>
        <w:spacing w:before="155" w:line="360" w:lineRule="auto"/>
        <w:ind w:left="16" w:right="133" w:firstLine="562"/>
        <w:rPr>
          <w:rFonts w:hint="eastAsia" w:ascii="宋体" w:hAnsi="宋体" w:eastAsia="宋体" w:cs="宋体"/>
          <w:b w:val="0"/>
          <w:bCs w:val="0"/>
          <w:color w:val="auto"/>
          <w:spacing w:val="-2"/>
          <w:sz w:val="24"/>
          <w:szCs w:val="24"/>
          <w:highlight w:val="none"/>
        </w:rPr>
      </w:pPr>
      <w:bookmarkStart w:id="57" w:name="_Toc538"/>
      <w:bookmarkStart w:id="58" w:name="_Toc13483"/>
      <w:r>
        <w:rPr>
          <w:rFonts w:hint="eastAsia" w:ascii="宋体" w:hAnsi="宋体" w:eastAsia="宋体" w:cs="宋体"/>
          <w:b/>
          <w:bCs/>
          <w:color w:val="auto"/>
          <w:spacing w:val="-2"/>
          <w:sz w:val="24"/>
          <w:szCs w:val="24"/>
          <w:highlight w:val="none"/>
        </w:rPr>
        <w:t xml:space="preserve">10.4 </w:t>
      </w:r>
      <w:r>
        <w:rPr>
          <w:rFonts w:hint="eastAsia" w:ascii="宋体" w:hAnsi="宋体" w:eastAsia="宋体" w:cs="宋体"/>
          <w:b w:val="0"/>
          <w:bCs w:val="0"/>
          <w:color w:val="auto"/>
          <w:spacing w:val="-2"/>
          <w:sz w:val="24"/>
          <w:szCs w:val="24"/>
          <w:highlight w:val="none"/>
        </w:rPr>
        <w:t>施工组织设计的编制要求</w:t>
      </w:r>
      <w:bookmarkEnd w:id="57"/>
      <w:bookmarkEnd w:id="58"/>
    </w:p>
    <w:p w14:paraId="3B8C9E46">
      <w:pPr>
        <w:keepNext w:val="0"/>
        <w:keepLines w:val="0"/>
        <w:pageBreakBefore w:val="0"/>
        <w:kinsoku/>
        <w:wordWrap w:val="0"/>
        <w:overflowPunct/>
        <w:autoSpaceDE/>
        <w:autoSpaceDN/>
        <w:bidi w:val="0"/>
        <w:adjustRightInd w:val="0"/>
        <w:snapToGrid w:val="0"/>
        <w:spacing w:line="360" w:lineRule="auto"/>
        <w:ind w:firstLine="480"/>
        <w:rPr>
          <w:rFonts w:hint="eastAsia" w:ascii="宋体" w:hAnsi="宋体" w:eastAsia="宋体" w:cs="宋体"/>
          <w:bCs/>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10.4.1</w:t>
      </w:r>
      <w:r>
        <w:rPr>
          <w:rFonts w:hint="eastAsia" w:ascii="宋体" w:hAnsi="宋体" w:eastAsia="宋体" w:cs="宋体"/>
          <w:bCs/>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rPr>
        <w:t>施工组织设计的编制依据包括且不限于</w:t>
      </w:r>
      <w:r>
        <w:rPr>
          <w:rFonts w:hint="eastAsia" w:ascii="宋体" w:hAnsi="宋体" w:eastAsia="宋体" w:cs="宋体"/>
          <w:bCs/>
          <w:snapToGrid w:val="0"/>
          <w:color w:val="auto"/>
          <w:kern w:val="0"/>
          <w:sz w:val="24"/>
          <w:szCs w:val="24"/>
          <w:highlight w:val="none"/>
        </w:rPr>
        <w:t>：</w:t>
      </w:r>
    </w:p>
    <w:p w14:paraId="38F6ED61">
      <w:pPr>
        <w:keepNext w:val="0"/>
        <w:keepLines w:val="0"/>
        <w:pageBreakBefore w:val="0"/>
        <w:kinsoku/>
        <w:wordWrap w:val="0"/>
        <w:overflowPunct/>
        <w:autoSpaceDE/>
        <w:autoSpaceDN/>
        <w:bidi w:val="0"/>
        <w:adjustRightInd w:val="0"/>
        <w:snapToGrid w:val="0"/>
        <w:spacing w:line="360" w:lineRule="auto"/>
        <w:ind w:firstLine="48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（1）招标文件及</w:t>
      </w:r>
      <w:r>
        <w:rPr>
          <w:rFonts w:hint="eastAsia" w:ascii="宋体" w:hAnsi="宋体" w:eastAsia="宋体" w:cs="宋体"/>
          <w:snapToGrid w:val="0"/>
          <w:color w:val="auto"/>
          <w:kern w:val="0"/>
          <w:sz w:val="24"/>
          <w:szCs w:val="24"/>
          <w:highlight w:val="none"/>
        </w:rPr>
        <w:t>其答疑（或修改）公告；</w:t>
      </w:r>
    </w:p>
    <w:p w14:paraId="005410FC">
      <w:pPr>
        <w:keepNext w:val="0"/>
        <w:keepLines w:val="0"/>
        <w:pageBreakBefore w:val="0"/>
        <w:kinsoku/>
        <w:wordWrap w:val="0"/>
        <w:overflowPunct/>
        <w:autoSpaceDE/>
        <w:autoSpaceDN/>
        <w:bidi w:val="0"/>
        <w:adjustRightInd w:val="0"/>
        <w:snapToGrid w:val="0"/>
        <w:spacing w:line="360" w:lineRule="auto"/>
        <w:ind w:firstLine="48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（2）施工图及相关资料；</w:t>
      </w:r>
    </w:p>
    <w:p w14:paraId="69F87FA0">
      <w:pPr>
        <w:keepNext w:val="0"/>
        <w:keepLines w:val="0"/>
        <w:pageBreakBefore w:val="0"/>
        <w:kinsoku/>
        <w:wordWrap w:val="0"/>
        <w:overflowPunct/>
        <w:autoSpaceDE/>
        <w:autoSpaceDN/>
        <w:bidi w:val="0"/>
        <w:adjustRightInd w:val="0"/>
        <w:snapToGrid w:val="0"/>
        <w:spacing w:line="360" w:lineRule="auto"/>
        <w:ind w:firstLine="48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（3）施工现场情况、工程特点；</w:t>
      </w:r>
    </w:p>
    <w:p w14:paraId="58BB025F">
      <w:pPr>
        <w:keepNext w:val="0"/>
        <w:keepLines w:val="0"/>
        <w:pageBreakBefore w:val="0"/>
        <w:kinsoku/>
        <w:wordWrap w:val="0"/>
        <w:overflowPunct/>
        <w:autoSpaceDE/>
        <w:autoSpaceDN/>
        <w:bidi w:val="0"/>
        <w:adjustRightInd w:val="0"/>
        <w:snapToGrid w:val="0"/>
        <w:spacing w:line="360" w:lineRule="auto"/>
        <w:ind w:firstLine="48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（4）相关法律、法规、规定；</w:t>
      </w:r>
    </w:p>
    <w:p w14:paraId="3E83AE7F">
      <w:pPr>
        <w:keepNext w:val="0"/>
        <w:keepLines w:val="0"/>
        <w:pageBreakBefore w:val="0"/>
        <w:kinsoku/>
        <w:wordWrap w:val="0"/>
        <w:overflowPunct/>
        <w:autoSpaceDE/>
        <w:autoSpaceDN/>
        <w:bidi w:val="0"/>
        <w:adjustRightInd w:val="0"/>
        <w:snapToGrid w:val="0"/>
        <w:spacing w:line="360" w:lineRule="auto"/>
        <w:ind w:firstLine="48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5）国家、广东省、韶关市关于施工现场管理、施工工艺、绿色施工、安全防护、文明施工、环境保护等方面的标准、规范、技术资料。如《广东省住房和城乡建设厅绿色施工导则》《广东省建设工程施工扬尘污染防治管理办法（试行）》等；</w:t>
      </w:r>
    </w:p>
    <w:p w14:paraId="68DD6349">
      <w:pPr>
        <w:keepNext w:val="0"/>
        <w:keepLines w:val="0"/>
        <w:pageBreakBefore w:val="0"/>
        <w:kinsoku/>
        <w:wordWrap w:val="0"/>
        <w:overflowPunct/>
        <w:autoSpaceDE/>
        <w:autoSpaceDN/>
        <w:bidi w:val="0"/>
        <w:adjustRightInd w:val="0"/>
        <w:snapToGrid w:val="0"/>
        <w:spacing w:line="360" w:lineRule="auto"/>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（6）企业内部标准、工法。</w:t>
      </w:r>
    </w:p>
    <w:p w14:paraId="61A6557C">
      <w:pPr>
        <w:keepNext w:val="0"/>
        <w:keepLines w:val="0"/>
        <w:pageBreakBefore w:val="0"/>
        <w:kinsoku/>
        <w:wordWrap w:val="0"/>
        <w:overflowPunct/>
        <w:autoSpaceDE/>
        <w:autoSpaceDN/>
        <w:bidi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10.4.2</w:t>
      </w:r>
      <w:r>
        <w:rPr>
          <w:rFonts w:hint="eastAsia" w:ascii="宋体" w:hAnsi="宋体" w:eastAsia="宋体" w:cs="宋体"/>
          <w:bCs/>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rPr>
        <w:t>施工组织设计包括但不限于以下内容：</w:t>
      </w:r>
    </w:p>
    <w:p w14:paraId="40FEEBF6">
      <w:pPr>
        <w:keepNext w:val="0"/>
        <w:keepLines w:val="0"/>
        <w:pageBreakBefore w:val="0"/>
        <w:kinsoku/>
        <w:wordWrap w:val="0"/>
        <w:overflowPunct/>
        <w:autoSpaceDE/>
        <w:autoSpaceDN/>
        <w:bidi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（1）封面（格式一）；</w:t>
      </w:r>
    </w:p>
    <w:p w14:paraId="6D78AC23">
      <w:pPr>
        <w:keepNext w:val="0"/>
        <w:keepLines w:val="0"/>
        <w:pageBreakBefore w:val="0"/>
        <w:kinsoku/>
        <w:wordWrap w:val="0"/>
        <w:overflowPunct/>
        <w:autoSpaceDE/>
        <w:autoSpaceDN/>
        <w:bidi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（2）目录；</w:t>
      </w:r>
    </w:p>
    <w:p w14:paraId="7F9B099C">
      <w:pPr>
        <w:keepNext w:val="0"/>
        <w:keepLines w:val="0"/>
        <w:pageBreakBefore w:val="0"/>
        <w:kinsoku/>
        <w:wordWrap w:val="0"/>
        <w:overflowPunct/>
        <w:autoSpaceDE/>
        <w:autoSpaceDN/>
        <w:bidi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（3）总体概述（包括施工程序总体设想及施工段划分等内容）；</w:t>
      </w:r>
    </w:p>
    <w:p w14:paraId="3A07B246">
      <w:pPr>
        <w:keepNext w:val="0"/>
        <w:keepLines w:val="0"/>
        <w:pageBreakBefore w:val="0"/>
        <w:kinsoku/>
        <w:wordWrap w:val="0"/>
        <w:overflowPunct/>
        <w:autoSpaceDE/>
        <w:autoSpaceDN/>
        <w:bidi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（4）施工总进度计划及保证措施（包括进度管理目标；以横道图或标明关键线路的网络进度计划；保障进度计划需要的人、材、机需求计划及保证措施；违约责任承诺等内容）；</w:t>
      </w:r>
    </w:p>
    <w:p w14:paraId="7A6AFA06">
      <w:pPr>
        <w:keepNext w:val="0"/>
        <w:keepLines w:val="0"/>
        <w:pageBreakBefore w:val="0"/>
        <w:kinsoku/>
        <w:wordWrap w:val="0"/>
        <w:overflowPunct/>
        <w:autoSpaceDE/>
        <w:autoSpaceDN/>
        <w:bidi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（5）质量保证措施（包括质量管理目标；相应保证措施；违约责任承诺等内容）；</w:t>
      </w:r>
    </w:p>
    <w:p w14:paraId="15DD8330">
      <w:pPr>
        <w:keepNext w:val="0"/>
        <w:keepLines w:val="0"/>
        <w:pageBreakBefore w:val="0"/>
        <w:kinsoku/>
        <w:wordWrap w:val="0"/>
        <w:overflowPunct/>
        <w:autoSpaceDE/>
        <w:autoSpaceDN/>
        <w:bidi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（6）施工技术措施（包括关键施工技术、工艺及工程项目实施的重点、难点分析和解决方案；新技术应用与承诺等内容）；</w:t>
      </w:r>
    </w:p>
    <w:p w14:paraId="3F9F3D44">
      <w:pPr>
        <w:keepNext w:val="0"/>
        <w:keepLines w:val="0"/>
        <w:pageBreakBefore w:val="0"/>
        <w:kinsoku/>
        <w:wordWrap w:val="0"/>
        <w:overflowPunct/>
        <w:autoSpaceDE/>
        <w:autoSpaceDN/>
        <w:bidi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（7）绿色施工、安全防护、文明施工措施计划</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b/>
          <w:bCs/>
          <w:snapToGrid w:val="0"/>
          <w:color w:val="auto"/>
          <w:kern w:val="0"/>
          <w:sz w:val="24"/>
          <w:szCs w:val="24"/>
          <w:highlight w:val="none"/>
        </w:rPr>
        <w:t>应对建设单位组织的勘察设计等单位在施工招标文件中列出的危大工程清单(详见格式十</w:t>
      </w:r>
      <w:r>
        <w:rPr>
          <w:rFonts w:hint="eastAsia" w:ascii="宋体" w:hAnsi="宋体" w:eastAsia="宋体" w:cs="宋体"/>
          <w:b/>
          <w:bCs/>
          <w:snapToGrid w:val="0"/>
          <w:color w:val="auto"/>
          <w:kern w:val="0"/>
          <w:sz w:val="24"/>
          <w:szCs w:val="24"/>
          <w:highlight w:val="none"/>
          <w:lang w:val="en-US" w:eastAsia="zh-CN"/>
        </w:rPr>
        <w:t>二</w:t>
      </w:r>
      <w:r>
        <w:rPr>
          <w:rFonts w:hint="eastAsia" w:ascii="宋体" w:hAnsi="宋体" w:eastAsia="宋体" w:cs="宋体"/>
          <w:b/>
          <w:bCs/>
          <w:snapToGrid w:val="0"/>
          <w:color w:val="auto"/>
          <w:kern w:val="0"/>
          <w:sz w:val="24"/>
          <w:szCs w:val="24"/>
          <w:highlight w:val="none"/>
        </w:rPr>
        <w:t>)进行投标文件回应</w:t>
      </w:r>
      <w:r>
        <w:rPr>
          <w:rFonts w:hint="eastAsia" w:ascii="宋体" w:hAnsi="宋体" w:eastAsia="宋体" w:cs="宋体"/>
          <w:b/>
          <w:bCs/>
          <w:snapToGrid w:val="0"/>
          <w:color w:val="auto"/>
          <w:kern w:val="0"/>
          <w:sz w:val="24"/>
          <w:szCs w:val="24"/>
          <w:highlight w:val="none"/>
          <w:lang w:eastAsia="zh-CN"/>
        </w:rPr>
        <w:t>，</w:t>
      </w:r>
      <w:r>
        <w:rPr>
          <w:rFonts w:hint="eastAsia" w:ascii="宋体" w:hAnsi="宋体" w:eastAsia="宋体" w:cs="宋体"/>
          <w:b/>
          <w:bCs/>
          <w:snapToGrid w:val="0"/>
          <w:color w:val="auto"/>
          <w:kern w:val="0"/>
          <w:sz w:val="24"/>
          <w:szCs w:val="24"/>
          <w:highlight w:val="none"/>
          <w:lang w:val="en-US" w:eastAsia="zh-CN"/>
        </w:rPr>
        <w:t>如有</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w:t>
      </w:r>
    </w:p>
    <w:p w14:paraId="29E32A1C">
      <w:pPr>
        <w:keepNext w:val="0"/>
        <w:keepLines w:val="0"/>
        <w:pageBreakBefore w:val="0"/>
        <w:kinsoku/>
        <w:wordWrap w:val="0"/>
        <w:overflowPunct/>
        <w:autoSpaceDE/>
        <w:autoSpaceDN/>
        <w:bidi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（8）施工现场总平面布置（投标人应递交一份施工现场总平面布置图，绘出现场临时设施布置图表并附文字说明，说明临时设施、加工车间、现场办公</w:t>
      </w:r>
      <w:r>
        <w:rPr>
          <w:rFonts w:hint="eastAsia" w:ascii="宋体" w:hAnsi="宋体" w:eastAsia="宋体" w:cs="宋体"/>
          <w:snapToGrid w:val="0"/>
          <w:color w:val="auto"/>
          <w:kern w:val="0"/>
          <w:sz w:val="24"/>
          <w:szCs w:val="24"/>
          <w:highlight w:val="none"/>
          <w:lang w:val="en-US" w:eastAsia="zh-CN"/>
        </w:rPr>
        <w:t>、设备及仓储、供电、供水、卫生、生活、道路、消防等设施的情况和布置）</w:t>
      </w:r>
      <w:r>
        <w:rPr>
          <w:rFonts w:hint="eastAsia" w:ascii="宋体" w:hAnsi="宋体" w:eastAsia="宋体" w:cs="宋体"/>
          <w:snapToGrid w:val="0"/>
          <w:color w:val="auto"/>
          <w:kern w:val="0"/>
          <w:sz w:val="24"/>
          <w:szCs w:val="24"/>
          <w:highlight w:val="none"/>
        </w:rPr>
        <w:t>；</w:t>
      </w:r>
    </w:p>
    <w:p w14:paraId="3B5DA2F6">
      <w:pPr>
        <w:keepNext w:val="0"/>
        <w:keepLines w:val="0"/>
        <w:pageBreakBefore w:val="0"/>
        <w:kinsoku/>
        <w:wordWrap w:val="0"/>
        <w:overflowPunct/>
        <w:autoSpaceDE/>
        <w:autoSpaceDN/>
        <w:bidi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（9）项目管理机构。</w:t>
      </w:r>
    </w:p>
    <w:p w14:paraId="79D4DD90">
      <w:pPr>
        <w:keepNext w:val="0"/>
        <w:keepLines w:val="0"/>
        <w:pageBreakBefore w:val="0"/>
        <w:kinsoku/>
        <w:wordWrap w:val="0"/>
        <w:overflowPunct/>
        <w:autoSpaceDE/>
        <w:autoSpaceDN/>
        <w:bidi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（10）投标人认为有必要补充的其他内容（例如对总包管理的认识以及对专业分包工程的管理、协调、配合、服务方案）。</w:t>
      </w:r>
    </w:p>
    <w:p w14:paraId="28BCE066">
      <w:pPr>
        <w:keepNext w:val="0"/>
        <w:keepLines w:val="0"/>
        <w:pageBreakBefore w:val="0"/>
        <w:kinsoku/>
        <w:wordWrap w:val="0"/>
        <w:overflowPunct/>
        <w:autoSpaceDE/>
        <w:autoSpaceDN/>
        <w:bidi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10.4.3</w:t>
      </w:r>
      <w:r>
        <w:rPr>
          <w:rFonts w:hint="eastAsia" w:ascii="宋体" w:hAnsi="宋体" w:eastAsia="宋体" w:cs="宋体"/>
          <w:snapToGrid w:val="0"/>
          <w:color w:val="auto"/>
          <w:kern w:val="0"/>
          <w:sz w:val="24"/>
          <w:szCs w:val="24"/>
          <w:highlight w:val="none"/>
        </w:rPr>
        <w:t xml:space="preserve"> 本节第</w:t>
      </w:r>
      <w:r>
        <w:rPr>
          <w:rFonts w:hint="eastAsia" w:ascii="宋体" w:hAnsi="宋体" w:eastAsia="宋体" w:cs="宋体"/>
          <w:b/>
          <w:bCs/>
          <w:snapToGrid w:val="0"/>
          <w:color w:val="auto"/>
          <w:kern w:val="0"/>
          <w:sz w:val="24"/>
          <w:szCs w:val="24"/>
          <w:highlight w:val="none"/>
        </w:rPr>
        <w:t>10.4.2</w:t>
      </w:r>
      <w:r>
        <w:rPr>
          <w:rFonts w:hint="eastAsia" w:ascii="宋体" w:hAnsi="宋体" w:eastAsia="宋体" w:cs="宋体"/>
          <w:snapToGrid w:val="0"/>
          <w:color w:val="auto"/>
          <w:kern w:val="0"/>
          <w:sz w:val="24"/>
          <w:szCs w:val="24"/>
          <w:highlight w:val="none"/>
        </w:rPr>
        <w:t>目中所列出的施工组织设计组成内容中，第（1）至第（9）项所有投标人均应提供。</w:t>
      </w:r>
    </w:p>
    <w:p w14:paraId="54098E7F">
      <w:pPr>
        <w:keepNext w:val="0"/>
        <w:keepLines w:val="0"/>
        <w:pageBreakBefore w:val="0"/>
        <w:kinsoku/>
        <w:wordWrap w:val="0"/>
        <w:overflowPunct/>
        <w:autoSpaceDE/>
        <w:autoSpaceDN/>
        <w:bidi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10.4.4</w:t>
      </w:r>
      <w:r>
        <w:rPr>
          <w:rFonts w:hint="eastAsia" w:ascii="宋体" w:hAnsi="宋体" w:eastAsia="宋体" w:cs="宋体"/>
          <w:snapToGrid w:val="0"/>
          <w:color w:val="auto"/>
          <w:kern w:val="0"/>
          <w:sz w:val="24"/>
          <w:szCs w:val="24"/>
          <w:highlight w:val="none"/>
        </w:rPr>
        <w:t xml:space="preserve"> 施工组织设计的组成内容按本节第</w:t>
      </w:r>
      <w:r>
        <w:rPr>
          <w:rFonts w:hint="eastAsia" w:ascii="宋体" w:hAnsi="宋体" w:eastAsia="宋体" w:cs="宋体"/>
          <w:b/>
          <w:bCs/>
          <w:snapToGrid w:val="0"/>
          <w:color w:val="auto"/>
          <w:kern w:val="0"/>
          <w:sz w:val="24"/>
          <w:szCs w:val="24"/>
          <w:highlight w:val="none"/>
        </w:rPr>
        <w:t>10.4.2</w:t>
      </w:r>
      <w:r>
        <w:rPr>
          <w:rFonts w:hint="eastAsia" w:ascii="宋体" w:hAnsi="宋体" w:eastAsia="宋体" w:cs="宋体"/>
          <w:snapToGrid w:val="0"/>
          <w:color w:val="auto"/>
          <w:kern w:val="0"/>
          <w:sz w:val="24"/>
          <w:szCs w:val="24"/>
          <w:highlight w:val="none"/>
        </w:rPr>
        <w:t>目规定的顺序整理、编排后，逐页（页码起始从封面开始）连续标记页码。</w:t>
      </w:r>
    </w:p>
    <w:p w14:paraId="3324639D">
      <w:pPr>
        <w:spacing w:before="78" w:line="360" w:lineRule="auto"/>
        <w:ind w:left="496"/>
        <w:outlineLvl w:val="2"/>
        <w:rPr>
          <w:rFonts w:hint="eastAsia" w:ascii="宋体" w:hAnsi="宋体" w:eastAsia="宋体" w:cs="宋体"/>
          <w:color w:val="auto"/>
          <w:sz w:val="24"/>
          <w:szCs w:val="24"/>
          <w:highlight w:val="none"/>
        </w:rPr>
      </w:pPr>
      <w:bookmarkStart w:id="59" w:name="_Toc29307"/>
      <w:bookmarkStart w:id="60" w:name="_Toc13551"/>
      <w:r>
        <w:rPr>
          <w:rFonts w:hint="eastAsia" w:ascii="宋体" w:hAnsi="宋体" w:eastAsia="宋体" w:cs="宋体"/>
          <w:b/>
          <w:bCs/>
          <w:color w:val="auto"/>
          <w:spacing w:val="-9"/>
          <w:sz w:val="24"/>
          <w:szCs w:val="24"/>
          <w:highlight w:val="none"/>
        </w:rPr>
        <w:t>11.电子投标</w:t>
      </w:r>
      <w:bookmarkEnd w:id="59"/>
      <w:bookmarkEnd w:id="60"/>
    </w:p>
    <w:p w14:paraId="25CDC026">
      <w:pPr>
        <w:keepNext w:val="0"/>
        <w:keepLines w:val="0"/>
        <w:pageBreakBefore w:val="0"/>
        <w:widowControl w:val="0"/>
        <w:kinsoku w:val="0"/>
        <w:wordWrap/>
        <w:overflowPunct/>
        <w:topLinePunct w:val="0"/>
        <w:autoSpaceDE w:val="0"/>
        <w:autoSpaceDN w:val="0"/>
        <w:bidi w:val="0"/>
        <w:adjustRightInd w:val="0"/>
        <w:snapToGrid w:val="0"/>
        <w:spacing w:before="112" w:line="360" w:lineRule="auto"/>
        <w:ind w:left="10" w:firstLine="485"/>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11.1  </w:t>
      </w:r>
      <w:r>
        <w:rPr>
          <w:rFonts w:hint="eastAsia" w:ascii="宋体" w:hAnsi="宋体" w:eastAsia="宋体" w:cs="宋体"/>
          <w:color w:val="auto"/>
          <w:spacing w:val="-3"/>
          <w:sz w:val="24"/>
          <w:szCs w:val="24"/>
          <w:highlight w:val="none"/>
        </w:rPr>
        <w:t>在建设工程交易系统上传加盖了电子印章的投标文件、录入相关信息及标书</w:t>
      </w:r>
      <w:r>
        <w:rPr>
          <w:rFonts w:hint="eastAsia" w:ascii="宋体" w:hAnsi="宋体" w:eastAsia="宋体" w:cs="宋体"/>
          <w:color w:val="auto"/>
          <w:spacing w:val="2"/>
          <w:sz w:val="24"/>
          <w:szCs w:val="24"/>
          <w:highlight w:val="none"/>
        </w:rPr>
        <w:t>页码信息</w:t>
      </w:r>
      <w:r>
        <w:rPr>
          <w:rFonts w:hint="eastAsia" w:ascii="宋体" w:hAnsi="宋体" w:eastAsia="宋体" w:cs="宋体"/>
          <w:color w:val="auto"/>
          <w:spacing w:val="-25"/>
          <w:sz w:val="24"/>
          <w:szCs w:val="24"/>
          <w:highlight w:val="none"/>
        </w:rPr>
        <w:t>，（</w:t>
      </w:r>
      <w:r>
        <w:rPr>
          <w:rFonts w:hint="eastAsia" w:ascii="宋体" w:hAnsi="宋体" w:eastAsia="宋体" w:cs="宋体"/>
          <w:color w:val="auto"/>
          <w:spacing w:val="2"/>
          <w:sz w:val="24"/>
          <w:szCs w:val="24"/>
          <w:highlight w:val="none"/>
        </w:rPr>
        <w:t>页码起始从封面开始）并提交投标标书。提交标书为已加密投标文件。</w:t>
      </w:r>
      <w:r>
        <w:rPr>
          <w:rFonts w:hint="eastAsia" w:ascii="宋体" w:hAnsi="宋体" w:eastAsia="宋体" w:cs="宋体"/>
          <w:color w:val="auto"/>
          <w:spacing w:val="-2"/>
          <w:sz w:val="24"/>
          <w:szCs w:val="24"/>
          <w:highlight w:val="none"/>
        </w:rPr>
        <w:t>具体操作参照《韶关市公共资源建设工程交易系统-投标人操</w:t>
      </w:r>
      <w:r>
        <w:rPr>
          <w:rFonts w:hint="eastAsia" w:ascii="宋体" w:hAnsi="宋体" w:eastAsia="宋体" w:cs="宋体"/>
          <w:color w:val="auto"/>
          <w:spacing w:val="-3"/>
          <w:sz w:val="24"/>
          <w:szCs w:val="24"/>
          <w:highlight w:val="none"/>
        </w:rPr>
        <w:t>作指南（电子评标）》。</w:t>
      </w:r>
      <w:r>
        <w:rPr>
          <w:rFonts w:hint="eastAsia" w:ascii="宋体" w:hAnsi="宋体" w:eastAsia="宋体" w:cs="宋体"/>
          <w:color w:val="auto"/>
          <w:spacing w:val="-1"/>
          <w:sz w:val="24"/>
          <w:szCs w:val="24"/>
          <w:highlight w:val="none"/>
        </w:rPr>
        <w:t>本项目评标采用全流程电子化进行招标投标（投标人应根据</w:t>
      </w:r>
      <w:r>
        <w:rPr>
          <w:rFonts w:hint="eastAsia" w:ascii="宋体" w:hAnsi="宋体" w:eastAsia="宋体" w:cs="宋体"/>
          <w:color w:val="auto"/>
          <w:spacing w:val="-2"/>
          <w:sz w:val="24"/>
          <w:szCs w:val="24"/>
          <w:highlight w:val="none"/>
        </w:rPr>
        <w:t>韶关市公共资源建设工程</w:t>
      </w:r>
      <w:r>
        <w:rPr>
          <w:rFonts w:hint="eastAsia" w:ascii="宋体" w:hAnsi="宋体" w:eastAsia="宋体" w:cs="宋体"/>
          <w:color w:val="auto"/>
          <w:spacing w:val="-1"/>
          <w:sz w:val="24"/>
          <w:szCs w:val="24"/>
          <w:highlight w:val="none"/>
        </w:rPr>
        <w:t>交易系统进行编辑投标相关内容、按招标文件电子投标要求</w:t>
      </w:r>
      <w:r>
        <w:rPr>
          <w:rFonts w:hint="eastAsia" w:ascii="宋体" w:hAnsi="宋体" w:eastAsia="宋体" w:cs="宋体"/>
          <w:color w:val="auto"/>
          <w:spacing w:val="-2"/>
          <w:sz w:val="24"/>
          <w:szCs w:val="24"/>
          <w:highlight w:val="none"/>
        </w:rPr>
        <w:t>上传已加盖电子印章投标</w:t>
      </w:r>
      <w:r>
        <w:rPr>
          <w:rFonts w:hint="eastAsia" w:ascii="宋体" w:hAnsi="宋体" w:eastAsia="宋体" w:cs="宋体"/>
          <w:color w:val="auto"/>
          <w:spacing w:val="-1"/>
          <w:sz w:val="24"/>
          <w:szCs w:val="24"/>
          <w:highlight w:val="none"/>
        </w:rPr>
        <w:t>文件，否则将自行承担不利后果）。投标文件完成上传后，投标人应</w:t>
      </w:r>
      <w:r>
        <w:rPr>
          <w:rFonts w:hint="eastAsia" w:ascii="宋体" w:hAnsi="宋体" w:eastAsia="宋体" w:cs="宋体"/>
          <w:color w:val="auto"/>
          <w:spacing w:val="-2"/>
          <w:sz w:val="24"/>
          <w:szCs w:val="24"/>
          <w:highlight w:val="none"/>
        </w:rPr>
        <w:t>使用 CA 数字证</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书对投标文件进行文件加密，形成加密的投标文件并提交标书。</w:t>
      </w:r>
    </w:p>
    <w:p w14:paraId="35865D19">
      <w:pPr>
        <w:keepNext w:val="0"/>
        <w:keepLines w:val="0"/>
        <w:pageBreakBefore w:val="0"/>
        <w:widowControl w:val="0"/>
        <w:kinsoku w:val="0"/>
        <w:wordWrap/>
        <w:overflowPunct/>
        <w:topLinePunct w:val="0"/>
        <w:autoSpaceDE w:val="0"/>
        <w:autoSpaceDN w:val="0"/>
        <w:bidi w:val="0"/>
        <w:adjustRightInd w:val="0"/>
        <w:snapToGrid w:val="0"/>
        <w:spacing w:before="115" w:line="360" w:lineRule="auto"/>
        <w:ind w:left="10" w:right="81" w:firstLine="485"/>
        <w:textAlignment w:val="baseline"/>
        <w:rPr>
          <w:rFonts w:hint="eastAsia" w:ascii="宋体" w:hAnsi="宋体" w:eastAsia="宋体" w:cs="宋体"/>
          <w:color w:val="auto"/>
          <w:highlight w:val="none"/>
        </w:rPr>
      </w:pPr>
      <w:r>
        <w:rPr>
          <w:rFonts w:hint="eastAsia" w:ascii="宋体" w:hAnsi="宋体" w:eastAsia="宋体" w:cs="宋体"/>
          <w:b/>
          <w:bCs/>
          <w:color w:val="auto"/>
          <w:spacing w:val="-4"/>
          <w:sz w:val="24"/>
          <w:szCs w:val="24"/>
          <w:highlight w:val="none"/>
        </w:rPr>
        <w:t>11.2</w:t>
      </w:r>
      <w:r>
        <w:rPr>
          <w:rFonts w:hint="eastAsia" w:ascii="宋体" w:hAnsi="宋体" w:eastAsia="宋体" w:cs="宋体"/>
          <w:b/>
          <w:bCs/>
          <w:color w:val="auto"/>
          <w:spacing w:val="19"/>
          <w:sz w:val="24"/>
          <w:szCs w:val="24"/>
          <w:highlight w:val="none"/>
        </w:rPr>
        <w:t xml:space="preserve">  </w:t>
      </w:r>
      <w:r>
        <w:rPr>
          <w:rFonts w:hint="eastAsia" w:ascii="宋体" w:hAnsi="宋体" w:eastAsia="宋体" w:cs="宋体"/>
          <w:color w:val="auto"/>
          <w:spacing w:val="-4"/>
          <w:sz w:val="24"/>
          <w:szCs w:val="24"/>
          <w:highlight w:val="none"/>
        </w:rPr>
        <w:t>电子投标文件的修改、撤回：在提交投标文件截止时间前，投标人可</w:t>
      </w:r>
      <w:r>
        <w:rPr>
          <w:rFonts w:hint="eastAsia" w:ascii="宋体" w:hAnsi="宋体" w:eastAsia="宋体" w:cs="宋体"/>
          <w:color w:val="auto"/>
          <w:spacing w:val="-5"/>
          <w:sz w:val="24"/>
          <w:szCs w:val="24"/>
          <w:highlight w:val="none"/>
        </w:rPr>
        <w:t>以修改</w:t>
      </w:r>
      <w:r>
        <w:rPr>
          <w:rFonts w:hint="eastAsia" w:ascii="宋体" w:hAnsi="宋体" w:eastAsia="宋体" w:cs="宋体"/>
          <w:color w:val="auto"/>
          <w:spacing w:val="-1"/>
          <w:sz w:val="24"/>
          <w:szCs w:val="24"/>
          <w:highlight w:val="none"/>
        </w:rPr>
        <w:t>或撤回未解密的电子投标文件，并于提交投标文件截止时间</w:t>
      </w:r>
      <w:r>
        <w:rPr>
          <w:rFonts w:hint="eastAsia" w:ascii="宋体" w:hAnsi="宋体" w:eastAsia="宋体" w:cs="宋体"/>
          <w:color w:val="auto"/>
          <w:spacing w:val="-2"/>
          <w:sz w:val="24"/>
          <w:szCs w:val="24"/>
          <w:highlight w:val="none"/>
        </w:rPr>
        <w:t>前将重新上传修改后的电</w:t>
      </w:r>
      <w:r>
        <w:rPr>
          <w:rFonts w:hint="eastAsia" w:ascii="宋体" w:hAnsi="宋体" w:eastAsia="宋体" w:cs="宋体"/>
          <w:color w:val="auto"/>
          <w:spacing w:val="-1"/>
          <w:sz w:val="24"/>
          <w:szCs w:val="24"/>
          <w:highlight w:val="none"/>
        </w:rPr>
        <w:t>子投标文件至系统，到达投标文件提交截止时间后投标人不</w:t>
      </w:r>
      <w:r>
        <w:rPr>
          <w:rFonts w:hint="eastAsia" w:ascii="宋体" w:hAnsi="宋体" w:eastAsia="宋体" w:cs="宋体"/>
          <w:color w:val="auto"/>
          <w:spacing w:val="-2"/>
          <w:sz w:val="24"/>
          <w:szCs w:val="24"/>
          <w:highlight w:val="none"/>
        </w:rPr>
        <w:t>得撤回、补充、修改和更换投标文件。</w:t>
      </w:r>
    </w:p>
    <w:p w14:paraId="28C93B4D">
      <w:pPr>
        <w:spacing w:before="78" w:line="360" w:lineRule="auto"/>
        <w:ind w:left="496"/>
        <w:outlineLvl w:val="2"/>
        <w:rPr>
          <w:rFonts w:hint="eastAsia" w:ascii="宋体" w:hAnsi="宋体" w:eastAsia="宋体" w:cs="宋体"/>
          <w:b/>
          <w:bCs/>
          <w:color w:val="auto"/>
          <w:spacing w:val="-9"/>
          <w:sz w:val="24"/>
          <w:szCs w:val="24"/>
          <w:highlight w:val="none"/>
        </w:rPr>
      </w:pPr>
      <w:bookmarkStart w:id="61" w:name="_Toc19819"/>
      <w:bookmarkStart w:id="62" w:name="_Toc15963"/>
      <w:r>
        <w:rPr>
          <w:rFonts w:hint="eastAsia" w:ascii="宋体" w:hAnsi="宋体" w:eastAsia="宋体" w:cs="宋体"/>
          <w:b/>
          <w:bCs/>
          <w:color w:val="auto"/>
          <w:spacing w:val="-9"/>
          <w:sz w:val="24"/>
          <w:szCs w:val="24"/>
          <w:highlight w:val="none"/>
          <w:lang w:val="en-US" w:eastAsia="zh-CN"/>
        </w:rPr>
        <w:t>12.</w:t>
      </w:r>
      <w:r>
        <w:rPr>
          <w:rFonts w:hint="eastAsia" w:ascii="宋体" w:hAnsi="宋体" w:eastAsia="宋体" w:cs="宋体"/>
          <w:b/>
          <w:bCs/>
          <w:color w:val="auto"/>
          <w:spacing w:val="-9"/>
          <w:sz w:val="24"/>
          <w:szCs w:val="24"/>
          <w:highlight w:val="none"/>
        </w:rPr>
        <w:t>电子投标及投标解密失败及突发情况的补救方案</w:t>
      </w:r>
      <w:bookmarkEnd w:id="61"/>
      <w:bookmarkEnd w:id="62"/>
    </w:p>
    <w:p w14:paraId="7139F667">
      <w:pPr>
        <w:spacing w:before="78" w:line="360" w:lineRule="auto"/>
        <w:ind w:firstLine="478"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12.1 </w:t>
      </w:r>
      <w:r>
        <w:rPr>
          <w:rFonts w:hint="eastAsia" w:ascii="宋体" w:hAnsi="宋体" w:eastAsia="宋体" w:cs="宋体"/>
          <w:b/>
          <w:bCs/>
          <w:color w:val="auto"/>
          <w:spacing w:val="-1"/>
          <w:sz w:val="24"/>
          <w:szCs w:val="24"/>
          <w:highlight w:val="none"/>
          <w:lang w:val="en-US" w:eastAsia="zh-CN"/>
        </w:rPr>
        <w:t xml:space="preserve"> </w:t>
      </w:r>
      <w:r>
        <w:rPr>
          <w:rFonts w:hint="eastAsia" w:ascii="宋体" w:hAnsi="宋体" w:eastAsia="宋体" w:cs="宋体"/>
          <w:color w:val="auto"/>
          <w:spacing w:val="-1"/>
          <w:sz w:val="24"/>
          <w:szCs w:val="24"/>
          <w:highlight w:val="none"/>
        </w:rPr>
        <w:t>按照交易平台关于全流程电子化项目的相</w:t>
      </w:r>
      <w:r>
        <w:rPr>
          <w:rFonts w:hint="eastAsia" w:ascii="宋体" w:hAnsi="宋体" w:eastAsia="宋体" w:cs="宋体"/>
          <w:color w:val="auto"/>
          <w:spacing w:val="-2"/>
          <w:sz w:val="24"/>
          <w:szCs w:val="24"/>
          <w:highlight w:val="none"/>
        </w:rPr>
        <w:t>关指南进行操作。详见：全国公共</w:t>
      </w:r>
      <w:r>
        <w:rPr>
          <w:rFonts w:hint="eastAsia" w:ascii="宋体" w:hAnsi="宋体" w:eastAsia="宋体" w:cs="宋体"/>
          <w:color w:val="auto"/>
          <w:spacing w:val="-1"/>
          <w:sz w:val="24"/>
          <w:szCs w:val="24"/>
          <w:highlight w:val="none"/>
        </w:rPr>
        <w:t>资源交易平台（广东省·韶关市</w:t>
      </w:r>
      <w:r>
        <w:rPr>
          <w:rFonts w:hint="eastAsia" w:ascii="宋体" w:hAnsi="宋体" w:eastAsia="宋体" w:cs="宋体"/>
          <w:color w:val="auto"/>
          <w:spacing w:val="-26"/>
          <w:sz w:val="24"/>
          <w:szCs w:val="24"/>
          <w:highlight w:val="none"/>
        </w:rPr>
        <w:t>）（</w:t>
      </w:r>
      <w:r>
        <w:rPr>
          <w:rFonts w:hint="eastAsia" w:ascii="宋体" w:hAnsi="宋体" w:eastAsia="宋体" w:cs="宋体"/>
          <w:color w:val="auto"/>
          <w:spacing w:val="-1"/>
          <w:sz w:val="24"/>
          <w:szCs w:val="24"/>
          <w:highlight w:val="none"/>
        </w:rPr>
        <w:t>https://y</w:t>
      </w:r>
      <w:r>
        <w:rPr>
          <w:rFonts w:hint="eastAsia" w:ascii="宋体" w:hAnsi="宋体" w:eastAsia="宋体" w:cs="宋体"/>
          <w:color w:val="auto"/>
          <w:spacing w:val="-2"/>
          <w:sz w:val="24"/>
          <w:szCs w:val="24"/>
          <w:highlight w:val="none"/>
        </w:rPr>
        <w:t>gp.gdzwfw.gov.cn/ggzy-portal/#/44</w:t>
      </w:r>
      <w:r>
        <w:rPr>
          <w:rFonts w:hint="eastAsia" w:ascii="宋体" w:hAnsi="宋体" w:eastAsia="宋体" w:cs="宋体"/>
          <w:color w:val="auto"/>
          <w:spacing w:val="-1"/>
          <w:sz w:val="24"/>
          <w:szCs w:val="24"/>
          <w:highlight w:val="none"/>
        </w:rPr>
        <w:t>0200/index）服务指南栏目发布的最新版操作指引。</w:t>
      </w:r>
    </w:p>
    <w:p w14:paraId="150DE32F">
      <w:pPr>
        <w:spacing w:before="113" w:line="36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12.2  </w:t>
      </w:r>
      <w:r>
        <w:rPr>
          <w:rFonts w:hint="eastAsia" w:ascii="宋体" w:hAnsi="宋体" w:eastAsia="宋体" w:cs="宋体"/>
          <w:color w:val="auto"/>
          <w:spacing w:val="-2"/>
          <w:sz w:val="24"/>
          <w:szCs w:val="24"/>
          <w:highlight w:val="none"/>
        </w:rPr>
        <w:t>补救方案：</w:t>
      </w:r>
    </w:p>
    <w:p w14:paraId="2CAE9A68">
      <w:pPr>
        <w:spacing w:before="115" w:line="36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12.2.1  </w:t>
      </w:r>
      <w:r>
        <w:rPr>
          <w:rFonts w:hint="eastAsia" w:ascii="宋体" w:hAnsi="宋体" w:eastAsia="宋体" w:cs="宋体"/>
          <w:color w:val="auto"/>
          <w:spacing w:val="-1"/>
          <w:sz w:val="24"/>
          <w:szCs w:val="24"/>
          <w:highlight w:val="none"/>
        </w:rPr>
        <w:t>投标文件解密失败的补救方案：</w:t>
      </w:r>
    </w:p>
    <w:p w14:paraId="76763BF4">
      <w:pPr>
        <w:spacing w:before="115" w:line="360" w:lineRule="auto"/>
        <w:ind w:right="81" w:firstLine="488"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在规定时间内，因投标人之外原因(指网络瘫痪、服务器损坏、交易系统故障短期无法恢复)等导致的电子投标文件解密失败，在开标现场解密环节由代理授权后，</w:t>
      </w:r>
      <w:r>
        <w:rPr>
          <w:rFonts w:hint="eastAsia" w:ascii="宋体" w:hAnsi="宋体" w:eastAsia="宋体" w:cs="宋体"/>
          <w:color w:val="auto"/>
          <w:spacing w:val="1"/>
          <w:sz w:val="24"/>
          <w:szCs w:val="24"/>
          <w:highlight w:val="none"/>
        </w:rPr>
        <w:t>解密失败投标人可在建设工程交易系统在规定时间（代理机构授权后</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1"/>
          <w:sz w:val="24"/>
          <w:szCs w:val="24"/>
          <w:highlight w:val="none"/>
        </w:rPr>
        <w:t>30</w:t>
      </w:r>
      <w:r>
        <w:rPr>
          <w:rFonts w:hint="eastAsia" w:ascii="宋体" w:hAnsi="宋体" w:eastAsia="宋体" w:cs="宋体"/>
          <w:color w:val="auto"/>
          <w:spacing w:val="-43"/>
          <w:sz w:val="24"/>
          <w:szCs w:val="24"/>
          <w:highlight w:val="none"/>
        </w:rPr>
        <w:t xml:space="preserve"> </w:t>
      </w:r>
      <w:r>
        <w:rPr>
          <w:rFonts w:hint="eastAsia" w:ascii="宋体" w:hAnsi="宋体" w:eastAsia="宋体" w:cs="宋体"/>
          <w:color w:val="auto"/>
          <w:spacing w:val="1"/>
          <w:sz w:val="24"/>
          <w:szCs w:val="24"/>
          <w:highlight w:val="none"/>
        </w:rPr>
        <w:t>分钟内）内</w:t>
      </w:r>
      <w:bookmarkStart w:id="63" w:name="bookmark122"/>
      <w:bookmarkEnd w:id="63"/>
      <w:r>
        <w:rPr>
          <w:rFonts w:hint="eastAsia" w:ascii="宋体" w:hAnsi="宋体" w:eastAsia="宋体" w:cs="宋体"/>
          <w:color w:val="auto"/>
          <w:spacing w:val="-1"/>
          <w:sz w:val="24"/>
          <w:szCs w:val="24"/>
          <w:highlight w:val="none"/>
        </w:rPr>
        <w:t>重新提交投标文件继续开标程序。</w:t>
      </w:r>
    </w:p>
    <w:p w14:paraId="400C2A13">
      <w:pPr>
        <w:spacing w:before="114" w:line="36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12.2.2  </w:t>
      </w:r>
      <w:r>
        <w:rPr>
          <w:rFonts w:hint="eastAsia" w:ascii="宋体" w:hAnsi="宋体" w:eastAsia="宋体" w:cs="宋体"/>
          <w:color w:val="auto"/>
          <w:spacing w:val="-1"/>
          <w:sz w:val="24"/>
          <w:szCs w:val="24"/>
          <w:highlight w:val="none"/>
        </w:rPr>
        <w:t>评标时突发情况的补救方案</w:t>
      </w:r>
    </w:p>
    <w:p w14:paraId="5C5AD13B">
      <w:pPr>
        <w:spacing w:before="114" w:line="360" w:lineRule="auto"/>
        <w:ind w:right="81" w:firstLine="47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在评标过程中，因主场或副场网络故障、电子设备或者</w:t>
      </w:r>
      <w:r>
        <w:rPr>
          <w:rFonts w:hint="eastAsia" w:ascii="宋体" w:hAnsi="宋体" w:eastAsia="宋体" w:cs="宋体"/>
          <w:color w:val="auto"/>
          <w:spacing w:val="-2"/>
          <w:sz w:val="24"/>
          <w:szCs w:val="24"/>
          <w:highlight w:val="none"/>
        </w:rPr>
        <w:t>评标系统故障，以及其他</w:t>
      </w:r>
      <w:r>
        <w:rPr>
          <w:rFonts w:hint="eastAsia" w:ascii="宋体" w:hAnsi="宋体" w:eastAsia="宋体" w:cs="宋体"/>
          <w:color w:val="auto"/>
          <w:spacing w:val="-3"/>
          <w:sz w:val="24"/>
          <w:szCs w:val="24"/>
          <w:highlight w:val="none"/>
        </w:rPr>
        <w:t>原因导致无法继续进行评标时，在</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3"/>
          <w:sz w:val="24"/>
          <w:szCs w:val="24"/>
          <w:highlight w:val="none"/>
        </w:rPr>
        <w:t>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3"/>
          <w:sz w:val="24"/>
          <w:szCs w:val="24"/>
          <w:highlight w:val="none"/>
        </w:rPr>
        <w:t>小时以内解除故障的可继续评标，超过</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3"/>
          <w:sz w:val="24"/>
          <w:szCs w:val="24"/>
          <w:highlight w:val="none"/>
        </w:rPr>
        <w:t>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3"/>
          <w:sz w:val="24"/>
          <w:szCs w:val="24"/>
          <w:highlight w:val="none"/>
        </w:rPr>
        <w:t>小时无</w:t>
      </w:r>
      <w:r>
        <w:rPr>
          <w:rFonts w:hint="eastAsia" w:ascii="宋体" w:hAnsi="宋体" w:eastAsia="宋体" w:cs="宋体"/>
          <w:color w:val="auto"/>
          <w:spacing w:val="-1"/>
          <w:sz w:val="24"/>
          <w:szCs w:val="24"/>
          <w:highlight w:val="none"/>
        </w:rPr>
        <w:t>法解除故障的，由招标人确定是否进行评标。如延期评标，</w:t>
      </w:r>
      <w:r>
        <w:rPr>
          <w:rFonts w:hint="eastAsia" w:ascii="宋体" w:hAnsi="宋体" w:eastAsia="宋体" w:cs="宋体"/>
          <w:color w:val="auto"/>
          <w:spacing w:val="-2"/>
          <w:sz w:val="24"/>
          <w:szCs w:val="24"/>
          <w:highlight w:val="none"/>
        </w:rPr>
        <w:t>招标人及参与评标活动的</w:t>
      </w:r>
      <w:r>
        <w:rPr>
          <w:rFonts w:hint="eastAsia" w:ascii="宋体" w:hAnsi="宋体" w:eastAsia="宋体" w:cs="宋体"/>
          <w:color w:val="auto"/>
          <w:spacing w:val="-1"/>
          <w:sz w:val="24"/>
          <w:szCs w:val="24"/>
          <w:highlight w:val="none"/>
        </w:rPr>
        <w:t>各方主体及其有关工作人员应当配合主场、副场做好招投标</w:t>
      </w:r>
      <w:r>
        <w:rPr>
          <w:rFonts w:hint="eastAsia" w:ascii="宋体" w:hAnsi="宋体" w:eastAsia="宋体" w:cs="宋体"/>
          <w:color w:val="auto"/>
          <w:spacing w:val="-2"/>
          <w:sz w:val="24"/>
          <w:szCs w:val="24"/>
          <w:highlight w:val="none"/>
        </w:rPr>
        <w:t>资料的封存和保密工作，</w:t>
      </w:r>
      <w:r>
        <w:rPr>
          <w:rFonts w:hint="eastAsia" w:ascii="宋体" w:hAnsi="宋体" w:eastAsia="宋体" w:cs="宋体"/>
          <w:color w:val="auto"/>
          <w:spacing w:val="-1"/>
          <w:sz w:val="24"/>
          <w:szCs w:val="24"/>
          <w:highlight w:val="none"/>
        </w:rPr>
        <w:t>另行组建评标委员会重新评标。原评标委员会成员应当对评</w:t>
      </w:r>
      <w:r>
        <w:rPr>
          <w:rFonts w:hint="eastAsia" w:ascii="宋体" w:hAnsi="宋体" w:eastAsia="宋体" w:cs="宋体"/>
          <w:color w:val="auto"/>
          <w:spacing w:val="-2"/>
          <w:sz w:val="24"/>
          <w:szCs w:val="24"/>
          <w:highlight w:val="none"/>
        </w:rPr>
        <w:t>标情况保密，不得对外透</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露与评标有关的任何信息与情况。</w:t>
      </w:r>
    </w:p>
    <w:p w14:paraId="13DA5277">
      <w:pPr>
        <w:spacing w:before="69" w:line="360" w:lineRule="auto"/>
        <w:ind w:left="11" w:right="81" w:firstLine="484"/>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12.2.3  </w:t>
      </w:r>
      <w:r>
        <w:rPr>
          <w:rFonts w:hint="eastAsia" w:ascii="宋体" w:hAnsi="宋体" w:eastAsia="宋体" w:cs="宋体"/>
          <w:color w:val="auto"/>
          <w:spacing w:val="-1"/>
          <w:sz w:val="24"/>
          <w:szCs w:val="24"/>
          <w:highlight w:val="none"/>
        </w:rPr>
        <w:t>除发生上述情况外，开标评标均以投标人（联合体投标的，由联合体牵头人）通过交易平台网上递交的电子投标文件为准。</w:t>
      </w:r>
    </w:p>
    <w:p w14:paraId="392F6788">
      <w:pPr>
        <w:spacing w:before="78" w:line="360" w:lineRule="auto"/>
        <w:ind w:left="496"/>
        <w:outlineLvl w:val="2"/>
        <w:rPr>
          <w:rFonts w:hint="eastAsia" w:ascii="宋体" w:hAnsi="宋体" w:eastAsia="宋体" w:cs="宋体"/>
          <w:color w:val="auto"/>
          <w:sz w:val="24"/>
          <w:szCs w:val="24"/>
          <w:highlight w:val="none"/>
        </w:rPr>
      </w:pPr>
      <w:bookmarkStart w:id="64" w:name="_Toc20940"/>
      <w:bookmarkStart w:id="65" w:name="_Toc1005"/>
      <w:r>
        <w:rPr>
          <w:rFonts w:hint="eastAsia" w:ascii="宋体" w:hAnsi="宋体" w:eastAsia="宋体" w:cs="宋体"/>
          <w:b/>
          <w:bCs/>
          <w:color w:val="auto"/>
          <w:spacing w:val="-7"/>
          <w:sz w:val="24"/>
          <w:szCs w:val="24"/>
          <w:highlight w:val="none"/>
        </w:rPr>
        <w:t>13</w:t>
      </w:r>
      <w:r>
        <w:rPr>
          <w:rFonts w:hint="eastAsia" w:ascii="宋体" w:hAnsi="宋体" w:eastAsia="宋体" w:cs="宋体"/>
          <w:b/>
          <w:bCs/>
          <w:color w:val="auto"/>
          <w:spacing w:val="-23"/>
          <w:sz w:val="24"/>
          <w:szCs w:val="24"/>
          <w:highlight w:val="none"/>
          <w:lang w:eastAsia="zh-CN"/>
        </w:rPr>
        <w:t>.</w:t>
      </w:r>
      <w:r>
        <w:rPr>
          <w:rFonts w:hint="eastAsia" w:ascii="宋体" w:hAnsi="宋体" w:eastAsia="宋体" w:cs="宋体"/>
          <w:b/>
          <w:bCs/>
          <w:color w:val="auto"/>
          <w:spacing w:val="-7"/>
          <w:sz w:val="24"/>
          <w:szCs w:val="24"/>
          <w:highlight w:val="none"/>
        </w:rPr>
        <w:t>投标文件的提交</w:t>
      </w:r>
      <w:bookmarkEnd w:id="64"/>
      <w:bookmarkEnd w:id="65"/>
    </w:p>
    <w:p w14:paraId="1C80FDFD">
      <w:pPr>
        <w:keepNext w:val="0"/>
        <w:keepLines w:val="0"/>
        <w:pageBreakBefore w:val="0"/>
        <w:widowControl w:val="0"/>
        <w:kinsoku w:val="0"/>
        <w:wordWrap/>
        <w:overflowPunct/>
        <w:topLinePunct w:val="0"/>
        <w:autoSpaceDE w:val="0"/>
        <w:autoSpaceDN w:val="0"/>
        <w:bidi w:val="0"/>
        <w:adjustRightInd w:val="0"/>
        <w:snapToGrid w:val="0"/>
        <w:spacing w:before="123" w:line="360" w:lineRule="auto"/>
        <w:ind w:left="13" w:right="81" w:firstLine="482"/>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1"/>
          <w:sz w:val="24"/>
          <w:szCs w:val="24"/>
          <w:highlight w:val="none"/>
        </w:rPr>
        <w:t xml:space="preserve">13.1  </w:t>
      </w:r>
      <w:r>
        <w:rPr>
          <w:rFonts w:hint="eastAsia" w:ascii="宋体" w:hAnsi="宋体" w:eastAsia="宋体" w:cs="宋体"/>
          <w:color w:val="auto"/>
          <w:spacing w:val="-11"/>
          <w:sz w:val="24"/>
          <w:szCs w:val="24"/>
          <w:highlight w:val="none"/>
        </w:rPr>
        <w:t>在投标文件提交截止时间前，投标人通过全国公共资源交易平台（</w:t>
      </w:r>
      <w:r>
        <w:rPr>
          <w:rFonts w:hint="eastAsia" w:ascii="宋体" w:hAnsi="宋体" w:eastAsia="宋体" w:cs="宋体"/>
          <w:color w:val="auto"/>
          <w:spacing w:val="-12"/>
          <w:sz w:val="24"/>
          <w:szCs w:val="24"/>
          <w:highlight w:val="none"/>
        </w:rPr>
        <w:t>广东省·韶</w:t>
      </w:r>
      <w:r>
        <w:rPr>
          <w:rFonts w:hint="eastAsia" w:ascii="宋体" w:hAnsi="宋体" w:eastAsia="宋体" w:cs="宋体"/>
          <w:color w:val="auto"/>
          <w:spacing w:val="-1"/>
          <w:sz w:val="24"/>
          <w:szCs w:val="24"/>
          <w:highlight w:val="none"/>
        </w:rPr>
        <w:t>关市）提交已加密投标文件。逾期提交的电子投标文</w:t>
      </w:r>
      <w:r>
        <w:rPr>
          <w:rFonts w:hint="eastAsia" w:ascii="宋体" w:hAnsi="宋体" w:eastAsia="宋体" w:cs="宋体"/>
          <w:color w:val="auto"/>
          <w:spacing w:val="-2"/>
          <w:sz w:val="24"/>
          <w:szCs w:val="24"/>
          <w:highlight w:val="none"/>
        </w:rPr>
        <w:t>件，全国公共资源交易平台（广</w:t>
      </w:r>
      <w:r>
        <w:rPr>
          <w:rFonts w:hint="eastAsia" w:ascii="宋体" w:hAnsi="宋体" w:eastAsia="宋体" w:cs="宋体"/>
          <w:color w:val="auto"/>
          <w:spacing w:val="-9"/>
          <w:sz w:val="24"/>
          <w:szCs w:val="24"/>
          <w:highlight w:val="none"/>
        </w:rPr>
        <w:t>东省·韶关市）将予以拒收。</w:t>
      </w:r>
    </w:p>
    <w:p w14:paraId="3E632623">
      <w:pPr>
        <w:keepNext w:val="0"/>
        <w:keepLines w:val="0"/>
        <w:pageBreakBefore w:val="0"/>
        <w:widowControl w:val="0"/>
        <w:kinsoku w:val="0"/>
        <w:wordWrap/>
        <w:overflowPunct/>
        <w:topLinePunct w:val="0"/>
        <w:autoSpaceDE w:val="0"/>
        <w:autoSpaceDN w:val="0"/>
        <w:bidi w:val="0"/>
        <w:adjustRightInd w:val="0"/>
        <w:snapToGrid w:val="0"/>
        <w:spacing w:before="115" w:line="360" w:lineRule="auto"/>
        <w:ind w:left="49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13.2  </w:t>
      </w:r>
      <w:r>
        <w:rPr>
          <w:rFonts w:hint="eastAsia" w:ascii="宋体" w:hAnsi="宋体" w:eastAsia="宋体" w:cs="宋体"/>
          <w:color w:val="auto"/>
          <w:spacing w:val="2"/>
          <w:sz w:val="24"/>
          <w:szCs w:val="24"/>
          <w:highlight w:val="none"/>
        </w:rPr>
        <w:t>提交时间和地点：见本章第二节“重要事项时间地点一览表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w:t>
      </w:r>
    </w:p>
    <w:p w14:paraId="26334082">
      <w:pPr>
        <w:keepNext w:val="0"/>
        <w:keepLines w:val="0"/>
        <w:pageBreakBefore w:val="0"/>
        <w:widowControl w:val="0"/>
        <w:kinsoku w:val="0"/>
        <w:wordWrap/>
        <w:overflowPunct/>
        <w:topLinePunct w:val="0"/>
        <w:autoSpaceDE w:val="0"/>
        <w:autoSpaceDN w:val="0"/>
        <w:bidi w:val="0"/>
        <w:adjustRightInd w:val="0"/>
        <w:snapToGrid w:val="0"/>
        <w:spacing w:before="113" w:line="360" w:lineRule="auto"/>
        <w:ind w:left="9" w:right="24" w:firstLine="48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13.3  </w:t>
      </w:r>
      <w:r>
        <w:rPr>
          <w:rFonts w:hint="eastAsia" w:ascii="宋体" w:hAnsi="宋体" w:eastAsia="宋体" w:cs="宋体"/>
          <w:color w:val="auto"/>
          <w:spacing w:val="-1"/>
          <w:sz w:val="24"/>
          <w:szCs w:val="24"/>
          <w:highlight w:val="none"/>
        </w:rPr>
        <w:t>递交时间和地点：投标人如有招标</w:t>
      </w:r>
      <w:r>
        <w:rPr>
          <w:rFonts w:hint="eastAsia" w:ascii="宋体" w:hAnsi="宋体" w:eastAsia="宋体" w:cs="宋体"/>
          <w:color w:val="auto"/>
          <w:spacing w:val="-2"/>
          <w:sz w:val="24"/>
          <w:szCs w:val="24"/>
          <w:highlight w:val="none"/>
        </w:rPr>
        <w:t>文件要求提交的用于评审的证书、证件、证明原件（附一式两份清单</w:t>
      </w:r>
      <w:r>
        <w:rPr>
          <w:rFonts w:hint="eastAsia" w:ascii="宋体" w:hAnsi="宋体" w:eastAsia="宋体" w:cs="宋体"/>
          <w:color w:val="auto"/>
          <w:spacing w:val="11"/>
          <w:sz w:val="24"/>
          <w:szCs w:val="24"/>
          <w:highlight w:val="none"/>
        </w:rPr>
        <w:t>），</w:t>
      </w:r>
      <w:r>
        <w:rPr>
          <w:rFonts w:hint="eastAsia" w:ascii="宋体" w:hAnsi="宋体" w:eastAsia="宋体" w:cs="宋体"/>
          <w:color w:val="auto"/>
          <w:spacing w:val="-2"/>
          <w:sz w:val="24"/>
          <w:szCs w:val="24"/>
          <w:highlight w:val="none"/>
        </w:rPr>
        <w:t>由投标人法定代表人或其委托代理人在指定的时间和</w:t>
      </w:r>
      <w:r>
        <w:rPr>
          <w:rFonts w:hint="eastAsia" w:ascii="宋体" w:hAnsi="宋体" w:eastAsia="宋体" w:cs="宋体"/>
          <w:color w:val="auto"/>
          <w:spacing w:val="-1"/>
          <w:sz w:val="24"/>
          <w:szCs w:val="24"/>
          <w:highlight w:val="none"/>
        </w:rPr>
        <w:t>地点递交（见“重要事项时间地点一览表</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2"/>
          <w:sz w:val="24"/>
          <w:szCs w:val="24"/>
          <w:highlight w:val="none"/>
        </w:rPr>
        <w:t>）。</w:t>
      </w:r>
    </w:p>
    <w:p w14:paraId="2BD6F997">
      <w:pPr>
        <w:keepNext w:val="0"/>
        <w:keepLines w:val="0"/>
        <w:pageBreakBefore w:val="0"/>
        <w:widowControl w:val="0"/>
        <w:kinsoku w:val="0"/>
        <w:wordWrap/>
        <w:overflowPunct/>
        <w:topLinePunct w:val="0"/>
        <w:autoSpaceDE w:val="0"/>
        <w:autoSpaceDN w:val="0"/>
        <w:bidi w:val="0"/>
        <w:adjustRightInd w:val="0"/>
        <w:snapToGrid w:val="0"/>
        <w:spacing w:before="112" w:line="360" w:lineRule="auto"/>
        <w:ind w:firstLine="478"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13.4  </w:t>
      </w:r>
      <w:r>
        <w:rPr>
          <w:rFonts w:hint="eastAsia" w:ascii="宋体" w:hAnsi="宋体" w:eastAsia="宋体" w:cs="宋体"/>
          <w:color w:val="auto"/>
          <w:spacing w:val="-1"/>
          <w:sz w:val="24"/>
          <w:szCs w:val="24"/>
          <w:highlight w:val="none"/>
        </w:rPr>
        <w:t>代理机构对因不可抗力事件造成的投</w:t>
      </w:r>
      <w:r>
        <w:rPr>
          <w:rFonts w:hint="eastAsia" w:ascii="宋体" w:hAnsi="宋体" w:eastAsia="宋体" w:cs="宋体"/>
          <w:color w:val="auto"/>
          <w:spacing w:val="-2"/>
          <w:sz w:val="24"/>
          <w:szCs w:val="24"/>
          <w:highlight w:val="none"/>
        </w:rPr>
        <w:t>标文件的损坏、丢失的，不承担责任。</w:t>
      </w:r>
    </w:p>
    <w:p w14:paraId="68873B8F">
      <w:pPr>
        <w:keepNext w:val="0"/>
        <w:keepLines w:val="0"/>
        <w:pageBreakBefore w:val="0"/>
        <w:widowControl w:val="0"/>
        <w:kinsoku w:val="0"/>
        <w:wordWrap/>
        <w:overflowPunct/>
        <w:topLinePunct w:val="0"/>
        <w:autoSpaceDE w:val="0"/>
        <w:autoSpaceDN w:val="0"/>
        <w:bidi w:val="0"/>
        <w:adjustRightInd w:val="0"/>
        <w:snapToGrid w:val="0"/>
        <w:spacing w:before="116" w:line="360" w:lineRule="auto"/>
        <w:ind w:left="49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13.5</w:t>
      </w:r>
      <w:r>
        <w:rPr>
          <w:rFonts w:hint="eastAsia" w:ascii="宋体" w:hAnsi="宋体" w:eastAsia="宋体" w:cs="宋体"/>
          <w:b/>
          <w:bCs/>
          <w:color w:val="auto"/>
          <w:spacing w:val="15"/>
          <w:sz w:val="24"/>
          <w:szCs w:val="24"/>
          <w:highlight w:val="none"/>
        </w:rPr>
        <w:t xml:space="preserve">  </w:t>
      </w:r>
      <w:r>
        <w:rPr>
          <w:rFonts w:hint="eastAsia" w:ascii="宋体" w:hAnsi="宋体" w:eastAsia="宋体" w:cs="宋体"/>
          <w:color w:val="auto"/>
          <w:spacing w:val="-1"/>
          <w:sz w:val="24"/>
          <w:szCs w:val="24"/>
          <w:highlight w:val="none"/>
        </w:rPr>
        <w:t>出现下述情形之一，属于未成功提</w:t>
      </w:r>
      <w:r>
        <w:rPr>
          <w:rFonts w:hint="eastAsia" w:ascii="宋体" w:hAnsi="宋体" w:eastAsia="宋体" w:cs="宋体"/>
          <w:color w:val="auto"/>
          <w:spacing w:val="-2"/>
          <w:sz w:val="24"/>
          <w:szCs w:val="24"/>
          <w:highlight w:val="none"/>
        </w:rPr>
        <w:t>交投标文件，按无效投标处理：</w:t>
      </w:r>
    </w:p>
    <w:p w14:paraId="00777998">
      <w:pPr>
        <w:keepNext w:val="0"/>
        <w:keepLines w:val="0"/>
        <w:pageBreakBefore w:val="0"/>
        <w:widowControl w:val="0"/>
        <w:kinsoku w:val="0"/>
        <w:wordWrap/>
        <w:overflowPunct/>
        <w:topLinePunct w:val="0"/>
        <w:autoSpaceDE w:val="0"/>
        <w:autoSpaceDN w:val="0"/>
        <w:bidi w:val="0"/>
        <w:adjustRightInd w:val="0"/>
        <w:snapToGrid w:val="0"/>
        <w:spacing w:before="115" w:line="360" w:lineRule="auto"/>
        <w:ind w:left="74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（1）至提交投标文件截止时，投标文件未完整上传及提交标书；</w:t>
      </w:r>
    </w:p>
    <w:p w14:paraId="11E2C7ED">
      <w:pPr>
        <w:keepNext w:val="0"/>
        <w:keepLines w:val="0"/>
        <w:pageBreakBefore w:val="0"/>
        <w:widowControl w:val="0"/>
        <w:kinsoku w:val="0"/>
        <w:wordWrap/>
        <w:overflowPunct/>
        <w:topLinePunct w:val="0"/>
        <w:autoSpaceDE w:val="0"/>
        <w:autoSpaceDN w:val="0"/>
        <w:bidi w:val="0"/>
        <w:adjustRightInd w:val="0"/>
        <w:snapToGrid w:val="0"/>
        <w:spacing w:before="114" w:line="360" w:lineRule="auto"/>
        <w:ind w:left="74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（2）解密失败且在规定时间内未重新提交投标文件的；</w:t>
      </w:r>
    </w:p>
    <w:p w14:paraId="0092CD89">
      <w:pPr>
        <w:keepNext w:val="0"/>
        <w:keepLines w:val="0"/>
        <w:pageBreakBefore w:val="0"/>
        <w:widowControl w:val="0"/>
        <w:kinsoku w:val="0"/>
        <w:wordWrap/>
        <w:overflowPunct/>
        <w:topLinePunct w:val="0"/>
        <w:autoSpaceDE w:val="0"/>
        <w:autoSpaceDN w:val="0"/>
        <w:bidi w:val="0"/>
        <w:adjustRightInd w:val="0"/>
        <w:snapToGrid w:val="0"/>
        <w:spacing w:before="115" w:line="360" w:lineRule="auto"/>
        <w:ind w:left="74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（3）投标文件损坏或格式不正确的；</w:t>
      </w:r>
    </w:p>
    <w:p w14:paraId="41D97A6E">
      <w:pPr>
        <w:keepNext w:val="0"/>
        <w:keepLines w:val="0"/>
        <w:pageBreakBefore w:val="0"/>
        <w:widowControl w:val="0"/>
        <w:kinsoku w:val="0"/>
        <w:wordWrap/>
        <w:overflowPunct/>
        <w:topLinePunct w:val="0"/>
        <w:autoSpaceDE w:val="0"/>
        <w:autoSpaceDN w:val="0"/>
        <w:bidi w:val="0"/>
        <w:adjustRightInd w:val="0"/>
        <w:snapToGrid w:val="0"/>
        <w:spacing w:before="115" w:line="360" w:lineRule="auto"/>
        <w:ind w:left="49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13.6  </w:t>
      </w:r>
      <w:r>
        <w:rPr>
          <w:rFonts w:hint="eastAsia" w:ascii="宋体" w:hAnsi="宋体" w:eastAsia="宋体" w:cs="宋体"/>
          <w:color w:val="auto"/>
          <w:spacing w:val="-1"/>
          <w:sz w:val="24"/>
          <w:szCs w:val="24"/>
          <w:highlight w:val="none"/>
        </w:rPr>
        <w:t>联合体投标的，由联合体牵头人按以上要求递交相关资料。</w:t>
      </w:r>
    </w:p>
    <w:p w14:paraId="12BB32A9">
      <w:pPr>
        <w:keepNext w:val="0"/>
        <w:keepLines w:val="0"/>
        <w:pageBreakBefore w:val="0"/>
        <w:widowControl w:val="0"/>
        <w:kinsoku w:val="0"/>
        <w:wordWrap/>
        <w:overflowPunct/>
        <w:topLinePunct w:val="0"/>
        <w:autoSpaceDE w:val="0"/>
        <w:autoSpaceDN w:val="0"/>
        <w:bidi w:val="0"/>
        <w:adjustRightInd w:val="0"/>
        <w:snapToGrid w:val="0"/>
        <w:spacing w:before="113" w:line="360" w:lineRule="auto"/>
        <w:ind w:left="9" w:right="24" w:firstLine="486"/>
        <w:textAlignment w:val="baseline"/>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 xml:space="preserve">13.7  </w:t>
      </w:r>
      <w:r>
        <w:rPr>
          <w:rFonts w:hint="eastAsia" w:ascii="宋体" w:hAnsi="宋体" w:eastAsia="宋体" w:cs="宋体"/>
          <w:color w:val="auto"/>
          <w:spacing w:val="-2"/>
          <w:sz w:val="24"/>
          <w:szCs w:val="24"/>
          <w:highlight w:val="none"/>
        </w:rPr>
        <w:t>招标人或其授权的招标代理机构核对、接收投标人递交的投标相关资料后，</w:t>
      </w:r>
      <w:r>
        <w:rPr>
          <w:rFonts w:hint="eastAsia" w:ascii="宋体" w:hAnsi="宋体" w:eastAsia="宋体" w:cs="宋体"/>
          <w:color w:val="auto"/>
          <w:spacing w:val="-1"/>
          <w:sz w:val="24"/>
          <w:szCs w:val="24"/>
          <w:highlight w:val="none"/>
        </w:rPr>
        <w:t>应向投标人出具标明签收</w:t>
      </w:r>
      <w:r>
        <w:rPr>
          <w:rFonts w:hint="eastAsia" w:ascii="宋体" w:hAnsi="宋体" w:eastAsia="宋体" w:cs="宋体"/>
          <w:color w:val="auto"/>
          <w:spacing w:val="-2"/>
          <w:sz w:val="24"/>
          <w:szCs w:val="24"/>
          <w:highlight w:val="none"/>
        </w:rPr>
        <w:t>人和签收时间的凭证，并妥善保管。</w:t>
      </w:r>
    </w:p>
    <w:p w14:paraId="71293AB0">
      <w:pPr>
        <w:keepNext w:val="0"/>
        <w:keepLines w:val="0"/>
        <w:pageBreakBefore w:val="0"/>
        <w:widowControl w:val="0"/>
        <w:kinsoku w:val="0"/>
        <w:wordWrap/>
        <w:overflowPunct/>
        <w:topLinePunct w:val="0"/>
        <w:autoSpaceDE w:val="0"/>
        <w:autoSpaceDN w:val="0"/>
        <w:bidi w:val="0"/>
        <w:adjustRightInd w:val="0"/>
        <w:snapToGrid w:val="0"/>
        <w:spacing w:before="113" w:line="360" w:lineRule="auto"/>
        <w:ind w:left="9" w:right="24" w:firstLine="48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13.8 </w:t>
      </w:r>
      <w:r>
        <w:rPr>
          <w:rFonts w:hint="eastAsia" w:ascii="宋体" w:hAnsi="宋体" w:eastAsia="宋体" w:cs="宋体"/>
          <w:color w:val="auto"/>
          <w:spacing w:val="-2"/>
          <w:sz w:val="24"/>
          <w:szCs w:val="24"/>
          <w:highlight w:val="none"/>
        </w:rPr>
        <w:t xml:space="preserve"> 本次招标投标有效期为</w:t>
      </w:r>
      <w:r>
        <w:rPr>
          <w:rFonts w:hint="eastAsia" w:ascii="宋体" w:hAnsi="宋体" w:eastAsia="宋体" w:cs="宋体"/>
          <w:color w:val="auto"/>
          <w:spacing w:val="-2"/>
          <w:sz w:val="24"/>
          <w:szCs w:val="24"/>
          <w:highlight w:val="none"/>
          <w:lang w:eastAsia="zh-CN"/>
        </w:rPr>
        <w:t>90</w:t>
      </w:r>
      <w:r>
        <w:rPr>
          <w:rFonts w:hint="eastAsia" w:ascii="宋体" w:hAnsi="宋体" w:eastAsia="宋体" w:cs="宋体"/>
          <w:color w:val="auto"/>
          <w:spacing w:val="-2"/>
          <w:sz w:val="24"/>
          <w:szCs w:val="24"/>
          <w:highlight w:val="none"/>
        </w:rPr>
        <w:t>个日历天，投标有效期从提交投标文件的截止之日起计算。在此期间，投标人不得撤销或修改其</w:t>
      </w:r>
      <w:r>
        <w:rPr>
          <w:rFonts w:hint="eastAsia" w:ascii="宋体" w:hAnsi="宋体" w:eastAsia="宋体" w:cs="宋体"/>
          <w:color w:val="auto"/>
          <w:spacing w:val="-7"/>
          <w:sz w:val="24"/>
          <w:szCs w:val="24"/>
          <w:highlight w:val="none"/>
        </w:rPr>
        <w:t>投标文件，否则其投标保证不予退还。</w:t>
      </w:r>
    </w:p>
    <w:p w14:paraId="05BD3EFA">
      <w:pPr>
        <w:spacing w:before="145" w:line="360" w:lineRule="auto"/>
        <w:ind w:left="496"/>
        <w:outlineLvl w:val="2"/>
        <w:rPr>
          <w:rFonts w:hint="eastAsia" w:ascii="宋体" w:hAnsi="宋体" w:eastAsia="宋体" w:cs="宋体"/>
          <w:color w:val="auto"/>
          <w:sz w:val="24"/>
          <w:szCs w:val="24"/>
          <w:highlight w:val="none"/>
        </w:rPr>
      </w:pPr>
      <w:bookmarkStart w:id="66" w:name="_Toc7252"/>
      <w:bookmarkStart w:id="67" w:name="_Toc1693"/>
      <w:r>
        <w:rPr>
          <w:rFonts w:hint="eastAsia" w:ascii="宋体" w:hAnsi="宋体" w:eastAsia="宋体" w:cs="宋体"/>
          <w:b/>
          <w:bCs/>
          <w:color w:val="auto"/>
          <w:spacing w:val="-11"/>
          <w:sz w:val="24"/>
          <w:szCs w:val="24"/>
          <w:highlight w:val="none"/>
        </w:rPr>
        <w:t>14</w:t>
      </w:r>
      <w:r>
        <w:rPr>
          <w:rFonts w:hint="eastAsia" w:ascii="宋体" w:hAnsi="宋体" w:eastAsia="宋体" w:cs="宋体"/>
          <w:b/>
          <w:bCs/>
          <w:color w:val="auto"/>
          <w:spacing w:val="-28"/>
          <w:sz w:val="24"/>
          <w:szCs w:val="24"/>
          <w:highlight w:val="none"/>
          <w:lang w:eastAsia="zh-CN"/>
        </w:rPr>
        <w:t>.</w:t>
      </w:r>
      <w:r>
        <w:rPr>
          <w:rFonts w:hint="eastAsia" w:ascii="宋体" w:hAnsi="宋体" w:eastAsia="宋体" w:cs="宋体"/>
          <w:b/>
          <w:bCs/>
          <w:color w:val="auto"/>
          <w:spacing w:val="-11"/>
          <w:sz w:val="24"/>
          <w:szCs w:val="24"/>
          <w:highlight w:val="none"/>
        </w:rPr>
        <w:t>开标</w:t>
      </w:r>
      <w:bookmarkEnd w:id="66"/>
      <w:bookmarkEnd w:id="67"/>
    </w:p>
    <w:p w14:paraId="49780A9B">
      <w:pPr>
        <w:keepNext w:val="0"/>
        <w:keepLines w:val="0"/>
        <w:pageBreakBefore w:val="0"/>
        <w:widowControl w:val="0"/>
        <w:kinsoku w:val="0"/>
        <w:overflowPunct/>
        <w:topLinePunct w:val="0"/>
        <w:autoSpaceDE w:val="0"/>
        <w:autoSpaceDN w:val="0"/>
        <w:bidi w:val="0"/>
        <w:adjustRightInd w:val="0"/>
        <w:snapToGrid w:val="0"/>
        <w:spacing w:before="155" w:line="360" w:lineRule="auto"/>
        <w:ind w:left="10" w:right="81" w:firstLine="485"/>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14.1  </w:t>
      </w:r>
      <w:r>
        <w:rPr>
          <w:rFonts w:hint="eastAsia" w:ascii="宋体" w:hAnsi="宋体" w:eastAsia="宋体" w:cs="宋体"/>
          <w:color w:val="auto"/>
          <w:spacing w:val="-3"/>
          <w:sz w:val="24"/>
          <w:szCs w:val="24"/>
          <w:highlight w:val="none"/>
        </w:rPr>
        <w:t>招标人邀请所有正确获取招标文件、电子投标、缴纳投标保证的投标人参加</w:t>
      </w:r>
      <w:r>
        <w:rPr>
          <w:rFonts w:hint="eastAsia" w:ascii="宋体" w:hAnsi="宋体" w:eastAsia="宋体" w:cs="宋体"/>
          <w:color w:val="auto"/>
          <w:spacing w:val="-1"/>
          <w:sz w:val="24"/>
          <w:szCs w:val="24"/>
          <w:highlight w:val="none"/>
        </w:rPr>
        <w:t>开标，投标人可自主决定是否参加。投标人可登陆交易平台</w:t>
      </w:r>
      <w:r>
        <w:rPr>
          <w:rFonts w:hint="eastAsia" w:ascii="宋体" w:hAnsi="宋体" w:eastAsia="宋体" w:cs="宋体"/>
          <w:color w:val="auto"/>
          <w:spacing w:val="-2"/>
          <w:sz w:val="24"/>
          <w:szCs w:val="24"/>
          <w:highlight w:val="none"/>
        </w:rPr>
        <w:t>观看开标实况、提出异议</w:t>
      </w:r>
      <w:r>
        <w:rPr>
          <w:rFonts w:hint="eastAsia" w:ascii="宋体" w:hAnsi="宋体" w:eastAsia="宋体" w:cs="宋体"/>
          <w:color w:val="auto"/>
          <w:spacing w:val="-1"/>
          <w:sz w:val="24"/>
          <w:szCs w:val="24"/>
          <w:highlight w:val="none"/>
        </w:rPr>
        <w:t>或进行澄清、确认等操作（具体按招标文件和系统操作手册</w:t>
      </w:r>
      <w:r>
        <w:rPr>
          <w:rFonts w:hint="eastAsia" w:ascii="宋体" w:hAnsi="宋体" w:eastAsia="宋体" w:cs="宋体"/>
          <w:color w:val="auto"/>
          <w:spacing w:val="-2"/>
          <w:sz w:val="24"/>
          <w:szCs w:val="24"/>
          <w:highlight w:val="none"/>
        </w:rPr>
        <w:t>为准）。投标人不参加开</w:t>
      </w:r>
      <w:bookmarkStart w:id="68" w:name="bookmark123"/>
      <w:bookmarkEnd w:id="68"/>
      <w:r>
        <w:rPr>
          <w:rFonts w:hint="eastAsia" w:ascii="宋体" w:hAnsi="宋体" w:eastAsia="宋体" w:cs="宋体"/>
          <w:color w:val="auto"/>
          <w:sz w:val="24"/>
          <w:szCs w:val="24"/>
          <w:highlight w:val="none"/>
        </w:rPr>
        <w:t>标的，视其默认开标结果，以及放弃在开标期间见证、</w:t>
      </w:r>
      <w:r>
        <w:rPr>
          <w:rFonts w:hint="eastAsia" w:ascii="宋体" w:hAnsi="宋体" w:eastAsia="宋体" w:cs="宋体"/>
          <w:color w:val="auto"/>
          <w:spacing w:val="-1"/>
          <w:sz w:val="24"/>
          <w:szCs w:val="24"/>
          <w:highlight w:val="none"/>
        </w:rPr>
        <w:t>监督、投诉、申辩的权利。</w:t>
      </w:r>
    </w:p>
    <w:p w14:paraId="3B04BEF9">
      <w:pPr>
        <w:keepNext w:val="0"/>
        <w:keepLines w:val="0"/>
        <w:pageBreakBefore w:val="0"/>
        <w:widowControl w:val="0"/>
        <w:kinsoku w:val="0"/>
        <w:overflowPunct/>
        <w:topLinePunct w:val="0"/>
        <w:autoSpaceDE w:val="0"/>
        <w:autoSpaceDN w:val="0"/>
        <w:bidi w:val="0"/>
        <w:adjustRightInd w:val="0"/>
        <w:snapToGrid w:val="0"/>
        <w:spacing w:before="156" w:line="360" w:lineRule="auto"/>
        <w:ind w:left="49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14.1.1  </w:t>
      </w:r>
      <w:r>
        <w:rPr>
          <w:rFonts w:hint="eastAsia" w:ascii="宋体" w:hAnsi="宋体" w:eastAsia="宋体" w:cs="宋体"/>
          <w:color w:val="auto"/>
          <w:sz w:val="24"/>
          <w:szCs w:val="24"/>
          <w:highlight w:val="none"/>
        </w:rPr>
        <w:t>开标时间和地点：见本章第</w:t>
      </w:r>
      <w:r>
        <w:rPr>
          <w:rFonts w:hint="eastAsia" w:ascii="宋体" w:hAnsi="宋体" w:eastAsia="宋体" w:cs="宋体"/>
          <w:color w:val="auto"/>
          <w:spacing w:val="-1"/>
          <w:sz w:val="24"/>
          <w:szCs w:val="24"/>
          <w:highlight w:val="none"/>
        </w:rPr>
        <w:t>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w:t>
      </w:r>
    </w:p>
    <w:p w14:paraId="45F6F777">
      <w:pPr>
        <w:keepNext w:val="0"/>
        <w:keepLines w:val="0"/>
        <w:pageBreakBefore w:val="0"/>
        <w:widowControl w:val="0"/>
        <w:kinsoku w:val="0"/>
        <w:wordWrap w:val="0"/>
        <w:overflowPunct/>
        <w:topLinePunct w:val="0"/>
        <w:autoSpaceDE w:val="0"/>
        <w:autoSpaceDN w:val="0"/>
        <w:bidi w:val="0"/>
        <w:adjustRightInd w:val="0"/>
        <w:snapToGrid w:val="0"/>
        <w:spacing w:before="153" w:line="360" w:lineRule="auto"/>
        <w:ind w:left="11" w:firstLine="488"/>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 xml:space="preserve">14.1.2 </w:t>
      </w:r>
      <w:r>
        <w:rPr>
          <w:rFonts w:hint="eastAsia" w:ascii="宋体" w:hAnsi="宋体" w:eastAsia="宋体" w:cs="宋体"/>
          <w:color w:val="auto"/>
          <w:spacing w:val="-7"/>
          <w:sz w:val="24"/>
          <w:szCs w:val="24"/>
          <w:highlight w:val="none"/>
        </w:rPr>
        <w:t>开标前</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7"/>
          <w:sz w:val="24"/>
          <w:szCs w:val="24"/>
          <w:highlight w:val="none"/>
        </w:rPr>
        <w:t>24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7"/>
          <w:sz w:val="24"/>
          <w:szCs w:val="24"/>
          <w:highlight w:val="none"/>
        </w:rPr>
        <w:t>小时，若建设工程交易系统显示缴</w:t>
      </w:r>
      <w:r>
        <w:rPr>
          <w:rFonts w:hint="eastAsia" w:ascii="宋体" w:hAnsi="宋体" w:eastAsia="宋体" w:cs="宋体"/>
          <w:color w:val="auto"/>
          <w:spacing w:val="-8"/>
          <w:sz w:val="24"/>
          <w:szCs w:val="24"/>
          <w:highlight w:val="none"/>
        </w:rPr>
        <w:t>纳投标保证（包括投标保证金、</w:t>
      </w:r>
      <w:r>
        <w:rPr>
          <w:rFonts w:hint="eastAsia" w:ascii="宋体" w:hAnsi="宋体" w:eastAsia="宋体" w:cs="宋体"/>
          <w:color w:val="auto"/>
          <w:spacing w:val="-2"/>
          <w:sz w:val="24"/>
          <w:szCs w:val="24"/>
          <w:highlight w:val="none"/>
        </w:rPr>
        <w:t>投标保证担保、投标保证保险）的投标人数量不足</w:t>
      </w:r>
      <w:r>
        <w:rPr>
          <w:rFonts w:hint="eastAsia" w:ascii="宋体" w:hAnsi="宋体" w:eastAsia="宋体" w:cs="宋体"/>
          <w:color w:val="auto"/>
          <w:spacing w:val="-42"/>
          <w:sz w:val="24"/>
          <w:szCs w:val="24"/>
          <w:highlight w:val="none"/>
        </w:rPr>
        <w:t xml:space="preserve"> </w:t>
      </w:r>
      <w:r>
        <w:rPr>
          <w:rFonts w:hint="eastAsia" w:ascii="宋体" w:hAnsi="宋体" w:eastAsia="宋体" w:cs="宋体"/>
          <w:color w:val="auto"/>
          <w:spacing w:val="-2"/>
          <w:sz w:val="24"/>
          <w:szCs w:val="24"/>
          <w:highlight w:val="none"/>
        </w:rPr>
        <w:t>3</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2"/>
          <w:sz w:val="24"/>
          <w:szCs w:val="24"/>
          <w:highlight w:val="none"/>
        </w:rPr>
        <w:t>个时，招标人将取消原定于次日</w:t>
      </w:r>
      <w:r>
        <w:rPr>
          <w:rFonts w:hint="eastAsia" w:ascii="宋体" w:hAnsi="宋体" w:eastAsia="宋体" w:cs="宋体"/>
          <w:color w:val="auto"/>
          <w:spacing w:val="-1"/>
          <w:sz w:val="24"/>
          <w:szCs w:val="24"/>
          <w:highlight w:val="none"/>
        </w:rPr>
        <w:t>召开的开标活动。投标人可在投标保证缴纳截止时间（见本章</w:t>
      </w:r>
      <w:r>
        <w:rPr>
          <w:rFonts w:hint="eastAsia" w:ascii="宋体" w:hAnsi="宋体" w:eastAsia="宋体" w:cs="宋体"/>
          <w:color w:val="auto"/>
          <w:spacing w:val="-2"/>
          <w:sz w:val="24"/>
          <w:szCs w:val="24"/>
          <w:highlight w:val="none"/>
        </w:rPr>
        <w:t>第二节“重要事项时间</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”）至电子投标截止时间（见本章第二节“重要事项时间地点一览</w:t>
      </w:r>
      <w:r>
        <w:rPr>
          <w:rFonts w:hint="eastAsia" w:ascii="宋体" w:hAnsi="宋体" w:eastAsia="宋体" w:cs="宋体"/>
          <w:color w:val="auto"/>
          <w:spacing w:val="-2"/>
          <w:sz w:val="24"/>
          <w:szCs w:val="24"/>
          <w:highlight w:val="none"/>
        </w:rPr>
        <w:t>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”）期间登录全国公共资源交易平台（广东省·韶关市</w:t>
      </w:r>
      <w:r>
        <w:rPr>
          <w:rFonts w:hint="eastAsia" w:ascii="宋体" w:hAnsi="宋体" w:eastAsia="宋体" w:cs="宋体"/>
          <w:color w:val="auto"/>
          <w:spacing w:val="-22"/>
          <w:sz w:val="24"/>
          <w:szCs w:val="24"/>
          <w:highlight w:val="none"/>
        </w:rPr>
        <w:t>）（</w:t>
      </w:r>
      <w:r>
        <w:rPr>
          <w:rFonts w:hint="eastAsia" w:ascii="宋体" w:hAnsi="宋体" w:eastAsia="宋体" w:cs="宋体"/>
          <w:color w:val="auto"/>
          <w:spacing w:val="-2"/>
          <w:sz w:val="24"/>
          <w:szCs w:val="24"/>
          <w:highlight w:val="none"/>
        </w:rPr>
        <w:t>https://ygp.gdzwfw.gov.cn/</w:t>
      </w:r>
      <w:r>
        <w:rPr>
          <w:rFonts w:hint="eastAsia" w:ascii="宋体" w:hAnsi="宋体" w:eastAsia="宋体" w:cs="宋体"/>
          <w:color w:val="auto"/>
          <w:sz w:val="24"/>
          <w:szCs w:val="24"/>
          <w:highlight w:val="none"/>
        </w:rPr>
        <w:t>ggzy-portal/#/440200/index）查询是否发布了取</w:t>
      </w:r>
      <w:r>
        <w:rPr>
          <w:rFonts w:hint="eastAsia" w:ascii="宋体" w:hAnsi="宋体" w:eastAsia="宋体" w:cs="宋体"/>
          <w:color w:val="auto"/>
          <w:spacing w:val="-1"/>
          <w:sz w:val="24"/>
          <w:szCs w:val="24"/>
          <w:highlight w:val="none"/>
        </w:rPr>
        <w:t>消开标活动的相关信息。</w:t>
      </w:r>
    </w:p>
    <w:p w14:paraId="3FC91C7D">
      <w:pPr>
        <w:keepNext w:val="0"/>
        <w:keepLines w:val="0"/>
        <w:pageBreakBefore w:val="0"/>
        <w:widowControl w:val="0"/>
        <w:kinsoku w:val="0"/>
        <w:overflowPunct/>
        <w:topLinePunct w:val="0"/>
        <w:autoSpaceDE w:val="0"/>
        <w:autoSpaceDN w:val="0"/>
        <w:bidi w:val="0"/>
        <w:adjustRightInd w:val="0"/>
        <w:snapToGrid w:val="0"/>
        <w:spacing w:before="159" w:line="360" w:lineRule="auto"/>
        <w:ind w:left="10" w:right="80" w:firstLine="49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14.1.3</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4"/>
          <w:sz w:val="24"/>
          <w:szCs w:val="24"/>
          <w:highlight w:val="none"/>
        </w:rPr>
        <w:t>本项目实行全流程电子化招标投标，投标人在交易平台按要求上传加盖电</w:t>
      </w:r>
      <w:r>
        <w:rPr>
          <w:rFonts w:hint="eastAsia" w:ascii="宋体" w:hAnsi="宋体" w:eastAsia="宋体" w:cs="宋体"/>
          <w:color w:val="auto"/>
          <w:spacing w:val="-1"/>
          <w:sz w:val="24"/>
          <w:szCs w:val="24"/>
          <w:highlight w:val="none"/>
        </w:rPr>
        <w:t>子印章并经加密的电子投标文件，并在交易平台录入准确的</w:t>
      </w:r>
      <w:r>
        <w:rPr>
          <w:rFonts w:hint="eastAsia" w:ascii="宋体" w:hAnsi="宋体" w:eastAsia="宋体" w:cs="宋体"/>
          <w:color w:val="auto"/>
          <w:spacing w:val="-2"/>
          <w:sz w:val="24"/>
          <w:szCs w:val="24"/>
          <w:highlight w:val="none"/>
        </w:rPr>
        <w:t>页码信息即可完成在线投</w:t>
      </w:r>
      <w:r>
        <w:rPr>
          <w:rFonts w:hint="eastAsia" w:ascii="宋体" w:hAnsi="宋体" w:eastAsia="宋体" w:cs="宋体"/>
          <w:color w:val="auto"/>
          <w:spacing w:val="-1"/>
          <w:sz w:val="24"/>
          <w:szCs w:val="24"/>
          <w:highlight w:val="none"/>
        </w:rPr>
        <w:t>标</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由于投标人原因导致未按投标截至时限上传完整投标文</w:t>
      </w:r>
      <w:r>
        <w:rPr>
          <w:rFonts w:hint="eastAsia" w:ascii="宋体" w:hAnsi="宋体" w:eastAsia="宋体" w:cs="宋体"/>
          <w:color w:val="auto"/>
          <w:spacing w:val="-2"/>
          <w:sz w:val="24"/>
          <w:szCs w:val="24"/>
          <w:highlight w:val="none"/>
        </w:rPr>
        <w:t>件、在交易平台中上传的</w:t>
      </w:r>
      <w:r>
        <w:rPr>
          <w:rFonts w:hint="eastAsia" w:ascii="宋体" w:hAnsi="宋体" w:eastAsia="宋体" w:cs="宋体"/>
          <w:color w:val="auto"/>
          <w:spacing w:val="-1"/>
          <w:sz w:val="24"/>
          <w:szCs w:val="24"/>
          <w:highlight w:val="none"/>
        </w:rPr>
        <w:t>投标文件无法解密、投标文件损坏或格式不正确、投标文件</w:t>
      </w:r>
      <w:r>
        <w:rPr>
          <w:rFonts w:hint="eastAsia" w:ascii="宋体" w:hAnsi="宋体" w:eastAsia="宋体" w:cs="宋体"/>
          <w:color w:val="auto"/>
          <w:spacing w:val="-2"/>
          <w:sz w:val="24"/>
          <w:szCs w:val="24"/>
          <w:highlight w:val="none"/>
        </w:rPr>
        <w:t>未按招标文件要求加盖电</w:t>
      </w:r>
      <w:r>
        <w:rPr>
          <w:rFonts w:hint="eastAsia" w:ascii="宋体" w:hAnsi="宋体" w:eastAsia="宋体" w:cs="宋体"/>
          <w:color w:val="auto"/>
          <w:spacing w:val="-1"/>
          <w:sz w:val="24"/>
          <w:szCs w:val="24"/>
          <w:highlight w:val="none"/>
        </w:rPr>
        <w:t>子印章或电子印章不完整、电子投标文件解密失败且未按要</w:t>
      </w:r>
      <w:r>
        <w:rPr>
          <w:rFonts w:hint="eastAsia" w:ascii="宋体" w:hAnsi="宋体" w:eastAsia="宋体" w:cs="宋体"/>
          <w:color w:val="auto"/>
          <w:spacing w:val="-2"/>
          <w:sz w:val="24"/>
          <w:szCs w:val="24"/>
          <w:highlight w:val="none"/>
        </w:rPr>
        <w:t>求上传备用投标文件等情</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形导致投标无效的，由投标人自行负责。</w:t>
      </w:r>
    </w:p>
    <w:p w14:paraId="0F9F51F4">
      <w:pPr>
        <w:keepNext w:val="0"/>
        <w:keepLines w:val="0"/>
        <w:pageBreakBefore w:val="0"/>
        <w:widowControl w:val="0"/>
        <w:kinsoku w:val="0"/>
        <w:overflowPunct/>
        <w:topLinePunct w:val="0"/>
        <w:autoSpaceDE w:val="0"/>
        <w:autoSpaceDN w:val="0"/>
        <w:bidi w:val="0"/>
        <w:adjustRightInd w:val="0"/>
        <w:snapToGrid w:val="0"/>
        <w:spacing w:before="152" w:line="360" w:lineRule="auto"/>
        <w:ind w:left="49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14.2  </w:t>
      </w:r>
      <w:r>
        <w:rPr>
          <w:rFonts w:hint="eastAsia" w:ascii="宋体" w:hAnsi="宋体" w:eastAsia="宋体" w:cs="宋体"/>
          <w:color w:val="auto"/>
          <w:spacing w:val="-2"/>
          <w:sz w:val="24"/>
          <w:szCs w:val="24"/>
          <w:highlight w:val="none"/>
        </w:rPr>
        <w:t>开标程序</w:t>
      </w:r>
    </w:p>
    <w:p w14:paraId="20240125">
      <w:pPr>
        <w:keepNext w:val="0"/>
        <w:keepLines w:val="0"/>
        <w:pageBreakBefore w:val="0"/>
        <w:widowControl w:val="0"/>
        <w:kinsoku w:val="0"/>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rPr>
      </w:pPr>
      <w:bookmarkStart w:id="69" w:name="_Toc7725"/>
      <w:bookmarkStart w:id="70" w:name="_Toc10685"/>
      <w:bookmarkStart w:id="71" w:name="_Toc15587"/>
      <w:bookmarkStart w:id="72" w:name="_Toc10291"/>
      <w:r>
        <w:rPr>
          <w:rFonts w:hint="eastAsia" w:ascii="宋体" w:hAnsi="宋体" w:eastAsia="宋体" w:cs="宋体"/>
          <w:sz w:val="24"/>
          <w:szCs w:val="24"/>
        </w:rPr>
        <w:t>（1）主持人（招标人代表或招标人授权的招标代理机构人员）宣读开标纪律。</w:t>
      </w:r>
      <w:bookmarkEnd w:id="69"/>
      <w:bookmarkEnd w:id="70"/>
      <w:bookmarkEnd w:id="71"/>
      <w:bookmarkEnd w:id="72"/>
    </w:p>
    <w:p w14:paraId="42D5FB59">
      <w:pPr>
        <w:keepNext w:val="0"/>
        <w:keepLines w:val="0"/>
        <w:pageBreakBefore w:val="0"/>
        <w:widowControl w:val="0"/>
        <w:kinsoku w:val="0"/>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rPr>
      </w:pPr>
      <w:bookmarkStart w:id="73" w:name="_Toc20238"/>
      <w:bookmarkStart w:id="74" w:name="_Toc2011"/>
      <w:bookmarkStart w:id="75" w:name="_Toc16768"/>
      <w:bookmarkStart w:id="76" w:name="_Toc16292"/>
      <w:r>
        <w:rPr>
          <w:rFonts w:hint="eastAsia" w:ascii="宋体" w:hAnsi="宋体" w:eastAsia="宋体" w:cs="宋体"/>
          <w:sz w:val="24"/>
          <w:szCs w:val="24"/>
        </w:rPr>
        <w:t>（2）主持人宣布唱标人、记录人、见证人、监督人等有关人员姓名。</w:t>
      </w:r>
      <w:bookmarkEnd w:id="73"/>
      <w:bookmarkEnd w:id="74"/>
      <w:bookmarkEnd w:id="75"/>
      <w:bookmarkEnd w:id="76"/>
    </w:p>
    <w:p w14:paraId="26AA2E9E">
      <w:pPr>
        <w:keepNext w:val="0"/>
        <w:keepLines w:val="0"/>
        <w:pageBreakBefore w:val="0"/>
        <w:widowControl w:val="0"/>
        <w:kinsoku w:val="0"/>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rPr>
      </w:pPr>
      <w:bookmarkStart w:id="77" w:name="_Toc1974"/>
      <w:bookmarkStart w:id="78" w:name="_Toc31716"/>
      <w:bookmarkStart w:id="79" w:name="_Toc7714"/>
      <w:bookmarkStart w:id="80" w:name="_Toc17462"/>
      <w:r>
        <w:rPr>
          <w:rFonts w:hint="eastAsia" w:ascii="宋体" w:hAnsi="宋体" w:eastAsia="宋体" w:cs="宋体"/>
          <w:sz w:val="24"/>
          <w:szCs w:val="24"/>
        </w:rPr>
        <w:t>（3）唱标人公布在投标截止时间前进行投标文件的投标人数量和名称</w:t>
      </w:r>
      <w:bookmarkEnd w:id="77"/>
      <w:bookmarkEnd w:id="78"/>
      <w:bookmarkEnd w:id="79"/>
      <w:bookmarkEnd w:id="80"/>
    </w:p>
    <w:p w14:paraId="4A3BFA42">
      <w:pPr>
        <w:keepNext w:val="0"/>
        <w:keepLines w:val="0"/>
        <w:pageBreakBefore w:val="0"/>
        <w:widowControl w:val="0"/>
        <w:kinsoku w:val="0"/>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rPr>
      </w:pPr>
      <w:bookmarkStart w:id="81" w:name="_Toc32728"/>
      <w:bookmarkStart w:id="82" w:name="_Toc27967"/>
      <w:bookmarkStart w:id="83" w:name="_Toc20559"/>
      <w:bookmarkStart w:id="84" w:name="_Toc15860"/>
      <w:r>
        <w:rPr>
          <w:rFonts w:hint="eastAsia" w:ascii="宋体" w:hAnsi="宋体" w:eastAsia="宋体" w:cs="宋体"/>
          <w:sz w:val="24"/>
          <w:szCs w:val="24"/>
        </w:rPr>
        <w:t>（4）招标代理机构会同交易场所工作人员对投标人的电子投标信息进行解密，</w:t>
      </w:r>
      <w:bookmarkEnd w:id="81"/>
      <w:bookmarkEnd w:id="82"/>
      <w:bookmarkEnd w:id="83"/>
      <w:bookmarkEnd w:id="84"/>
    </w:p>
    <w:p w14:paraId="61CFADFE">
      <w:pPr>
        <w:keepNext w:val="0"/>
        <w:keepLines w:val="0"/>
        <w:pageBreakBefore w:val="0"/>
        <w:widowControl w:val="0"/>
        <w:kinsoku w:val="0"/>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建设工程交易系统自动生成《投标保证缴纳情况表》和《开标一览表》。</w:t>
      </w:r>
    </w:p>
    <w:p w14:paraId="34D54FFD">
      <w:pPr>
        <w:keepNext w:val="0"/>
        <w:keepLines w:val="0"/>
        <w:pageBreakBefore w:val="0"/>
        <w:widowControl w:val="0"/>
        <w:kinsoku w:val="0"/>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sz w:val="24"/>
          <w:szCs w:val="24"/>
        </w:rPr>
      </w:pPr>
      <w:bookmarkStart w:id="85" w:name="_Toc2199"/>
      <w:bookmarkStart w:id="86" w:name="_Toc28812"/>
      <w:bookmarkStart w:id="87" w:name="_Toc28266"/>
      <w:bookmarkStart w:id="88" w:name="_Toc20884"/>
      <w:r>
        <w:rPr>
          <w:rFonts w:hint="eastAsia" w:ascii="宋体" w:hAnsi="宋体" w:eastAsia="宋体" w:cs="宋体"/>
          <w:b/>
          <w:bCs/>
          <w:sz w:val="24"/>
          <w:szCs w:val="24"/>
        </w:rPr>
        <w:t>温馨提示：因本项目实行全流程电子化招标投标，投标人无须进行现场签到，可</w:t>
      </w:r>
      <w:bookmarkEnd w:id="85"/>
      <w:bookmarkEnd w:id="86"/>
      <w:bookmarkEnd w:id="87"/>
      <w:r>
        <w:rPr>
          <w:rFonts w:hint="eastAsia" w:ascii="宋体" w:hAnsi="宋体" w:eastAsia="宋体" w:cs="宋体"/>
          <w:b/>
          <w:bCs/>
          <w:sz w:val="24"/>
          <w:szCs w:val="24"/>
        </w:rPr>
        <w:t>登录交易平台观看开标实况、提出异议或进行澄清、确认等操作，对开标事项的异议未在开标期间提出的，招标</w:t>
      </w:r>
      <w:r>
        <w:rPr>
          <w:rFonts w:hint="eastAsia" w:ascii="宋体" w:hAnsi="宋体" w:eastAsia="宋体" w:cs="宋体"/>
          <w:b/>
          <w:bCs/>
          <w:sz w:val="24"/>
          <w:szCs w:val="24"/>
          <w:lang w:eastAsia="zh-CN"/>
        </w:rPr>
        <w:t>人不</w:t>
      </w:r>
      <w:r>
        <w:rPr>
          <w:rFonts w:hint="eastAsia" w:ascii="宋体" w:hAnsi="宋体" w:eastAsia="宋体" w:cs="宋体"/>
          <w:b/>
          <w:bCs/>
          <w:sz w:val="24"/>
          <w:szCs w:val="24"/>
        </w:rPr>
        <w:t>予受理。具体按招标文件和系统操作手册为准。</w:t>
      </w:r>
      <w:bookmarkEnd w:id="88"/>
    </w:p>
    <w:p w14:paraId="71121C40">
      <w:pPr>
        <w:spacing w:before="143" w:line="360" w:lineRule="auto"/>
        <w:ind w:left="11" w:right="80" w:firstLine="48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14.3  </w:t>
      </w:r>
      <w:r>
        <w:rPr>
          <w:rFonts w:hint="eastAsia" w:ascii="宋体" w:hAnsi="宋体" w:eastAsia="宋体" w:cs="宋体"/>
          <w:color w:val="auto"/>
          <w:spacing w:val="-3"/>
          <w:sz w:val="24"/>
          <w:szCs w:val="24"/>
          <w:highlight w:val="none"/>
        </w:rPr>
        <w:t>投标人对开标相关事项（如开标程序等）有异议的，必须在开标期间和开标</w:t>
      </w:r>
      <w:r>
        <w:rPr>
          <w:rFonts w:hint="eastAsia" w:ascii="宋体" w:hAnsi="宋体" w:eastAsia="宋体" w:cs="宋体"/>
          <w:color w:val="auto"/>
          <w:spacing w:val="-1"/>
          <w:sz w:val="24"/>
          <w:szCs w:val="24"/>
          <w:highlight w:val="none"/>
        </w:rPr>
        <w:t>现场提出，招标人或其授权的招标代理机构应当场作出答</w:t>
      </w:r>
      <w:r>
        <w:rPr>
          <w:rFonts w:hint="eastAsia" w:ascii="宋体" w:hAnsi="宋体" w:eastAsia="宋体" w:cs="宋体"/>
          <w:color w:val="auto"/>
          <w:spacing w:val="-2"/>
          <w:sz w:val="24"/>
          <w:szCs w:val="24"/>
          <w:highlight w:val="none"/>
        </w:rPr>
        <w:t>复，并记录在案。对开标事</w:t>
      </w:r>
      <w:r>
        <w:rPr>
          <w:rFonts w:hint="eastAsia" w:ascii="宋体" w:hAnsi="宋体" w:eastAsia="宋体" w:cs="宋体"/>
          <w:color w:val="auto"/>
          <w:spacing w:val="-1"/>
          <w:sz w:val="24"/>
          <w:szCs w:val="24"/>
          <w:highlight w:val="none"/>
        </w:rPr>
        <w:t>项的异议未在开标期间和开标现场提出的，招标人不予受理。</w:t>
      </w:r>
    </w:p>
    <w:p w14:paraId="429DB52E">
      <w:pPr>
        <w:spacing w:before="155" w:line="360" w:lineRule="auto"/>
        <w:ind w:left="8" w:right="82" w:firstLine="487"/>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14.4</w:t>
      </w:r>
      <w:r>
        <w:rPr>
          <w:rFonts w:hint="eastAsia" w:ascii="宋体" w:hAnsi="宋体" w:eastAsia="宋体" w:cs="宋体"/>
          <w:b/>
          <w:bCs/>
          <w:color w:val="auto"/>
          <w:spacing w:val="-1"/>
          <w:sz w:val="24"/>
          <w:szCs w:val="24"/>
          <w:highlight w:val="none"/>
          <w:lang w:val="en-US" w:eastAsia="zh-CN"/>
        </w:rPr>
        <w:t xml:space="preserve"> </w:t>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招标代理机构将资料原件（如有）</w:t>
      </w:r>
      <w:r>
        <w:rPr>
          <w:rFonts w:hint="eastAsia" w:ascii="宋体" w:hAnsi="宋体" w:eastAsia="宋体" w:cs="宋体"/>
          <w:color w:val="auto"/>
          <w:spacing w:val="-2"/>
          <w:sz w:val="24"/>
          <w:szCs w:val="24"/>
          <w:highlight w:val="none"/>
        </w:rPr>
        <w:t>、《开标一览表》以及其他有关资料移交评标委员会。</w:t>
      </w:r>
    </w:p>
    <w:p w14:paraId="332FDB46">
      <w:pPr>
        <w:spacing w:before="78" w:line="360" w:lineRule="auto"/>
        <w:ind w:left="496"/>
        <w:outlineLvl w:val="2"/>
        <w:rPr>
          <w:rFonts w:hint="eastAsia" w:ascii="宋体" w:hAnsi="宋体" w:eastAsia="宋体" w:cs="宋体"/>
          <w:color w:val="auto"/>
          <w:highlight w:val="none"/>
        </w:rPr>
      </w:pPr>
      <w:bookmarkStart w:id="89" w:name="_Toc31540"/>
      <w:bookmarkStart w:id="90" w:name="_Toc24574"/>
      <w:r>
        <w:rPr>
          <w:rFonts w:hint="eastAsia" w:ascii="宋体" w:hAnsi="宋体" w:eastAsia="宋体" w:cs="宋体"/>
          <w:b/>
          <w:bCs/>
          <w:color w:val="auto"/>
          <w:spacing w:val="-11"/>
          <w:sz w:val="24"/>
          <w:szCs w:val="24"/>
          <w:highlight w:val="none"/>
        </w:rPr>
        <w:t>15</w:t>
      </w:r>
      <w:r>
        <w:rPr>
          <w:rFonts w:hint="eastAsia" w:ascii="宋体" w:hAnsi="宋体" w:eastAsia="宋体" w:cs="宋体"/>
          <w:b/>
          <w:bCs/>
          <w:color w:val="auto"/>
          <w:spacing w:val="-11"/>
          <w:sz w:val="24"/>
          <w:szCs w:val="24"/>
          <w:highlight w:val="none"/>
          <w:lang w:val="en-US" w:eastAsia="zh-CN"/>
        </w:rPr>
        <w:t>.</w:t>
      </w:r>
      <w:r>
        <w:rPr>
          <w:rFonts w:hint="eastAsia" w:ascii="宋体" w:hAnsi="宋体" w:eastAsia="宋体" w:cs="宋体"/>
          <w:b/>
          <w:bCs/>
          <w:color w:val="auto"/>
          <w:spacing w:val="-11"/>
          <w:sz w:val="24"/>
          <w:szCs w:val="24"/>
          <w:highlight w:val="none"/>
        </w:rPr>
        <w:t>评标</w:t>
      </w:r>
      <w:bookmarkEnd w:id="89"/>
      <w:bookmarkEnd w:id="90"/>
    </w:p>
    <w:p w14:paraId="09BD37D5">
      <w:pPr>
        <w:spacing w:before="78" w:line="360" w:lineRule="auto"/>
        <w:ind w:left="8" w:right="65" w:firstLine="480"/>
        <w:rPr>
          <w:rFonts w:hint="eastAsia" w:ascii="宋体" w:hAnsi="宋体" w:eastAsia="宋体" w:cs="宋体"/>
          <w:color w:val="auto"/>
          <w:sz w:val="24"/>
          <w:szCs w:val="24"/>
          <w:highlight w:val="none"/>
        </w:rPr>
      </w:pPr>
      <w:bookmarkStart w:id="91" w:name="bookmark124"/>
      <w:bookmarkEnd w:id="91"/>
      <w:r>
        <w:rPr>
          <w:rFonts w:hint="eastAsia" w:ascii="宋体" w:hAnsi="宋体" w:eastAsia="宋体" w:cs="宋体"/>
          <w:color w:val="auto"/>
          <w:spacing w:val="-1"/>
          <w:sz w:val="24"/>
          <w:szCs w:val="24"/>
          <w:highlight w:val="none"/>
        </w:rPr>
        <w:t>评标分为初步评审和详细评审两个阶段，由评标委员会</w:t>
      </w:r>
      <w:r>
        <w:rPr>
          <w:rFonts w:hint="eastAsia" w:ascii="宋体" w:hAnsi="宋体" w:eastAsia="宋体" w:cs="宋体"/>
          <w:color w:val="auto"/>
          <w:spacing w:val="-2"/>
          <w:sz w:val="24"/>
          <w:szCs w:val="24"/>
          <w:highlight w:val="none"/>
        </w:rPr>
        <w:t>在有关部门的监督下，严</w:t>
      </w:r>
      <w:r>
        <w:rPr>
          <w:rFonts w:hint="eastAsia" w:ascii="宋体" w:hAnsi="宋体" w:eastAsia="宋体" w:cs="宋体"/>
          <w:color w:val="auto"/>
          <w:spacing w:val="-1"/>
          <w:sz w:val="24"/>
          <w:szCs w:val="24"/>
          <w:highlight w:val="none"/>
        </w:rPr>
        <w:t>格按照本招标文件指定的评标方法，对投标人的投标文件进行审</w:t>
      </w:r>
      <w:r>
        <w:rPr>
          <w:rFonts w:hint="eastAsia" w:ascii="宋体" w:hAnsi="宋体" w:eastAsia="宋体" w:cs="宋体"/>
          <w:color w:val="auto"/>
          <w:spacing w:val="-2"/>
          <w:sz w:val="24"/>
          <w:szCs w:val="24"/>
          <w:highlight w:val="none"/>
        </w:rPr>
        <w:t>查、评审。评标委员</w:t>
      </w:r>
      <w:r>
        <w:rPr>
          <w:rFonts w:hint="eastAsia" w:ascii="宋体" w:hAnsi="宋体" w:eastAsia="宋体" w:cs="宋体"/>
          <w:color w:val="auto"/>
          <w:spacing w:val="2"/>
          <w:sz w:val="24"/>
          <w:szCs w:val="24"/>
          <w:highlight w:val="none"/>
        </w:rPr>
        <w:t>会完成评标后，向招标人推荐</w:t>
      </w:r>
      <w:r>
        <w:rPr>
          <w:rFonts w:hint="eastAsia" w:ascii="宋体" w:hAnsi="宋体" w:eastAsia="宋体" w:cs="宋体"/>
          <w:color w:val="auto"/>
          <w:spacing w:val="2"/>
          <w:sz w:val="24"/>
          <w:szCs w:val="24"/>
          <w:highlight w:val="none"/>
          <w:u w:val="single"/>
        </w:rPr>
        <w:t xml:space="preserve"> 3 </w:t>
      </w:r>
      <w:r>
        <w:rPr>
          <w:rFonts w:hint="eastAsia" w:ascii="宋体" w:hAnsi="宋体" w:eastAsia="宋体" w:cs="宋体"/>
          <w:color w:val="auto"/>
          <w:spacing w:val="2"/>
          <w:sz w:val="24"/>
          <w:szCs w:val="24"/>
          <w:highlight w:val="none"/>
        </w:rPr>
        <w:t>个中标候选人，并向招标人提交由全</w:t>
      </w:r>
      <w:r>
        <w:rPr>
          <w:rFonts w:hint="eastAsia" w:ascii="宋体" w:hAnsi="宋体" w:eastAsia="宋体" w:cs="宋体"/>
          <w:color w:val="auto"/>
          <w:spacing w:val="1"/>
          <w:sz w:val="24"/>
          <w:szCs w:val="24"/>
          <w:highlight w:val="none"/>
        </w:rPr>
        <w:t>体评标委员会</w:t>
      </w:r>
      <w:r>
        <w:rPr>
          <w:rFonts w:hint="eastAsia" w:ascii="宋体" w:hAnsi="宋体" w:eastAsia="宋体" w:cs="宋体"/>
          <w:color w:val="auto"/>
          <w:spacing w:val="-1"/>
          <w:sz w:val="24"/>
          <w:szCs w:val="24"/>
          <w:highlight w:val="none"/>
        </w:rPr>
        <w:t>成员签字的评标报告。</w:t>
      </w:r>
    </w:p>
    <w:p w14:paraId="51680ABE">
      <w:pPr>
        <w:spacing w:before="38" w:line="36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15.1  </w:t>
      </w:r>
      <w:r>
        <w:rPr>
          <w:rFonts w:hint="eastAsia" w:ascii="宋体" w:hAnsi="宋体" w:eastAsia="宋体" w:cs="宋体"/>
          <w:color w:val="auto"/>
          <w:spacing w:val="-2"/>
          <w:sz w:val="24"/>
          <w:szCs w:val="24"/>
          <w:highlight w:val="none"/>
        </w:rPr>
        <w:t>评标委员会</w:t>
      </w:r>
    </w:p>
    <w:p w14:paraId="5F51F9F7">
      <w:pPr>
        <w:spacing w:before="155" w:line="360" w:lineRule="auto"/>
        <w:ind w:left="10" w:right="65" w:firstLine="48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15.1.1 </w:t>
      </w:r>
      <w:r>
        <w:rPr>
          <w:rFonts w:hint="eastAsia" w:ascii="宋体" w:hAnsi="宋体" w:eastAsia="宋体" w:cs="宋体"/>
          <w:b/>
          <w:bCs/>
          <w:color w:val="auto"/>
          <w:spacing w:val="-1"/>
          <w:sz w:val="24"/>
          <w:szCs w:val="24"/>
          <w:highlight w:val="none"/>
          <w:lang w:val="en-US" w:eastAsia="zh-CN"/>
        </w:rPr>
        <w:t xml:space="preserve"> </w:t>
      </w:r>
      <w:r>
        <w:rPr>
          <w:rFonts w:hint="eastAsia" w:ascii="宋体" w:hAnsi="宋体" w:eastAsia="宋体" w:cs="宋体"/>
          <w:color w:val="auto"/>
          <w:sz w:val="24"/>
          <w:szCs w:val="24"/>
          <w:highlight w:val="none"/>
        </w:rPr>
        <w:t>评标委员会由</w:t>
      </w:r>
      <w:r>
        <w:rPr>
          <w:rFonts w:hint="eastAsia" w:ascii="宋体" w:hAnsi="宋体" w:eastAsia="宋体" w:cs="宋体"/>
          <w:color w:val="auto"/>
          <w:sz w:val="24"/>
          <w:szCs w:val="24"/>
          <w:highlight w:val="none"/>
          <w:u w:val="single"/>
        </w:rPr>
        <w:t>5</w:t>
      </w:r>
      <w:r>
        <w:rPr>
          <w:rFonts w:hint="eastAsia" w:ascii="宋体" w:hAnsi="宋体" w:eastAsia="宋体" w:cs="宋体"/>
          <w:color w:val="auto"/>
          <w:sz w:val="24"/>
          <w:szCs w:val="24"/>
          <w:highlight w:val="none"/>
        </w:rPr>
        <w:t>人组成，其中招标人代表</w:t>
      </w:r>
      <w:r>
        <w:rPr>
          <w:rFonts w:hint="eastAsia" w:ascii="宋体" w:hAnsi="宋体" w:eastAsia="宋体" w:cs="宋体"/>
          <w:color w:val="auto"/>
          <w:sz w:val="24"/>
          <w:szCs w:val="24"/>
          <w:highlight w:val="none"/>
          <w:u w:val="single"/>
        </w:rPr>
        <w:t>0</w:t>
      </w:r>
      <w:r>
        <w:rPr>
          <w:rFonts w:hint="eastAsia" w:ascii="宋体" w:hAnsi="宋体" w:eastAsia="宋体" w:cs="宋体"/>
          <w:color w:val="auto"/>
          <w:sz w:val="24"/>
          <w:szCs w:val="24"/>
          <w:highlight w:val="none"/>
        </w:rPr>
        <w:t>人，专家</w:t>
      </w:r>
      <w:r>
        <w:rPr>
          <w:rFonts w:hint="eastAsia" w:ascii="宋体" w:hAnsi="宋体" w:eastAsia="宋体" w:cs="宋体"/>
          <w:color w:val="auto"/>
          <w:sz w:val="24"/>
          <w:szCs w:val="24"/>
          <w:highlight w:val="none"/>
          <w:u w:val="single"/>
        </w:rPr>
        <w:t>5</w:t>
      </w:r>
      <w:r>
        <w:rPr>
          <w:rFonts w:hint="eastAsia" w:ascii="宋体" w:hAnsi="宋体" w:eastAsia="宋体" w:cs="宋体"/>
          <w:color w:val="auto"/>
          <w:sz w:val="24"/>
          <w:szCs w:val="24"/>
          <w:highlight w:val="none"/>
        </w:rPr>
        <w:t>人。专家从</w:t>
      </w:r>
      <w:r>
        <w:rPr>
          <w:rFonts w:hint="eastAsia" w:ascii="宋体" w:hAnsi="宋体" w:eastAsia="宋体" w:cs="宋体"/>
          <w:color w:val="auto"/>
          <w:sz w:val="24"/>
          <w:szCs w:val="24"/>
          <w:highlight w:val="none"/>
          <w:u w:val="single"/>
        </w:rPr>
        <w:t>广东省综合评标评审专家库-韶关区域</w:t>
      </w:r>
      <w:r>
        <w:rPr>
          <w:rFonts w:hint="eastAsia" w:ascii="宋体" w:hAnsi="宋体" w:eastAsia="宋体" w:cs="宋体"/>
          <w:color w:val="auto"/>
          <w:sz w:val="24"/>
          <w:szCs w:val="24"/>
          <w:highlight w:val="none"/>
        </w:rPr>
        <w:t>中随机抽取，其中技术类专家</w:t>
      </w:r>
      <w:r>
        <w:rPr>
          <w:rFonts w:hint="eastAsia" w:ascii="宋体" w:hAnsi="宋体" w:eastAsia="宋体" w:cs="宋体"/>
          <w:color w:val="auto"/>
          <w:sz w:val="24"/>
          <w:szCs w:val="24"/>
          <w:highlight w:val="none"/>
          <w:u w:val="single"/>
        </w:rPr>
        <w:t>3</w:t>
      </w:r>
      <w:r>
        <w:rPr>
          <w:rFonts w:hint="eastAsia" w:ascii="宋体" w:hAnsi="宋体" w:eastAsia="宋体" w:cs="宋体"/>
          <w:color w:val="auto"/>
          <w:sz w:val="24"/>
          <w:szCs w:val="24"/>
          <w:highlight w:val="none"/>
        </w:rPr>
        <w:t>人，经济类专家</w:t>
      </w:r>
      <w:r>
        <w:rPr>
          <w:rFonts w:hint="eastAsia" w:ascii="宋体" w:hAnsi="宋体" w:eastAsia="宋体" w:cs="宋体"/>
          <w:color w:val="auto"/>
          <w:sz w:val="24"/>
          <w:szCs w:val="24"/>
          <w:highlight w:val="none"/>
          <w:u w:val="single"/>
        </w:rPr>
        <w:t>2</w:t>
      </w:r>
      <w:r>
        <w:rPr>
          <w:rFonts w:hint="eastAsia" w:ascii="宋体" w:hAnsi="宋体" w:eastAsia="宋体" w:cs="宋体"/>
          <w:color w:val="auto"/>
          <w:sz w:val="24"/>
          <w:szCs w:val="24"/>
          <w:highlight w:val="none"/>
        </w:rPr>
        <w:t>人。</w:t>
      </w:r>
      <w:r>
        <w:rPr>
          <w:rFonts w:hint="eastAsia" w:ascii="宋体" w:hAnsi="宋体" w:eastAsia="宋体" w:cs="宋体"/>
          <w:color w:val="auto"/>
          <w:spacing w:val="-1"/>
          <w:sz w:val="24"/>
          <w:szCs w:val="24"/>
          <w:highlight w:val="none"/>
        </w:rPr>
        <w:t>评标委员会设负责人，由评标委员会成员推举产生</w:t>
      </w:r>
      <w:r>
        <w:rPr>
          <w:rFonts w:hint="eastAsia" w:ascii="宋体" w:hAnsi="宋体" w:eastAsia="宋体" w:cs="宋体"/>
          <w:color w:val="auto"/>
          <w:spacing w:val="-2"/>
          <w:sz w:val="24"/>
          <w:szCs w:val="24"/>
          <w:highlight w:val="none"/>
        </w:rPr>
        <w:t>。评标委员会负责人与评</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标委员会的其他成员有同等的表决权。</w:t>
      </w:r>
    </w:p>
    <w:p w14:paraId="571A515E">
      <w:pPr>
        <w:spacing w:before="32" w:line="360" w:lineRule="auto"/>
        <w:ind w:left="13" w:right="7" w:firstLine="561"/>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15.1.2  </w:t>
      </w:r>
      <w:r>
        <w:rPr>
          <w:rFonts w:hint="eastAsia" w:ascii="宋体" w:hAnsi="宋体" w:eastAsia="宋体" w:cs="宋体"/>
          <w:color w:val="auto"/>
          <w:spacing w:val="-2"/>
          <w:sz w:val="24"/>
          <w:szCs w:val="24"/>
          <w:highlight w:val="none"/>
        </w:rPr>
        <w:t>评标委员会应认真、公正、诚实、廉洁地履行职责。有下列情形之一的，不得担任评标委员会成员：</w:t>
      </w:r>
    </w:p>
    <w:p w14:paraId="3843C5CE">
      <w:pPr>
        <w:spacing w:before="154" w:line="360" w:lineRule="auto"/>
        <w:ind w:left="5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（1）投标人或投标人主要负责人的近亲属；</w:t>
      </w:r>
    </w:p>
    <w:p w14:paraId="059A4A5C">
      <w:pPr>
        <w:spacing w:before="153" w:line="360" w:lineRule="auto"/>
        <w:ind w:left="58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（2）项目主管部门或者行政监督部门的人员；</w:t>
      </w:r>
    </w:p>
    <w:p w14:paraId="3E73D76B">
      <w:pPr>
        <w:spacing w:before="155" w:line="360" w:lineRule="auto"/>
        <w:ind w:left="58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（3）与投标人有经济利益关系，可能影响对投标公正评审的；</w:t>
      </w:r>
    </w:p>
    <w:p w14:paraId="1AD07FB9">
      <w:pPr>
        <w:spacing w:before="153" w:line="360" w:lineRule="auto"/>
        <w:ind w:left="8" w:right="65" w:firstLine="57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（4）曾因在招标、评标以及其他与招标投标有关活动中从事违法行为而受过行政处罚或刑事处罚的。</w:t>
      </w:r>
    </w:p>
    <w:p w14:paraId="64310F5B">
      <w:pPr>
        <w:spacing w:before="155" w:line="360" w:lineRule="auto"/>
        <w:ind w:left="48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评标委员会成员有以上情形之一的，应主动提出回避。</w:t>
      </w:r>
    </w:p>
    <w:p w14:paraId="3598CEA3">
      <w:pPr>
        <w:spacing w:before="154" w:line="360" w:lineRule="auto"/>
        <w:ind w:left="8" w:right="65" w:firstLine="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15.1.3  </w:t>
      </w:r>
      <w:r>
        <w:rPr>
          <w:rFonts w:hint="eastAsia" w:ascii="宋体" w:hAnsi="宋体" w:eastAsia="宋体" w:cs="宋体"/>
          <w:color w:val="auto"/>
          <w:spacing w:val="-1"/>
          <w:sz w:val="24"/>
          <w:szCs w:val="24"/>
          <w:highlight w:val="none"/>
        </w:rPr>
        <w:t>评标全过程实行封闭式管理，在中标结果公</w:t>
      </w:r>
      <w:r>
        <w:rPr>
          <w:rFonts w:hint="eastAsia" w:ascii="宋体" w:hAnsi="宋体" w:eastAsia="宋体" w:cs="宋体"/>
          <w:color w:val="auto"/>
          <w:spacing w:val="-2"/>
          <w:sz w:val="24"/>
          <w:szCs w:val="24"/>
          <w:highlight w:val="none"/>
        </w:rPr>
        <w:t>布前，禁止评标委员会成员以</w:t>
      </w:r>
      <w:r>
        <w:rPr>
          <w:rFonts w:hint="eastAsia" w:ascii="宋体" w:hAnsi="宋体" w:eastAsia="宋体" w:cs="宋体"/>
          <w:color w:val="auto"/>
          <w:spacing w:val="-1"/>
          <w:sz w:val="24"/>
          <w:szCs w:val="24"/>
          <w:highlight w:val="none"/>
        </w:rPr>
        <w:t>任何方式私下接触投标人。</w:t>
      </w:r>
    </w:p>
    <w:p w14:paraId="1F2818F3">
      <w:pPr>
        <w:spacing w:before="157" w:line="360" w:lineRule="auto"/>
        <w:ind w:left="11" w:right="65" w:firstLine="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15.1.4  </w:t>
      </w:r>
      <w:r>
        <w:rPr>
          <w:rFonts w:hint="eastAsia" w:ascii="宋体" w:hAnsi="宋体" w:eastAsia="宋体" w:cs="宋体"/>
          <w:color w:val="auto"/>
          <w:spacing w:val="-1"/>
          <w:sz w:val="24"/>
          <w:szCs w:val="24"/>
          <w:highlight w:val="none"/>
        </w:rPr>
        <w:t>在评标过程中，评标委员会可以书面形式要</w:t>
      </w:r>
      <w:r>
        <w:rPr>
          <w:rFonts w:hint="eastAsia" w:ascii="宋体" w:hAnsi="宋体" w:eastAsia="宋体" w:cs="宋体"/>
          <w:color w:val="auto"/>
          <w:spacing w:val="-2"/>
          <w:sz w:val="24"/>
          <w:szCs w:val="24"/>
          <w:highlight w:val="none"/>
        </w:rPr>
        <w:t>求投标人对所提交的投标文件</w:t>
      </w:r>
      <w:r>
        <w:rPr>
          <w:rFonts w:hint="eastAsia" w:ascii="宋体" w:hAnsi="宋体" w:eastAsia="宋体" w:cs="宋体"/>
          <w:color w:val="auto"/>
          <w:spacing w:val="-1"/>
          <w:sz w:val="24"/>
          <w:szCs w:val="24"/>
          <w:highlight w:val="none"/>
        </w:rPr>
        <w:t>中不明确的内容进行书面澄清或说明，但不接受投标人主</w:t>
      </w:r>
      <w:r>
        <w:rPr>
          <w:rFonts w:hint="eastAsia" w:ascii="宋体" w:hAnsi="宋体" w:eastAsia="宋体" w:cs="宋体"/>
          <w:color w:val="auto"/>
          <w:spacing w:val="-2"/>
          <w:sz w:val="24"/>
          <w:szCs w:val="24"/>
          <w:highlight w:val="none"/>
        </w:rPr>
        <w:t>动提出的澄清或说明。投标</w:t>
      </w:r>
      <w:r>
        <w:rPr>
          <w:rFonts w:hint="eastAsia" w:ascii="宋体" w:hAnsi="宋体" w:eastAsia="宋体" w:cs="宋体"/>
          <w:color w:val="auto"/>
          <w:spacing w:val="-1"/>
          <w:sz w:val="24"/>
          <w:szCs w:val="24"/>
          <w:highlight w:val="none"/>
        </w:rPr>
        <w:t>人的书面澄清或说明不得改变投标文件的实质性内容，并</w:t>
      </w:r>
      <w:r>
        <w:rPr>
          <w:rFonts w:hint="eastAsia" w:ascii="宋体" w:hAnsi="宋体" w:eastAsia="宋体" w:cs="宋体"/>
          <w:color w:val="auto"/>
          <w:spacing w:val="-2"/>
          <w:sz w:val="24"/>
          <w:szCs w:val="24"/>
          <w:highlight w:val="none"/>
        </w:rPr>
        <w:t>作为投标文件的组成部分。</w:t>
      </w:r>
    </w:p>
    <w:p w14:paraId="5AEA3030">
      <w:pPr>
        <w:spacing w:before="156" w:line="360" w:lineRule="auto"/>
        <w:ind w:left="8" w:right="65" w:firstLine="569"/>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15.1.5  </w:t>
      </w:r>
      <w:r>
        <w:rPr>
          <w:rFonts w:hint="eastAsia" w:ascii="宋体" w:hAnsi="宋体" w:eastAsia="宋体" w:cs="宋体"/>
          <w:color w:val="auto"/>
          <w:spacing w:val="-3"/>
          <w:sz w:val="24"/>
          <w:szCs w:val="24"/>
          <w:highlight w:val="none"/>
        </w:rPr>
        <w:t>在任何评标环节中，当评标委员会就某</w:t>
      </w:r>
      <w:r>
        <w:rPr>
          <w:rFonts w:hint="eastAsia" w:ascii="宋体" w:hAnsi="宋体" w:eastAsia="宋体" w:cs="宋体"/>
          <w:color w:val="auto"/>
          <w:spacing w:val="-4"/>
          <w:sz w:val="24"/>
          <w:szCs w:val="24"/>
          <w:highlight w:val="none"/>
        </w:rPr>
        <w:t>项定性的评审结论不统一、需要做</w:t>
      </w:r>
      <w:r>
        <w:rPr>
          <w:rFonts w:hint="eastAsia" w:ascii="宋体" w:hAnsi="宋体" w:eastAsia="宋体" w:cs="宋体"/>
          <w:color w:val="auto"/>
          <w:spacing w:val="-1"/>
          <w:sz w:val="24"/>
          <w:szCs w:val="24"/>
          <w:highlight w:val="none"/>
        </w:rPr>
        <w:t>出表决时，由评标委员会全体成员按照少数服从多数的原则，以</w:t>
      </w:r>
      <w:r>
        <w:rPr>
          <w:rFonts w:hint="eastAsia" w:ascii="宋体" w:hAnsi="宋体" w:eastAsia="宋体" w:cs="宋体"/>
          <w:color w:val="auto"/>
          <w:spacing w:val="-2"/>
          <w:sz w:val="24"/>
          <w:szCs w:val="24"/>
          <w:highlight w:val="none"/>
        </w:rPr>
        <w:t>记名投票方式表决。</w:t>
      </w:r>
      <w:r>
        <w:rPr>
          <w:rFonts w:hint="eastAsia" w:ascii="宋体" w:hAnsi="宋体" w:eastAsia="宋体" w:cs="宋体"/>
          <w:color w:val="auto"/>
          <w:spacing w:val="-1"/>
          <w:sz w:val="24"/>
          <w:szCs w:val="24"/>
          <w:highlight w:val="none"/>
        </w:rPr>
        <w:t>评标委员会全体成员应共同遵守和执行表决结果，严禁评标委员</w:t>
      </w:r>
      <w:r>
        <w:rPr>
          <w:rFonts w:hint="eastAsia" w:ascii="宋体" w:hAnsi="宋体" w:eastAsia="宋体" w:cs="宋体"/>
          <w:color w:val="auto"/>
          <w:spacing w:val="-2"/>
          <w:sz w:val="24"/>
          <w:szCs w:val="24"/>
          <w:highlight w:val="none"/>
        </w:rPr>
        <w:t>会任何成员将个人意</w:t>
      </w:r>
      <w:r>
        <w:rPr>
          <w:rFonts w:hint="eastAsia" w:ascii="宋体" w:hAnsi="宋体" w:eastAsia="宋体" w:cs="宋体"/>
          <w:color w:val="auto"/>
          <w:spacing w:val="-1"/>
          <w:sz w:val="24"/>
          <w:szCs w:val="24"/>
          <w:highlight w:val="none"/>
        </w:rPr>
        <w:t>见强加给他人、影响评标正常秩序和妨碍评审结论的公正性。</w:t>
      </w:r>
    </w:p>
    <w:p w14:paraId="707E1AFC">
      <w:pPr>
        <w:spacing w:before="79" w:line="360" w:lineRule="auto"/>
        <w:ind w:left="577"/>
        <w:rPr>
          <w:rFonts w:hint="eastAsia" w:ascii="宋体" w:hAnsi="宋体" w:eastAsia="宋体" w:cs="宋体"/>
          <w:color w:val="auto"/>
          <w:highlight w:val="none"/>
        </w:rPr>
      </w:pPr>
      <w:r>
        <w:rPr>
          <w:rFonts w:hint="eastAsia" w:ascii="宋体" w:hAnsi="宋体" w:eastAsia="宋体" w:cs="宋体"/>
          <w:b/>
          <w:bCs/>
          <w:color w:val="auto"/>
          <w:spacing w:val="-2"/>
          <w:sz w:val="24"/>
          <w:szCs w:val="24"/>
          <w:highlight w:val="none"/>
        </w:rPr>
        <w:t xml:space="preserve">15.2  </w:t>
      </w:r>
      <w:r>
        <w:rPr>
          <w:rFonts w:hint="eastAsia" w:ascii="宋体" w:hAnsi="宋体" w:eastAsia="宋体" w:cs="宋体"/>
          <w:color w:val="auto"/>
          <w:spacing w:val="-2"/>
          <w:sz w:val="24"/>
          <w:szCs w:val="24"/>
          <w:highlight w:val="none"/>
        </w:rPr>
        <w:t>评标方法</w:t>
      </w:r>
    </w:p>
    <w:p w14:paraId="5F03C3DF">
      <w:pPr>
        <w:spacing w:before="78" w:line="360" w:lineRule="auto"/>
        <w:ind w:left="231" w:right="181" w:firstLine="560"/>
        <w:rPr>
          <w:rFonts w:hint="eastAsia" w:ascii="宋体" w:hAnsi="宋体" w:eastAsia="宋体" w:cs="宋体"/>
          <w:color w:val="auto"/>
          <w:highlight w:val="none"/>
        </w:rPr>
      </w:pPr>
      <w:bookmarkStart w:id="92" w:name="bookmark125"/>
      <w:bookmarkEnd w:id="92"/>
      <w:r>
        <w:rPr>
          <w:rFonts w:hint="eastAsia" w:ascii="宋体" w:hAnsi="宋体" w:eastAsia="宋体" w:cs="宋体"/>
          <w:color w:val="auto"/>
          <w:spacing w:val="-4"/>
          <w:sz w:val="24"/>
          <w:szCs w:val="24"/>
          <w:highlight w:val="none"/>
        </w:rPr>
        <w:t>根据有关法律、法规的相关规定，结合本招标项目资金来源和规模特点，本次招</w:t>
      </w:r>
      <w:r>
        <w:rPr>
          <w:rFonts w:hint="eastAsia" w:ascii="宋体" w:hAnsi="宋体" w:eastAsia="宋体" w:cs="宋体"/>
          <w:color w:val="auto"/>
          <w:spacing w:val="-1"/>
          <w:sz w:val="24"/>
          <w:szCs w:val="24"/>
          <w:highlight w:val="none"/>
        </w:rPr>
        <w:t>标采用</w:t>
      </w:r>
      <w:r>
        <w:rPr>
          <w:rFonts w:hint="eastAsia" w:ascii="宋体" w:hAnsi="宋体" w:eastAsia="宋体" w:cs="宋体"/>
          <w:b/>
          <w:bCs/>
          <w:color w:val="auto"/>
          <w:spacing w:val="-4"/>
          <w:sz w:val="24"/>
          <w:szCs w:val="24"/>
          <w:highlight w:val="none"/>
          <w:u w:val="single"/>
        </w:rPr>
        <w:t>综合评估法</w:t>
      </w:r>
      <w:r>
        <w:rPr>
          <w:rFonts w:hint="eastAsia" w:ascii="宋体" w:hAnsi="宋体" w:eastAsia="宋体" w:cs="宋体"/>
          <w:color w:val="auto"/>
          <w:spacing w:val="-1"/>
          <w:sz w:val="24"/>
          <w:szCs w:val="24"/>
          <w:highlight w:val="none"/>
        </w:rPr>
        <w:t>进行评标。</w:t>
      </w:r>
    </w:p>
    <w:p w14:paraId="307CD212">
      <w:pPr>
        <w:spacing w:before="154" w:line="360" w:lineRule="auto"/>
        <w:ind w:left="220" w:right="33" w:firstLine="496"/>
        <w:rPr>
          <w:rFonts w:hint="eastAsia" w:ascii="宋体" w:hAnsi="宋体" w:eastAsia="宋体" w:cs="宋体"/>
          <w:color w:val="auto"/>
          <w:sz w:val="25"/>
          <w:szCs w:val="25"/>
          <w:highlight w:val="none"/>
        </w:rPr>
      </w:pPr>
      <w:r>
        <w:rPr>
          <w:rFonts w:hint="eastAsia" w:ascii="宋体" w:hAnsi="宋体" w:eastAsia="宋体" w:cs="宋体"/>
          <w:b/>
          <w:bCs/>
          <w:color w:val="auto"/>
          <w:spacing w:val="-3"/>
          <w:sz w:val="24"/>
          <w:szCs w:val="24"/>
          <w:highlight w:val="none"/>
        </w:rPr>
        <w:t xml:space="preserve">15.3  </w:t>
      </w:r>
      <w:r>
        <w:rPr>
          <w:rFonts w:hint="eastAsia" w:ascii="宋体" w:hAnsi="宋体" w:eastAsia="宋体" w:cs="宋体"/>
          <w:color w:val="auto"/>
          <w:spacing w:val="-3"/>
          <w:sz w:val="24"/>
          <w:szCs w:val="24"/>
          <w:highlight w:val="none"/>
        </w:rPr>
        <w:t>评审范围：评标委员会应对所有投标人的投标文件进行评审。</w:t>
      </w:r>
    </w:p>
    <w:p w14:paraId="37A0E03F">
      <w:pPr>
        <w:spacing w:before="153" w:line="360" w:lineRule="auto"/>
        <w:ind w:left="71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15.4  </w:t>
      </w:r>
      <w:r>
        <w:rPr>
          <w:rFonts w:hint="eastAsia" w:ascii="宋体" w:hAnsi="宋体" w:eastAsia="宋体" w:cs="宋体"/>
          <w:color w:val="auto"/>
          <w:spacing w:val="-2"/>
          <w:sz w:val="24"/>
          <w:szCs w:val="24"/>
          <w:highlight w:val="none"/>
        </w:rPr>
        <w:t>初步评审阶段</w:t>
      </w:r>
    </w:p>
    <w:p w14:paraId="081480D6">
      <w:pPr>
        <w:spacing w:before="153" w:line="360" w:lineRule="auto"/>
        <w:ind w:left="70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初步评审阶段分为资格评审、形式评审和响应性评审三个环节。</w:t>
      </w:r>
    </w:p>
    <w:p w14:paraId="3D9CFCBF">
      <w:pPr>
        <w:keepNext w:val="0"/>
        <w:keepLines w:val="0"/>
        <w:pageBreakBefore w:val="0"/>
        <w:widowControl w:val="0"/>
        <w:overflowPunct/>
        <w:topLinePunct w:val="0"/>
        <w:bidi w:val="0"/>
        <w:adjustRightInd w:val="0"/>
        <w:snapToGrid w:val="0"/>
        <w:spacing w:before="155" w:line="360" w:lineRule="auto"/>
        <w:ind w:left="719" w:right="6303" w:hanging="3"/>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15.4.1</w:t>
      </w:r>
      <w:r>
        <w:rPr>
          <w:rFonts w:hint="eastAsia" w:ascii="宋体" w:hAnsi="宋体" w:eastAsia="宋体" w:cs="宋体"/>
          <w:b/>
          <w:bCs/>
          <w:color w:val="auto"/>
          <w:spacing w:val="9"/>
          <w:sz w:val="24"/>
          <w:szCs w:val="24"/>
          <w:highlight w:val="none"/>
        </w:rPr>
        <w:t xml:space="preserve">  </w:t>
      </w:r>
      <w:r>
        <w:rPr>
          <w:rFonts w:hint="eastAsia" w:ascii="宋体" w:hAnsi="宋体" w:eastAsia="宋体" w:cs="宋体"/>
          <w:color w:val="auto"/>
          <w:spacing w:val="-3"/>
          <w:sz w:val="24"/>
          <w:szCs w:val="24"/>
          <w:highlight w:val="none"/>
        </w:rPr>
        <w:t>资格评审</w:t>
      </w:r>
      <w:r>
        <w:rPr>
          <w:rFonts w:hint="eastAsia" w:ascii="宋体" w:hAnsi="宋体" w:eastAsia="宋体" w:cs="宋体"/>
          <w:color w:val="auto"/>
          <w:spacing w:val="-3"/>
          <w:sz w:val="24"/>
          <w:szCs w:val="24"/>
          <w:highlight w:val="none"/>
          <w:lang w:eastAsia="zh-CN"/>
        </w:rPr>
        <w:t>环</w:t>
      </w:r>
      <w:r>
        <w:rPr>
          <w:rFonts w:hint="eastAsia" w:ascii="宋体" w:hAnsi="宋体" w:eastAsia="宋体" w:cs="宋体"/>
          <w:color w:val="auto"/>
          <w:spacing w:val="-3"/>
          <w:sz w:val="24"/>
          <w:szCs w:val="24"/>
          <w:highlight w:val="none"/>
        </w:rPr>
        <w:t>节资格评审事项包括</w:t>
      </w:r>
      <w:r>
        <w:rPr>
          <w:rFonts w:hint="eastAsia" w:ascii="宋体" w:hAnsi="宋体" w:eastAsia="宋体" w:cs="宋体"/>
          <w:color w:val="auto"/>
          <w:spacing w:val="-3"/>
          <w:sz w:val="24"/>
          <w:szCs w:val="24"/>
          <w:highlight w:val="none"/>
          <w:lang w:val="en-US" w:eastAsia="zh-CN"/>
        </w:rPr>
        <w:t>:</w:t>
      </w:r>
    </w:p>
    <w:p w14:paraId="713B8C6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（1）投标人不是本次招标禁止投标条款中的单位，没有本次招标禁止投标条款中规定的任何一种情形。</w:t>
      </w:r>
    </w:p>
    <w:p w14:paraId="354177D7">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（2）投标人名称是否与营业执照、资质证书、安全生产许可证一致。</w:t>
      </w:r>
    </w:p>
    <w:p w14:paraId="27BC0916">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（3）投标人的资质是否符合招标文件规定；其营业执照、资质证书、安全生产许可证</w:t>
      </w:r>
      <w:r>
        <w:rPr>
          <w:rFonts w:hint="eastAsia" w:ascii="宋体" w:hAnsi="宋体" w:eastAsia="宋体" w:cs="宋体"/>
          <w:snapToGrid w:val="0"/>
          <w:color w:val="auto"/>
          <w:kern w:val="0"/>
          <w:sz w:val="24"/>
          <w:szCs w:val="24"/>
          <w:highlight w:val="none"/>
          <w:lang w:val="en-US" w:eastAsia="zh-CN"/>
        </w:rPr>
        <w:t>（含实时网页查询页，可参考网址https://zlaq.mohurd.gov.cn/fwmh/bjxcjgl/fwh/pages/construction_safety/qyaqscxkz/qyaqscxkz）</w:t>
      </w:r>
      <w:r>
        <w:rPr>
          <w:rFonts w:hint="eastAsia" w:ascii="宋体" w:hAnsi="宋体" w:eastAsia="宋体" w:cs="宋体"/>
          <w:snapToGrid w:val="0"/>
          <w:color w:val="auto"/>
          <w:kern w:val="0"/>
          <w:sz w:val="24"/>
          <w:szCs w:val="24"/>
          <w:highlight w:val="none"/>
        </w:rPr>
        <w:t>是否合法、有效、准确。</w:t>
      </w:r>
    </w:p>
    <w:p w14:paraId="6323BE15">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（4）《项目经理简历表》中拟派项目经理是否与《开标一览表》一致。</w:t>
      </w:r>
    </w:p>
    <w:p w14:paraId="0A6C8D3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w:t>
      </w:r>
      <w:r>
        <w:rPr>
          <w:rFonts w:hint="eastAsia" w:ascii="宋体" w:hAnsi="宋体" w:eastAsia="宋体" w:cs="宋体"/>
          <w:snapToGrid w:val="0"/>
          <w:color w:val="auto"/>
          <w:kern w:val="0"/>
          <w:sz w:val="24"/>
          <w:szCs w:val="24"/>
          <w:highlight w:val="none"/>
          <w:lang w:val="en-US" w:eastAsia="zh-CN"/>
        </w:rPr>
        <w:t>拟派项目经理、项目技术负责人、专职安全员的条件是否符合招标文件规定；拟派的项目经理是否在投标文件《项目经理简历表》中签字确认；项目技术负责人是否在投标文件《项目技术负责人简历表》中签字确认；项目管理机构组成人员的各类证书、证件、证明是否合法、有效、准确；是否擅自修改、遗漏《项目经理任职声明》的实质性内容。</w:t>
      </w:r>
    </w:p>
    <w:p w14:paraId="5E223241">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baseline"/>
        <w:rPr>
          <w:rStyle w:val="48"/>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）投标人为外省建筑企业的，是否按规定在“进粤企业和人员诚信信息登记平台”录入企业及其拟派人员有关信息并通过数据规范检查。</w:t>
      </w:r>
    </w:p>
    <w:p w14:paraId="1902FFE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baseline"/>
        <w:rPr>
          <w:rFonts w:hint="eastAsia" w:ascii="宋体" w:hAnsi="宋体" w:eastAsia="宋体" w:cs="宋体"/>
          <w:snapToGrid w:val="0"/>
          <w:color w:val="auto"/>
          <w:kern w:val="0"/>
          <w:sz w:val="24"/>
          <w:szCs w:val="24"/>
          <w:highlight w:val="none"/>
        </w:rPr>
      </w:pPr>
      <w:bookmarkStart w:id="93" w:name="_Toc15213"/>
      <w:r>
        <w:rPr>
          <w:rFonts w:hint="eastAsia" w:ascii="宋体" w:hAnsi="宋体" w:eastAsia="宋体" w:cs="宋体"/>
          <w:b/>
          <w:bCs/>
          <w:snapToGrid w:val="0"/>
          <w:color w:val="auto"/>
          <w:kern w:val="0"/>
          <w:sz w:val="24"/>
          <w:szCs w:val="24"/>
          <w:highlight w:val="none"/>
        </w:rPr>
        <w:t xml:space="preserve">15.4.2  </w:t>
      </w:r>
      <w:r>
        <w:rPr>
          <w:rFonts w:hint="eastAsia" w:ascii="宋体" w:hAnsi="宋体" w:eastAsia="宋体" w:cs="宋体"/>
          <w:snapToGrid w:val="0"/>
          <w:color w:val="auto"/>
          <w:kern w:val="0"/>
          <w:sz w:val="24"/>
          <w:szCs w:val="24"/>
          <w:highlight w:val="none"/>
        </w:rPr>
        <w:t>形式评审环节</w:t>
      </w:r>
    </w:p>
    <w:p w14:paraId="53B5F001">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形式评审事</w:t>
      </w:r>
      <w:r>
        <w:rPr>
          <w:rFonts w:hint="eastAsia" w:ascii="宋体" w:hAnsi="宋体" w:eastAsia="宋体" w:cs="宋体"/>
          <w:snapToGrid w:val="0"/>
          <w:color w:val="auto"/>
          <w:kern w:val="0"/>
          <w:sz w:val="24"/>
          <w:szCs w:val="24"/>
          <w:highlight w:val="none"/>
          <w:lang w:eastAsia="zh-CN"/>
        </w:rPr>
        <w:t>项包括</w:t>
      </w:r>
      <w:bookmarkEnd w:id="93"/>
      <w:bookmarkStart w:id="94" w:name="_Toc19814"/>
      <w:bookmarkStart w:id="95" w:name="_Toc32114"/>
      <w:bookmarkStart w:id="96" w:name="_Toc18204"/>
      <w:r>
        <w:rPr>
          <w:rFonts w:hint="eastAsia" w:ascii="宋体" w:hAnsi="宋体" w:eastAsia="宋体" w:cs="宋体"/>
          <w:snapToGrid w:val="0"/>
          <w:color w:val="auto"/>
          <w:kern w:val="0"/>
          <w:sz w:val="24"/>
          <w:szCs w:val="24"/>
          <w:highlight w:val="none"/>
          <w:lang w:eastAsia="zh-CN"/>
        </w:rPr>
        <w:t>：</w:t>
      </w:r>
    </w:p>
    <w:p w14:paraId="0A446BAB">
      <w:pPr>
        <w:keepNext w:val="0"/>
        <w:keepLines w:val="0"/>
        <w:pageBreakBefore w:val="0"/>
        <w:kinsoku/>
        <w:wordWrap w:val="0"/>
        <w:overflowPunct/>
        <w:autoSpaceDE/>
        <w:autoSpaceDN/>
        <w:bidi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bookmarkStart w:id="97" w:name="_Toc13304"/>
      <w:bookmarkStart w:id="98" w:name="_Toc23632"/>
      <w:bookmarkStart w:id="99" w:name="_Toc20481"/>
      <w:r>
        <w:rPr>
          <w:rFonts w:hint="eastAsia" w:ascii="宋体" w:hAnsi="宋体" w:eastAsia="宋体" w:cs="宋体"/>
          <w:snapToGrid w:val="0"/>
          <w:color w:val="auto"/>
          <w:kern w:val="0"/>
          <w:sz w:val="24"/>
          <w:szCs w:val="24"/>
          <w:highlight w:val="none"/>
          <w:lang w:val="en-US" w:eastAsia="en-US"/>
        </w:rPr>
        <w:t>（1）</w:t>
      </w:r>
      <w:r>
        <w:rPr>
          <w:rFonts w:hint="eastAsia" w:ascii="宋体" w:hAnsi="宋体" w:eastAsia="宋体" w:cs="宋体"/>
          <w:snapToGrid w:val="0"/>
          <w:color w:val="auto"/>
          <w:kern w:val="0"/>
          <w:sz w:val="24"/>
          <w:szCs w:val="24"/>
          <w:highlight w:val="none"/>
        </w:rPr>
        <w:t>各分册是否按招标文件规定加盖电子印章。</w:t>
      </w:r>
      <w:bookmarkEnd w:id="97"/>
      <w:bookmarkEnd w:id="98"/>
      <w:bookmarkEnd w:id="99"/>
      <w:bookmarkStart w:id="100" w:name="_Toc27432"/>
      <w:bookmarkStart w:id="101" w:name="_Toc10806"/>
      <w:bookmarkStart w:id="102" w:name="_Toc28409"/>
    </w:p>
    <w:p w14:paraId="68C4E8E4">
      <w:pPr>
        <w:keepNext w:val="0"/>
        <w:keepLines w:val="0"/>
        <w:pageBreakBefore w:val="0"/>
        <w:kinsoku/>
        <w:wordWrap w:val="0"/>
        <w:overflowPunct/>
        <w:autoSpaceDE/>
        <w:autoSpaceDN/>
        <w:bidi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本节第 10.2.2  目、第 10.3.2  目、第 10.4.3  目中规定的“所有投标人均应提</w:t>
      </w:r>
      <w:bookmarkEnd w:id="100"/>
      <w:bookmarkEnd w:id="101"/>
      <w:bookmarkEnd w:id="102"/>
      <w:r>
        <w:rPr>
          <w:rFonts w:hint="eastAsia" w:ascii="宋体" w:hAnsi="宋体" w:eastAsia="宋体" w:cs="宋体"/>
          <w:snapToGrid w:val="0"/>
          <w:color w:val="auto"/>
          <w:kern w:val="0"/>
          <w:sz w:val="24"/>
          <w:szCs w:val="24"/>
          <w:highlight w:val="none"/>
        </w:rPr>
        <w:t>供 ”的组成内容（包括该组成内容的所附资料）是否完整、齐全</w:t>
      </w:r>
      <w:r>
        <w:rPr>
          <w:rFonts w:hint="eastAsia" w:ascii="宋体" w:hAnsi="宋体" w:eastAsia="宋体" w:cs="宋体"/>
          <w:snapToGrid w:val="0"/>
          <w:color w:val="auto"/>
          <w:kern w:val="0"/>
          <w:sz w:val="24"/>
          <w:szCs w:val="24"/>
          <w:highlight w:val="none"/>
          <w:lang w:eastAsia="zh-CN"/>
        </w:rPr>
        <w:t>。</w:t>
      </w:r>
      <w:bookmarkStart w:id="103" w:name="_Toc17918"/>
      <w:bookmarkStart w:id="104" w:name="_Toc22691"/>
      <w:bookmarkStart w:id="105" w:name="_Toc9581"/>
    </w:p>
    <w:bookmarkEnd w:id="103"/>
    <w:bookmarkEnd w:id="104"/>
    <w:bookmarkEnd w:id="105"/>
    <w:p w14:paraId="06446360">
      <w:pPr>
        <w:keepNext w:val="0"/>
        <w:keepLines w:val="0"/>
        <w:pageBreakBefore w:val="0"/>
        <w:kinsoku/>
        <w:wordWrap w:val="0"/>
        <w:overflowPunct/>
        <w:autoSpaceDE/>
        <w:autoSpaceDN/>
        <w:bidi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15.4.3  </w:t>
      </w:r>
      <w:r>
        <w:rPr>
          <w:rFonts w:hint="eastAsia" w:ascii="宋体" w:hAnsi="宋体" w:eastAsia="宋体" w:cs="宋体"/>
          <w:snapToGrid w:val="0"/>
          <w:color w:val="auto"/>
          <w:kern w:val="0"/>
          <w:sz w:val="24"/>
          <w:szCs w:val="24"/>
          <w:highlight w:val="none"/>
        </w:rPr>
        <w:t>响应性评审环节</w:t>
      </w:r>
    </w:p>
    <w:p w14:paraId="5ACF1BBA">
      <w:pPr>
        <w:keepNext w:val="0"/>
        <w:keepLines w:val="0"/>
        <w:pageBreakBefore w:val="0"/>
        <w:kinsoku/>
        <w:wordWrap w:val="0"/>
        <w:overflowPunct/>
        <w:autoSpaceDE/>
        <w:autoSpaceDN/>
        <w:bidi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响应性评审事项包括：</w:t>
      </w:r>
    </w:p>
    <w:p w14:paraId="725402C3">
      <w:pPr>
        <w:keepNext w:val="0"/>
        <w:keepLines w:val="0"/>
        <w:pageBreakBefore w:val="0"/>
        <w:kinsoku/>
        <w:wordWrap w:val="0"/>
        <w:overflowPunct/>
        <w:autoSpaceDE/>
        <w:autoSpaceDN/>
        <w:bidi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（1）投标有效期、质量标准、工期等是否响应招标文件实质性要求；是否擅自修改、遗漏《投标函》《各项承诺一览表》的实质性内容。</w:t>
      </w:r>
    </w:p>
    <w:p w14:paraId="34EA9995">
      <w:pPr>
        <w:keepNext w:val="0"/>
        <w:keepLines w:val="0"/>
        <w:pageBreakBefore w:val="0"/>
        <w:kinsoku/>
        <w:wordWrap w:val="0"/>
        <w:overflowPunct/>
        <w:autoSpaceDE/>
        <w:autoSpaceDN/>
        <w:bidi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（2）编制《投标总价》的造价工程师，其注册证书是否合法、有效。</w:t>
      </w:r>
    </w:p>
    <w:p w14:paraId="6A4EB75F">
      <w:pPr>
        <w:keepNext w:val="0"/>
        <w:keepLines w:val="0"/>
        <w:pageBreakBefore w:val="0"/>
        <w:kinsoku/>
        <w:wordWrap w:val="0"/>
        <w:overflowPunct/>
        <w:autoSpaceDE/>
        <w:autoSpaceDN/>
        <w:bidi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（3）投标人委托造价咨询单位编制《投标总价》的，是否在</w:t>
      </w:r>
      <w:r>
        <w:rPr>
          <w:rFonts w:hint="eastAsia" w:ascii="宋体" w:hAnsi="宋体" w:eastAsia="宋体" w:cs="宋体"/>
          <w:snapToGrid w:val="0"/>
          <w:color w:val="auto"/>
          <w:kern w:val="0"/>
          <w:sz w:val="24"/>
          <w:szCs w:val="24"/>
          <w:highlight w:val="none"/>
          <w:lang w:val="en-US" w:eastAsia="zh-CN"/>
        </w:rPr>
        <w:t>《投标总价扉页》（即扉—3）“投标人”栏目加盖造价咨询人公章；是否提供造价咨询人的营业执照副本彩色扫描件。</w:t>
      </w:r>
    </w:p>
    <w:p w14:paraId="203652E5">
      <w:pPr>
        <w:keepNext w:val="0"/>
        <w:keepLines w:val="0"/>
        <w:pageBreakBefore w:val="0"/>
        <w:kinsoku/>
        <w:wordWrap w:val="0"/>
        <w:overflowPunct/>
        <w:autoSpaceDE/>
        <w:autoSpaceDN/>
        <w:bidi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（4）投标总价是否唯一；投标总价是否超出</w:t>
      </w:r>
      <w:r>
        <w:rPr>
          <w:rFonts w:hint="eastAsia" w:ascii="宋体" w:hAnsi="宋体" w:eastAsia="宋体" w:cs="宋体"/>
          <w:snapToGrid w:val="0"/>
          <w:color w:val="auto"/>
          <w:kern w:val="0"/>
          <w:sz w:val="24"/>
          <w:szCs w:val="24"/>
          <w:highlight w:val="none"/>
          <w:lang w:eastAsia="zh-CN"/>
        </w:rPr>
        <w:t>最高投标限价</w:t>
      </w:r>
      <w:r>
        <w:rPr>
          <w:rFonts w:hint="eastAsia" w:ascii="宋体" w:hAnsi="宋体" w:eastAsia="宋体" w:cs="宋体"/>
          <w:snapToGrid w:val="0"/>
          <w:color w:val="auto"/>
          <w:kern w:val="0"/>
          <w:sz w:val="24"/>
          <w:szCs w:val="24"/>
          <w:highlight w:val="none"/>
        </w:rPr>
        <w:t>；绿色施工安全防护措施费是否达到最低要求；暂列金额、暂估价是否按照招标工程量清单统一报价；投标人是否以低于成本的价格竞标。</w:t>
      </w:r>
    </w:p>
    <w:p w14:paraId="5276AED6">
      <w:pPr>
        <w:keepNext w:val="0"/>
        <w:keepLines w:val="0"/>
        <w:pageBreakBefore w:val="0"/>
        <w:kinsoku/>
        <w:wordWrap w:val="0"/>
        <w:overflowPunct/>
        <w:autoSpaceDE/>
        <w:autoSpaceDN/>
        <w:bidi w:val="0"/>
        <w:adjustRightInd w:val="0"/>
        <w:snapToGrid w:val="0"/>
        <w:spacing w:line="360" w:lineRule="auto"/>
        <w:ind w:firstLine="562"/>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注：如果某投标人的投标总价下浮率（投标总价下浮率＝100%－投标总价÷招标控制价×100%）超过15%，又未提供相应书面说明和佐证材料或提供的书面说明和佐证材料不能令人信服的，评标委员会应认定其以低于成本的价格竞标，并否决其投标。评标委员会接受该投标人的投标总价而未否决其投标的，应在评标报告中说明判断理由。</w:t>
      </w:r>
    </w:p>
    <w:p w14:paraId="75995BAD">
      <w:pPr>
        <w:keepNext w:val="0"/>
        <w:keepLines w:val="0"/>
        <w:pageBreakBefore w:val="0"/>
        <w:kinsoku/>
        <w:wordWrap w:val="0"/>
        <w:overflowPunct/>
        <w:autoSpaceDE/>
        <w:autoSpaceDN/>
        <w:bidi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bookmarkStart w:id="106" w:name="_Toc14163"/>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施工组织设计的质量、进度保障措施是否符合国家和省市现行有关规范、规定、标准，是否能实现工程质量、进度管理目标。</w:t>
      </w:r>
      <w:bookmarkEnd w:id="106"/>
    </w:p>
    <w:p w14:paraId="76DDDEAC">
      <w:pPr>
        <w:keepNext w:val="0"/>
        <w:keepLines w:val="0"/>
        <w:pageBreakBefore w:val="0"/>
        <w:kinsoku/>
        <w:wordWrap w:val="0"/>
        <w:overflowPunct/>
        <w:autoSpaceDE/>
        <w:autoSpaceDN/>
        <w:bidi w:val="0"/>
        <w:adjustRightInd w:val="0"/>
        <w:snapToGrid w:val="0"/>
        <w:spacing w:line="360" w:lineRule="auto"/>
        <w:ind w:firstLine="482" w:firstLineChars="200"/>
        <w:rPr>
          <w:rFonts w:hint="eastAsia" w:ascii="宋体" w:hAnsi="宋体" w:eastAsia="宋体" w:cs="宋体"/>
          <w:b/>
          <w:bCs/>
          <w:snapToGrid w:val="0"/>
          <w:color w:val="auto"/>
          <w:kern w:val="0"/>
          <w:sz w:val="24"/>
          <w:szCs w:val="24"/>
          <w:highlight w:val="none"/>
        </w:rPr>
      </w:pPr>
      <w:bookmarkStart w:id="107" w:name="_Toc29261"/>
      <w:r>
        <w:rPr>
          <w:rFonts w:hint="eastAsia" w:ascii="宋体" w:hAnsi="宋体" w:eastAsia="宋体" w:cs="宋体"/>
          <w:b/>
          <w:bCs/>
          <w:snapToGrid w:val="0"/>
          <w:color w:val="auto"/>
          <w:kern w:val="0"/>
          <w:sz w:val="24"/>
          <w:szCs w:val="24"/>
          <w:highlight w:val="none"/>
        </w:rPr>
        <w:t xml:space="preserve">15.4.4  </w:t>
      </w:r>
      <w:r>
        <w:rPr>
          <w:rFonts w:hint="eastAsia" w:ascii="宋体" w:hAnsi="宋体" w:eastAsia="宋体" w:cs="宋体"/>
          <w:b w:val="0"/>
          <w:bCs w:val="0"/>
          <w:snapToGrid w:val="0"/>
          <w:color w:val="auto"/>
          <w:kern w:val="0"/>
          <w:sz w:val="24"/>
          <w:szCs w:val="24"/>
          <w:highlight w:val="none"/>
        </w:rPr>
        <w:t>否决投标说明</w:t>
      </w:r>
      <w:bookmarkEnd w:id="94"/>
      <w:bookmarkEnd w:id="95"/>
      <w:bookmarkEnd w:id="96"/>
      <w:bookmarkEnd w:id="107"/>
    </w:p>
    <w:p w14:paraId="23A70E99">
      <w:pPr>
        <w:keepNext w:val="0"/>
        <w:keepLines w:val="0"/>
        <w:pageBreakBefore w:val="0"/>
        <w:kinsoku/>
        <w:wordWrap w:val="0"/>
        <w:overflowPunct/>
        <w:autoSpaceDE/>
        <w:autoSpaceDN/>
        <w:bidi w:val="0"/>
        <w:adjustRightInd w:val="0"/>
        <w:snapToGrid w:val="0"/>
        <w:spacing w:line="360" w:lineRule="auto"/>
        <w:ind w:firstLine="562"/>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初步评审阶段各个环节否决投标的全部条件，在本章第四节“否决投标条件”第</w:t>
      </w:r>
      <w:r>
        <w:rPr>
          <w:rFonts w:hint="eastAsia" w:ascii="宋体" w:hAnsi="宋体" w:eastAsia="宋体" w:cs="宋体"/>
          <w:b/>
          <w:bCs/>
          <w:snapToGrid w:val="0"/>
          <w:color w:val="auto"/>
          <w:kern w:val="0"/>
          <w:sz w:val="24"/>
          <w:szCs w:val="24"/>
          <w:highlight w:val="none"/>
        </w:rPr>
        <w:t>1</w:t>
      </w:r>
      <w:r>
        <w:rPr>
          <w:rFonts w:hint="eastAsia" w:ascii="宋体" w:hAnsi="宋体" w:eastAsia="宋体" w:cs="宋体"/>
          <w:snapToGrid w:val="0"/>
          <w:color w:val="auto"/>
          <w:kern w:val="0"/>
          <w:sz w:val="24"/>
          <w:szCs w:val="24"/>
          <w:highlight w:val="none"/>
        </w:rPr>
        <w:t>条至第</w:t>
      </w:r>
      <w:r>
        <w:rPr>
          <w:rFonts w:hint="eastAsia" w:ascii="宋体" w:hAnsi="宋体" w:eastAsia="宋体" w:cs="宋体"/>
          <w:b/>
          <w:bCs/>
          <w:snapToGrid w:val="0"/>
          <w:color w:val="auto"/>
          <w:kern w:val="0"/>
          <w:sz w:val="24"/>
          <w:szCs w:val="24"/>
          <w:highlight w:val="none"/>
        </w:rPr>
        <w:t>4</w:t>
      </w:r>
      <w:r>
        <w:rPr>
          <w:rFonts w:hint="eastAsia" w:ascii="宋体" w:hAnsi="宋体" w:eastAsia="宋体" w:cs="宋体"/>
          <w:snapToGrid w:val="0"/>
          <w:color w:val="auto"/>
          <w:kern w:val="0"/>
          <w:sz w:val="24"/>
          <w:szCs w:val="24"/>
          <w:highlight w:val="none"/>
        </w:rPr>
        <w:t>条中集中列示。投标人有其中所列任何一种情形的，由评标委员会否决其投标。在初步评审阶段任何环节被否决的投标人，不进入下一环节（或阶段）评审。在初步评审阶段任何环节，有效投标人数量不足3个时，招标人应依法重新组织招标。</w:t>
      </w:r>
    </w:p>
    <w:p w14:paraId="1AC88C47">
      <w:pPr>
        <w:pStyle w:val="2"/>
        <w:keepNext w:val="0"/>
        <w:keepLines w:val="0"/>
        <w:pageBreakBefore w:val="0"/>
        <w:kinsoku/>
        <w:overflowPunct/>
        <w:topLinePunct w:val="0"/>
        <w:autoSpaceDE/>
        <w:autoSpaceDN/>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温馨提示：依据2017年12月27日修改的《中华人民共和国招标投标法》“第四十二条评标委员会经评审，认为所有投标都不符合招标文件要求的，可以否决所有投标。依法必须进行招标的项目的所有投标被否决的，招标人应当依照本法重新招标。”及2018年11月29日修订的《广东省实施〈中华人民共和国招标投标法〉办法》取消“经评议有效投标的投标人少于三人”必须重新招标的限制。</w:t>
      </w:r>
    </w:p>
    <w:p w14:paraId="33BC85C8">
      <w:pPr>
        <w:spacing w:before="78" w:line="360" w:lineRule="auto"/>
        <w:ind w:left="57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drawing>
          <wp:anchor distT="0" distB="0" distL="0" distR="0" simplePos="0" relativeHeight="251659264" behindDoc="1" locked="0" layoutInCell="1" allowOverlap="1">
            <wp:simplePos x="0" y="0"/>
            <wp:positionH relativeFrom="column">
              <wp:posOffset>4789170</wp:posOffset>
            </wp:positionH>
            <wp:positionV relativeFrom="paragraph">
              <wp:posOffset>236220</wp:posOffset>
            </wp:positionV>
            <wp:extent cx="6350" cy="279400"/>
            <wp:effectExtent l="0" t="0" r="0" b="0"/>
            <wp:wrapNone/>
            <wp:docPr id="1" name="IM 46"/>
            <wp:cNvGraphicFramePr/>
            <a:graphic xmlns:a="http://schemas.openxmlformats.org/drawingml/2006/main">
              <a:graphicData uri="http://schemas.openxmlformats.org/drawingml/2006/picture">
                <pic:pic xmlns:pic="http://schemas.openxmlformats.org/drawingml/2006/picture">
                  <pic:nvPicPr>
                    <pic:cNvPr id="1" name="IM 46"/>
                    <pic:cNvPicPr/>
                  </pic:nvPicPr>
                  <pic:blipFill>
                    <a:blip r:embed="rId7"/>
                    <a:stretch>
                      <a:fillRect/>
                    </a:stretch>
                  </pic:blipFill>
                  <pic:spPr>
                    <a:xfrm>
                      <a:off x="0" y="0"/>
                      <a:ext cx="6350" cy="279400"/>
                    </a:xfrm>
                    <a:prstGeom prst="rect">
                      <a:avLst/>
                    </a:prstGeom>
                    <a:noFill/>
                    <a:ln>
                      <a:noFill/>
                    </a:ln>
                  </pic:spPr>
                </pic:pic>
              </a:graphicData>
            </a:graphic>
          </wp:anchor>
        </w:drawing>
      </w:r>
      <w:bookmarkStart w:id="108" w:name="bookmark128"/>
      <w:bookmarkEnd w:id="108"/>
      <w:r>
        <w:rPr>
          <w:rFonts w:hint="eastAsia" w:ascii="宋体" w:hAnsi="宋体" w:eastAsia="宋体" w:cs="宋体"/>
          <w:b/>
          <w:bCs/>
          <w:color w:val="auto"/>
          <w:spacing w:val="-2"/>
          <w:sz w:val="24"/>
          <w:szCs w:val="24"/>
          <w:highlight w:val="none"/>
        </w:rPr>
        <w:t xml:space="preserve">15.5  </w:t>
      </w:r>
      <w:r>
        <w:rPr>
          <w:rFonts w:hint="eastAsia" w:ascii="宋体" w:hAnsi="宋体" w:eastAsia="宋体" w:cs="宋体"/>
          <w:color w:val="auto"/>
          <w:spacing w:val="-2"/>
          <w:sz w:val="24"/>
          <w:szCs w:val="24"/>
          <w:highlight w:val="none"/>
        </w:rPr>
        <w:t>详细评审阶段</w:t>
      </w:r>
    </w:p>
    <w:p w14:paraId="434E402C">
      <w:pPr>
        <w:keepNext w:val="0"/>
        <w:keepLines w:val="0"/>
        <w:pageBreakBefore w:val="0"/>
        <w:kinsoku/>
        <w:wordWrap w:val="0"/>
        <w:overflowPunct/>
        <w:autoSpaceDE/>
        <w:autoSpaceDN/>
        <w:bidi w:val="0"/>
        <w:adjustRightInd w:val="0"/>
        <w:snapToGrid w:val="0"/>
        <w:spacing w:line="360" w:lineRule="auto"/>
        <w:ind w:firstLine="482" w:firstLineChars="200"/>
        <w:rPr>
          <w:rFonts w:hint="eastAsia" w:ascii="宋体" w:hAnsi="宋体" w:eastAsia="宋体" w:cs="宋体"/>
          <w:b w:val="0"/>
          <w:bCs w:val="0"/>
          <w:snapToGrid w:val="0"/>
          <w:color w:val="auto"/>
          <w:kern w:val="0"/>
          <w:sz w:val="24"/>
          <w:szCs w:val="24"/>
          <w:highlight w:val="none"/>
        </w:rPr>
      </w:pPr>
      <w:bookmarkStart w:id="109" w:name="_Toc10503"/>
      <w:bookmarkStart w:id="110" w:name="_Toc28572"/>
      <w:bookmarkStart w:id="111" w:name="_Toc1868"/>
      <w:bookmarkStart w:id="112" w:name="_Toc4119"/>
      <w:r>
        <w:rPr>
          <w:rFonts w:hint="eastAsia" w:ascii="宋体" w:hAnsi="宋体" w:eastAsia="宋体" w:cs="宋体"/>
          <w:b/>
          <w:bCs/>
          <w:snapToGrid w:val="0"/>
          <w:color w:val="auto"/>
          <w:kern w:val="0"/>
          <w:sz w:val="24"/>
          <w:szCs w:val="24"/>
          <w:highlight w:val="none"/>
        </w:rPr>
        <w:t xml:space="preserve">15.5.1  </w:t>
      </w:r>
      <w:r>
        <w:rPr>
          <w:rFonts w:hint="eastAsia" w:ascii="宋体" w:hAnsi="宋体" w:eastAsia="宋体" w:cs="宋体"/>
          <w:b w:val="0"/>
          <w:bCs w:val="0"/>
          <w:snapToGrid w:val="0"/>
          <w:color w:val="auto"/>
          <w:kern w:val="0"/>
          <w:sz w:val="24"/>
          <w:szCs w:val="24"/>
          <w:highlight w:val="none"/>
        </w:rPr>
        <w:t>“综合评估法 ”评审程序</w:t>
      </w:r>
      <w:bookmarkEnd w:id="109"/>
      <w:bookmarkEnd w:id="110"/>
      <w:bookmarkEnd w:id="111"/>
      <w:bookmarkEnd w:id="112"/>
    </w:p>
    <w:p w14:paraId="67130DFF">
      <w:pPr>
        <w:spacing w:before="152" w:line="360" w:lineRule="auto"/>
        <w:ind w:left="14" w:right="81" w:firstLine="47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评审内容分为商务技术和投标报价两大部分。其中，商</w:t>
      </w:r>
      <w:r>
        <w:rPr>
          <w:rFonts w:hint="eastAsia" w:ascii="宋体" w:hAnsi="宋体" w:eastAsia="宋体" w:cs="宋体"/>
          <w:color w:val="auto"/>
          <w:spacing w:val="-2"/>
          <w:sz w:val="24"/>
          <w:szCs w:val="24"/>
          <w:highlight w:val="none"/>
        </w:rPr>
        <w:t>务技术合计满分</w:t>
      </w:r>
      <w:r>
        <w:rPr>
          <w:rFonts w:hint="eastAsia" w:ascii="宋体" w:hAnsi="宋体" w:eastAsia="宋体" w:cs="宋体"/>
          <w:color w:val="auto"/>
          <w:spacing w:val="-2"/>
          <w:sz w:val="24"/>
          <w:szCs w:val="24"/>
          <w:highlight w:val="none"/>
          <w:lang w:eastAsia="zh-CN"/>
        </w:rPr>
        <w:t>100</w:t>
      </w:r>
      <w:r>
        <w:rPr>
          <w:rFonts w:hint="eastAsia" w:ascii="宋体" w:hAnsi="宋体" w:eastAsia="宋体" w:cs="宋体"/>
          <w:color w:val="auto"/>
          <w:spacing w:val="-2"/>
          <w:sz w:val="24"/>
          <w:szCs w:val="24"/>
          <w:highlight w:val="none"/>
        </w:rPr>
        <w:t>分，权重</w:t>
      </w:r>
      <w:r>
        <w:rPr>
          <w:rFonts w:hint="eastAsia" w:ascii="宋体" w:hAnsi="宋体" w:eastAsia="宋体" w:cs="宋体"/>
          <w:color w:val="auto"/>
          <w:spacing w:val="-3"/>
          <w:sz w:val="24"/>
          <w:szCs w:val="24"/>
          <w:highlight w:val="none"/>
        </w:rPr>
        <w:t>为</w:t>
      </w:r>
      <w:r>
        <w:rPr>
          <w:rFonts w:hint="eastAsia" w:ascii="宋体" w:hAnsi="宋体" w:eastAsia="宋体" w:cs="宋体"/>
          <w:color w:val="auto"/>
          <w:spacing w:val="-3"/>
          <w:sz w:val="24"/>
          <w:szCs w:val="24"/>
          <w:highlight w:val="none"/>
          <w:lang w:eastAsia="zh-CN"/>
        </w:rPr>
        <w:t>40</w:t>
      </w:r>
      <w:r>
        <w:rPr>
          <w:rFonts w:hint="eastAsia" w:ascii="宋体" w:hAnsi="宋体" w:eastAsia="宋体" w:cs="宋体"/>
          <w:color w:val="auto"/>
          <w:spacing w:val="-3"/>
          <w:sz w:val="24"/>
          <w:szCs w:val="24"/>
          <w:highlight w:val="none"/>
        </w:rPr>
        <w:t>%；投标报价满分100分，权重为</w:t>
      </w:r>
      <w:r>
        <w:rPr>
          <w:rFonts w:hint="eastAsia" w:ascii="宋体" w:hAnsi="宋体" w:eastAsia="宋体" w:cs="宋体"/>
          <w:color w:val="auto"/>
          <w:spacing w:val="-3"/>
          <w:sz w:val="24"/>
          <w:szCs w:val="24"/>
          <w:highlight w:val="none"/>
          <w:lang w:eastAsia="zh-CN"/>
        </w:rPr>
        <w:t>60</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。两大部分权重之和应为100%。</w:t>
      </w:r>
    </w:p>
    <w:p w14:paraId="3867D301">
      <w:pPr>
        <w:spacing w:before="153" w:line="360" w:lineRule="auto"/>
        <w:ind w:left="14" w:right="81"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除特别注明外，综合得分以及商务技术得分、投标报价得分的中间过程计算值和</w:t>
      </w:r>
      <w:r>
        <w:rPr>
          <w:rFonts w:hint="eastAsia" w:ascii="宋体" w:hAnsi="宋体" w:eastAsia="宋体" w:cs="宋体"/>
          <w:color w:val="auto"/>
          <w:spacing w:val="-4"/>
          <w:sz w:val="24"/>
          <w:szCs w:val="24"/>
          <w:highlight w:val="none"/>
        </w:rPr>
        <w:t>最终值，均按“</w:t>
      </w:r>
      <w:r>
        <w:rPr>
          <w:rFonts w:hint="eastAsia" w:ascii="宋体" w:hAnsi="宋体" w:eastAsia="宋体" w:cs="宋体"/>
          <w:color w:val="auto"/>
          <w:spacing w:val="-78"/>
          <w:sz w:val="24"/>
          <w:szCs w:val="24"/>
          <w:highlight w:val="none"/>
        </w:rPr>
        <w:t xml:space="preserve"> </w:t>
      </w:r>
      <w:r>
        <w:rPr>
          <w:rFonts w:hint="eastAsia" w:ascii="宋体" w:hAnsi="宋体" w:eastAsia="宋体" w:cs="宋体"/>
          <w:color w:val="auto"/>
          <w:spacing w:val="-4"/>
          <w:sz w:val="24"/>
          <w:szCs w:val="24"/>
          <w:highlight w:val="none"/>
        </w:rPr>
        <w:t>四舍五入</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”原则精确到两位小数。</w:t>
      </w:r>
    </w:p>
    <w:p w14:paraId="451EA660">
      <w:pPr>
        <w:spacing w:before="152" w:line="360" w:lineRule="auto"/>
        <w:ind w:left="14" w:right="81" w:firstLine="476"/>
        <w:rPr>
          <w:rFonts w:hint="eastAsia" w:ascii="宋体" w:hAnsi="宋体" w:eastAsia="宋体" w:cs="宋体"/>
          <w:color w:val="auto"/>
          <w:spacing w:val="-1"/>
          <w:sz w:val="24"/>
          <w:szCs w:val="24"/>
          <w:highlight w:val="none"/>
        </w:rPr>
      </w:pPr>
      <w:bookmarkStart w:id="113" w:name="_Toc22949"/>
      <w:bookmarkStart w:id="114" w:name="_Toc17510"/>
      <w:bookmarkStart w:id="115" w:name="_Toc18029"/>
      <w:bookmarkStart w:id="116" w:name="_Toc16570"/>
      <w:r>
        <w:rPr>
          <w:rFonts w:hint="eastAsia" w:ascii="宋体" w:hAnsi="宋体" w:eastAsia="宋体" w:cs="宋体"/>
          <w:color w:val="auto"/>
          <w:spacing w:val="-1"/>
          <w:sz w:val="24"/>
          <w:szCs w:val="24"/>
          <w:highlight w:val="none"/>
        </w:rPr>
        <w:t>（1）商务技术得分 M</w:t>
      </w:r>
      <w:bookmarkEnd w:id="113"/>
      <w:bookmarkEnd w:id="114"/>
      <w:bookmarkEnd w:id="115"/>
      <w:bookmarkEnd w:id="116"/>
    </w:p>
    <w:p w14:paraId="2876E1BE">
      <w:pPr>
        <w:spacing w:before="153" w:line="360" w:lineRule="auto"/>
        <w:ind w:left="15" w:right="81"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a</w:t>
      </w:r>
      <w:r>
        <w:rPr>
          <w:rFonts w:hint="eastAsia" w:ascii="宋体" w:hAnsi="宋体" w:eastAsia="宋体" w:cs="宋体"/>
          <w:b/>
          <w:bCs/>
          <w:color w:val="auto"/>
          <w:spacing w:val="-24"/>
          <w:sz w:val="24"/>
          <w:szCs w:val="24"/>
          <w:highlight w:val="none"/>
          <w:lang w:eastAsia="zh-CN"/>
        </w:rPr>
        <w:t>.</w:t>
      </w:r>
      <w:r>
        <w:rPr>
          <w:rFonts w:hint="eastAsia" w:ascii="宋体" w:hAnsi="宋体" w:eastAsia="宋体" w:cs="宋体"/>
          <w:color w:val="auto"/>
          <w:spacing w:val="1"/>
          <w:sz w:val="24"/>
          <w:szCs w:val="24"/>
          <w:highlight w:val="none"/>
        </w:rPr>
        <w:t>评标委员会按照《综合评分表》商务部分指定的评分标准对各评分因素进行</w:t>
      </w:r>
      <w:r>
        <w:rPr>
          <w:rFonts w:hint="eastAsia" w:ascii="宋体" w:hAnsi="宋体" w:eastAsia="宋体" w:cs="宋体"/>
          <w:color w:val="auto"/>
          <w:spacing w:val="-1"/>
          <w:sz w:val="24"/>
          <w:szCs w:val="24"/>
          <w:highlight w:val="none"/>
        </w:rPr>
        <w:t>打分。各评分因素得分之和即为某投标人的商务得分</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1"/>
          <w:sz w:val="24"/>
          <w:szCs w:val="24"/>
          <w:highlight w:val="none"/>
        </w:rPr>
        <w:t>M</w:t>
      </w:r>
      <w:r>
        <w:rPr>
          <w:rFonts w:hint="eastAsia" w:ascii="宋体" w:hAnsi="宋体" w:eastAsia="宋体" w:cs="宋体"/>
          <w:color w:val="auto"/>
          <w:spacing w:val="-1"/>
          <w:position w:val="-1"/>
          <w:sz w:val="24"/>
          <w:szCs w:val="24"/>
          <w:highlight w:val="none"/>
        </w:rPr>
        <w:t>1</w:t>
      </w:r>
      <w:r>
        <w:rPr>
          <w:rFonts w:hint="eastAsia" w:ascii="宋体" w:hAnsi="宋体" w:eastAsia="宋体" w:cs="宋体"/>
          <w:color w:val="auto"/>
          <w:spacing w:val="-1"/>
          <w:sz w:val="24"/>
          <w:szCs w:val="24"/>
          <w:highlight w:val="none"/>
        </w:rPr>
        <w:t>。</w:t>
      </w:r>
    </w:p>
    <w:p w14:paraId="563951AA">
      <w:pPr>
        <w:spacing w:before="154" w:line="360" w:lineRule="auto"/>
        <w:ind w:left="12" w:right="8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b</w:t>
      </w:r>
      <w:r>
        <w:rPr>
          <w:rFonts w:hint="eastAsia" w:ascii="宋体" w:hAnsi="宋体" w:eastAsia="宋体" w:cs="宋体"/>
          <w:b/>
          <w:bCs/>
          <w:color w:val="auto"/>
          <w:spacing w:val="-27"/>
          <w:sz w:val="24"/>
          <w:szCs w:val="24"/>
          <w:highlight w:val="none"/>
          <w:lang w:eastAsia="zh-CN"/>
        </w:rPr>
        <w:t>.</w:t>
      </w:r>
      <w:r>
        <w:rPr>
          <w:rFonts w:hint="eastAsia" w:ascii="宋体" w:hAnsi="宋体" w:eastAsia="宋体" w:cs="宋体"/>
          <w:color w:val="auto"/>
          <w:spacing w:val="1"/>
          <w:sz w:val="24"/>
          <w:szCs w:val="24"/>
          <w:highlight w:val="none"/>
        </w:rPr>
        <w:t>评标委员会各成员独立按照《综合评分表》技术部分（施工组织设</w:t>
      </w:r>
      <w:r>
        <w:rPr>
          <w:rFonts w:hint="eastAsia" w:ascii="宋体" w:hAnsi="宋体" w:eastAsia="宋体" w:cs="宋体"/>
          <w:color w:val="auto"/>
          <w:sz w:val="24"/>
          <w:szCs w:val="24"/>
          <w:highlight w:val="none"/>
        </w:rPr>
        <w:t>计）指定</w:t>
      </w:r>
      <w:r>
        <w:rPr>
          <w:rFonts w:hint="eastAsia" w:ascii="宋体" w:hAnsi="宋体" w:eastAsia="宋体" w:cs="宋体"/>
          <w:color w:val="auto"/>
          <w:spacing w:val="-1"/>
          <w:sz w:val="24"/>
          <w:szCs w:val="24"/>
          <w:highlight w:val="none"/>
        </w:rPr>
        <w:t>的评分标准对各评分因素进行打分，累加后得出技术评分。</w:t>
      </w:r>
      <w:r>
        <w:rPr>
          <w:rFonts w:hint="eastAsia" w:ascii="宋体" w:hAnsi="宋体" w:eastAsia="宋体" w:cs="宋体"/>
          <w:color w:val="auto"/>
          <w:spacing w:val="-2"/>
          <w:sz w:val="24"/>
          <w:szCs w:val="24"/>
          <w:highlight w:val="none"/>
        </w:rPr>
        <w:t>将评标委员会所有成员的</w:t>
      </w:r>
      <w:r>
        <w:rPr>
          <w:rFonts w:hint="eastAsia" w:ascii="宋体" w:hAnsi="宋体" w:eastAsia="宋体" w:cs="宋体"/>
          <w:color w:val="auto"/>
          <w:sz w:val="24"/>
          <w:szCs w:val="24"/>
          <w:highlight w:val="none"/>
        </w:rPr>
        <w:t>技术评分去掉最高分和最低分后，取算术平均值，即</w:t>
      </w:r>
      <w:r>
        <w:rPr>
          <w:rFonts w:hint="eastAsia" w:ascii="宋体" w:hAnsi="宋体" w:eastAsia="宋体" w:cs="宋体"/>
          <w:color w:val="auto"/>
          <w:spacing w:val="-1"/>
          <w:sz w:val="24"/>
          <w:szCs w:val="24"/>
          <w:highlight w:val="none"/>
        </w:rPr>
        <w:t>为某投标人的技术得分</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1"/>
          <w:sz w:val="24"/>
          <w:szCs w:val="24"/>
          <w:highlight w:val="none"/>
        </w:rPr>
        <w:t>M</w:t>
      </w:r>
      <w:r>
        <w:rPr>
          <w:rFonts w:hint="eastAsia" w:ascii="宋体" w:hAnsi="宋体" w:eastAsia="宋体" w:cs="宋体"/>
          <w:color w:val="auto"/>
          <w:spacing w:val="-1"/>
          <w:position w:val="-1"/>
          <w:sz w:val="24"/>
          <w:szCs w:val="24"/>
          <w:highlight w:val="none"/>
        </w:rPr>
        <w:t>2</w:t>
      </w:r>
      <w:r>
        <w:rPr>
          <w:rFonts w:hint="eastAsia" w:ascii="宋体" w:hAnsi="宋体" w:eastAsia="宋体" w:cs="宋体"/>
          <w:color w:val="auto"/>
          <w:spacing w:val="-1"/>
          <w:sz w:val="24"/>
          <w:szCs w:val="24"/>
          <w:highlight w:val="none"/>
        </w:rPr>
        <w:t>。</w:t>
      </w:r>
    </w:p>
    <w:p w14:paraId="2053FBB2">
      <w:pPr>
        <w:spacing w:before="155" w:line="360" w:lineRule="auto"/>
        <w:ind w:left="491"/>
        <w:rPr>
          <w:rFonts w:hint="eastAsia" w:ascii="宋体" w:hAnsi="宋体" w:eastAsia="宋体" w:cs="宋体"/>
          <w:color w:val="auto"/>
          <w:sz w:val="24"/>
          <w:szCs w:val="24"/>
          <w:highlight w:val="none"/>
        </w:rPr>
      </w:pPr>
      <w:r>
        <w:rPr>
          <w:rFonts w:hint="eastAsia" w:ascii="宋体" w:hAnsi="宋体" w:eastAsia="宋体" w:cs="宋体"/>
          <w:b/>
          <w:bCs/>
          <w:color w:val="auto"/>
          <w:spacing w:val="-12"/>
          <w:sz w:val="24"/>
          <w:szCs w:val="24"/>
          <w:highlight w:val="none"/>
        </w:rPr>
        <w:t>c</w:t>
      </w:r>
      <w:r>
        <w:rPr>
          <w:rFonts w:hint="eastAsia" w:ascii="宋体" w:hAnsi="宋体" w:eastAsia="宋体" w:cs="宋体"/>
          <w:b/>
          <w:bCs/>
          <w:color w:val="auto"/>
          <w:spacing w:val="-27"/>
          <w:sz w:val="24"/>
          <w:szCs w:val="24"/>
          <w:highlight w:val="none"/>
          <w:lang w:eastAsia="zh-CN"/>
        </w:rPr>
        <w:t>.</w:t>
      </w:r>
      <w:r>
        <w:rPr>
          <w:rFonts w:hint="eastAsia" w:ascii="宋体" w:hAnsi="宋体" w:eastAsia="宋体" w:cs="宋体"/>
          <w:color w:val="auto"/>
          <w:spacing w:val="-12"/>
          <w:sz w:val="24"/>
          <w:szCs w:val="24"/>
          <w:highlight w:val="none"/>
        </w:rPr>
        <w:t>M</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12"/>
          <w:sz w:val="24"/>
          <w:szCs w:val="24"/>
          <w:highlight w:val="none"/>
        </w:rPr>
        <w:t>＝M</w:t>
      </w:r>
      <w:r>
        <w:rPr>
          <w:rFonts w:hint="eastAsia" w:ascii="宋体" w:hAnsi="宋体" w:eastAsia="宋体" w:cs="宋体"/>
          <w:color w:val="auto"/>
          <w:spacing w:val="-12"/>
          <w:position w:val="-1"/>
          <w:sz w:val="24"/>
          <w:szCs w:val="24"/>
          <w:highlight w:val="none"/>
        </w:rPr>
        <w:t>1</w:t>
      </w:r>
      <w:r>
        <w:rPr>
          <w:rFonts w:hint="eastAsia" w:ascii="宋体" w:hAnsi="宋体" w:eastAsia="宋体" w:cs="宋体"/>
          <w:color w:val="auto"/>
          <w:sz w:val="24"/>
          <w:szCs w:val="24"/>
          <w:highlight w:val="none"/>
        </w:rPr>
        <w:t>＋M</w:t>
      </w:r>
      <w:r>
        <w:rPr>
          <w:rFonts w:hint="eastAsia" w:ascii="宋体" w:hAnsi="宋体" w:eastAsia="宋体" w:cs="宋体"/>
          <w:color w:val="auto"/>
          <w:position w:val="-1"/>
          <w:sz w:val="24"/>
          <w:szCs w:val="24"/>
          <w:highlight w:val="none"/>
        </w:rPr>
        <w:t>2</w:t>
      </w:r>
    </w:p>
    <w:p w14:paraId="2874B8C1">
      <w:pPr>
        <w:spacing w:before="139" w:line="360" w:lineRule="auto"/>
        <w:ind w:left="49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式中：M</w:t>
      </w:r>
      <w:r>
        <w:rPr>
          <w:rFonts w:hint="eastAsia" w:ascii="宋体" w:hAnsi="宋体" w:eastAsia="宋体" w:cs="宋体"/>
          <w:color w:val="auto"/>
          <w:spacing w:val="-1"/>
          <w:position w:val="-1"/>
          <w:sz w:val="24"/>
          <w:szCs w:val="24"/>
          <w:highlight w:val="none"/>
        </w:rPr>
        <w:t>1</w:t>
      </w:r>
      <w:r>
        <w:rPr>
          <w:rFonts w:hint="eastAsia" w:ascii="宋体" w:hAnsi="宋体" w:eastAsia="宋体" w:cs="宋体"/>
          <w:color w:val="auto"/>
          <w:spacing w:val="-1"/>
          <w:sz w:val="24"/>
          <w:szCs w:val="24"/>
          <w:highlight w:val="none"/>
        </w:rPr>
        <w:t>为某投标人的商务得分，M</w:t>
      </w:r>
      <w:r>
        <w:rPr>
          <w:rFonts w:hint="eastAsia" w:ascii="宋体" w:hAnsi="宋体" w:eastAsia="宋体" w:cs="宋体"/>
          <w:color w:val="auto"/>
          <w:spacing w:val="-1"/>
          <w:position w:val="-1"/>
          <w:sz w:val="24"/>
          <w:szCs w:val="24"/>
          <w:highlight w:val="none"/>
        </w:rPr>
        <w:t>2</w:t>
      </w:r>
      <w:r>
        <w:rPr>
          <w:rFonts w:hint="eastAsia" w:ascii="宋体" w:hAnsi="宋体" w:eastAsia="宋体" w:cs="宋体"/>
          <w:color w:val="auto"/>
          <w:spacing w:val="-1"/>
          <w:sz w:val="24"/>
          <w:szCs w:val="24"/>
          <w:highlight w:val="none"/>
        </w:rPr>
        <w:t>为某投标人的</w:t>
      </w:r>
      <w:r>
        <w:rPr>
          <w:rFonts w:hint="eastAsia" w:ascii="宋体" w:hAnsi="宋体" w:eastAsia="宋体" w:cs="宋体"/>
          <w:color w:val="auto"/>
          <w:spacing w:val="-2"/>
          <w:sz w:val="24"/>
          <w:szCs w:val="24"/>
          <w:highlight w:val="none"/>
        </w:rPr>
        <w:t>技术得分。</w:t>
      </w:r>
    </w:p>
    <w:p w14:paraId="2BE6EBBE">
      <w:pPr>
        <w:spacing w:before="106" w:line="360" w:lineRule="auto"/>
        <w:ind w:left="7" w:right="17" w:firstLine="489"/>
        <w:rPr>
          <w:rFonts w:hint="eastAsia" w:ascii="宋体" w:hAnsi="宋体" w:eastAsia="宋体" w:cs="宋体"/>
          <w:color w:val="auto"/>
          <w:spacing w:val="-9"/>
          <w:sz w:val="24"/>
          <w:szCs w:val="24"/>
          <w:highlight w:val="none"/>
        </w:rPr>
      </w:pPr>
      <w:bookmarkStart w:id="117" w:name="_Toc16136"/>
      <w:bookmarkStart w:id="118" w:name="_Toc27609"/>
      <w:bookmarkStart w:id="119" w:name="_Toc3234"/>
      <w:bookmarkStart w:id="120" w:name="_Toc3958"/>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lang w:val="en-US" w:eastAsia="zh-CN"/>
        </w:rPr>
        <w:t>2</w:t>
      </w: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rPr>
        <w:t>投标报价得分 N</w:t>
      </w:r>
      <w:bookmarkEnd w:id="117"/>
      <w:bookmarkEnd w:id="118"/>
      <w:bookmarkEnd w:id="119"/>
      <w:bookmarkEnd w:id="120"/>
    </w:p>
    <w:p w14:paraId="39B5AE92">
      <w:pPr>
        <w:spacing w:before="106" w:line="360" w:lineRule="auto"/>
        <w:ind w:left="7" w:right="17" w:firstLine="489"/>
        <w:rPr>
          <w:rFonts w:hint="eastAsia" w:ascii="宋体" w:hAnsi="宋体" w:eastAsia="宋体" w:cs="宋体"/>
          <w:color w:val="auto"/>
          <w:spacing w:val="-9"/>
          <w:sz w:val="24"/>
          <w:szCs w:val="24"/>
          <w:highlight w:val="none"/>
        </w:rPr>
      </w:pPr>
      <w:r>
        <w:rPr>
          <w:rFonts w:hint="eastAsia" w:ascii="宋体" w:hAnsi="宋体" w:eastAsia="宋体" w:cs="宋体"/>
          <w:b/>
          <w:bCs/>
          <w:color w:val="auto"/>
          <w:spacing w:val="-9"/>
          <w:sz w:val="24"/>
          <w:szCs w:val="24"/>
          <w:highlight w:val="none"/>
        </w:rPr>
        <w:t>a</w:t>
      </w:r>
      <w:r>
        <w:rPr>
          <w:rFonts w:hint="eastAsia" w:ascii="宋体" w:hAnsi="宋体" w:eastAsia="宋体" w:cs="宋体"/>
          <w:b/>
          <w:bCs/>
          <w:color w:val="auto"/>
          <w:spacing w:val="-9"/>
          <w:sz w:val="24"/>
          <w:szCs w:val="24"/>
          <w:highlight w:val="none"/>
          <w:lang w:eastAsia="zh-CN"/>
        </w:rPr>
        <w:t>.</w:t>
      </w:r>
      <w:r>
        <w:rPr>
          <w:rFonts w:hint="eastAsia" w:ascii="宋体" w:hAnsi="宋体" w:eastAsia="宋体" w:cs="宋体"/>
          <w:color w:val="auto"/>
          <w:spacing w:val="-9"/>
          <w:sz w:val="24"/>
          <w:szCs w:val="24"/>
          <w:highlight w:val="none"/>
        </w:rPr>
        <w:t>评标委员会按照《综合评分表》投标报价部分指定的方法计算评标基准价D。</w:t>
      </w:r>
    </w:p>
    <w:p w14:paraId="67AD0E8C">
      <w:pPr>
        <w:spacing w:before="155" w:line="360" w:lineRule="auto"/>
        <w:ind w:left="12" w:right="83"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b</w:t>
      </w:r>
      <w:r>
        <w:rPr>
          <w:rFonts w:hint="eastAsia" w:ascii="宋体" w:hAnsi="宋体" w:eastAsia="宋体" w:cs="宋体"/>
          <w:b/>
          <w:bCs/>
          <w:color w:val="auto"/>
          <w:spacing w:val="-20"/>
          <w:sz w:val="24"/>
          <w:szCs w:val="24"/>
          <w:highlight w:val="none"/>
          <w:lang w:eastAsia="zh-CN"/>
        </w:rPr>
        <w:t>.</w:t>
      </w:r>
      <w:r>
        <w:rPr>
          <w:rFonts w:hint="eastAsia" w:ascii="宋体" w:hAnsi="宋体" w:eastAsia="宋体" w:cs="宋体"/>
          <w:color w:val="auto"/>
          <w:sz w:val="24"/>
          <w:szCs w:val="24"/>
          <w:highlight w:val="none"/>
        </w:rPr>
        <w:t>采用内插法计算某投标人的投标报价得分</w:t>
      </w:r>
      <w:r>
        <w:rPr>
          <w:rFonts w:hint="eastAsia" w:ascii="宋体" w:hAnsi="宋体" w:eastAsia="宋体" w:cs="宋体"/>
          <w:color w:val="auto"/>
          <w:spacing w:val="-60"/>
          <w:sz w:val="24"/>
          <w:szCs w:val="24"/>
          <w:highlight w:val="none"/>
        </w:rPr>
        <w:t xml:space="preserve"> </w:t>
      </w:r>
      <w:r>
        <w:rPr>
          <w:rFonts w:hint="eastAsia" w:ascii="宋体" w:hAnsi="宋体" w:eastAsia="宋体" w:cs="宋体"/>
          <w:color w:val="auto"/>
          <w:sz w:val="24"/>
          <w:szCs w:val="24"/>
          <w:highlight w:val="none"/>
        </w:rPr>
        <w:t>N</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z w:val="24"/>
          <w:szCs w:val="24"/>
          <w:highlight w:val="none"/>
        </w:rPr>
        <w:t>，即当投标人的投标总价等于评</w:t>
      </w:r>
      <w:r>
        <w:rPr>
          <w:rFonts w:hint="eastAsia" w:ascii="宋体" w:hAnsi="宋体" w:eastAsia="宋体" w:cs="宋体"/>
          <w:color w:val="auto"/>
          <w:spacing w:val="-1"/>
          <w:sz w:val="24"/>
          <w:szCs w:val="24"/>
          <w:highlight w:val="none"/>
        </w:rPr>
        <w:t>标基准价时得100分，每高于评标基准价一个百分点扣</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1"/>
          <w:sz w:val="24"/>
          <w:szCs w:val="24"/>
          <w:highlight w:val="none"/>
        </w:rPr>
        <w:t xml:space="preserve">1 分,  </w:t>
      </w:r>
      <w:r>
        <w:rPr>
          <w:rFonts w:hint="eastAsia" w:ascii="宋体" w:hAnsi="宋体" w:eastAsia="宋体" w:cs="宋体"/>
          <w:color w:val="auto"/>
          <w:spacing w:val="-2"/>
          <w:sz w:val="24"/>
          <w:szCs w:val="24"/>
          <w:highlight w:val="none"/>
        </w:rPr>
        <w:t>每低于评标基准价一个百分点扣</w:t>
      </w:r>
      <w:r>
        <w:rPr>
          <w:rFonts w:hint="eastAsia" w:ascii="宋体" w:hAnsi="宋体" w:eastAsia="宋体" w:cs="宋体"/>
          <w:b/>
          <w:bCs/>
          <w:color w:val="auto"/>
          <w:spacing w:val="-2"/>
          <w:sz w:val="24"/>
          <w:szCs w:val="24"/>
          <w:highlight w:val="none"/>
        </w:rPr>
        <w:t>0.5 分</w:t>
      </w:r>
      <w:r>
        <w:rPr>
          <w:rFonts w:hint="eastAsia" w:ascii="宋体" w:hAnsi="宋体" w:eastAsia="宋体" w:cs="宋体"/>
          <w:color w:val="auto"/>
          <w:spacing w:val="-2"/>
          <w:sz w:val="24"/>
          <w:szCs w:val="24"/>
          <w:highlight w:val="none"/>
        </w:rPr>
        <w:t>，扣完为止。公式如下：</w:t>
      </w:r>
    </w:p>
    <w:p w14:paraId="1A1D4778">
      <w:pPr>
        <w:spacing w:before="118" w:line="360" w:lineRule="auto"/>
        <w:ind w:left="2418"/>
        <w:rPr>
          <w:rFonts w:hint="eastAsia" w:ascii="宋体" w:hAnsi="宋体" w:eastAsia="宋体" w:cs="宋体"/>
          <w:color w:val="auto"/>
          <w:sz w:val="24"/>
          <w:szCs w:val="24"/>
          <w:highlight w:val="none"/>
        </w:rPr>
      </w:pPr>
      <w:r>
        <w:rPr>
          <w:rFonts w:hint="eastAsia" w:ascii="宋体" w:hAnsi="宋体" w:eastAsia="宋体" w:cs="宋体"/>
          <w:color w:val="auto"/>
          <w:spacing w:val="-6"/>
          <w:position w:val="3"/>
          <w:sz w:val="24"/>
          <w:szCs w:val="24"/>
          <w:highlight w:val="none"/>
        </w:rPr>
        <w:t>N</w:t>
      </w:r>
      <w:r>
        <w:rPr>
          <w:rFonts w:hint="eastAsia" w:ascii="宋体" w:hAnsi="宋体" w:eastAsia="宋体" w:cs="宋体"/>
          <w:color w:val="auto"/>
          <w:spacing w:val="-27"/>
          <w:position w:val="3"/>
          <w:sz w:val="24"/>
          <w:szCs w:val="24"/>
          <w:highlight w:val="none"/>
        </w:rPr>
        <w:t xml:space="preserve"> </w:t>
      </w:r>
      <w:r>
        <w:rPr>
          <w:rFonts w:hint="eastAsia" w:ascii="宋体" w:hAnsi="宋体" w:eastAsia="宋体" w:cs="宋体"/>
          <w:color w:val="auto"/>
          <w:spacing w:val="-6"/>
          <w:position w:val="3"/>
          <w:sz w:val="24"/>
          <w:szCs w:val="24"/>
          <w:highlight w:val="none"/>
        </w:rPr>
        <w:t>＝100</w:t>
      </w:r>
      <w:r>
        <w:rPr>
          <w:rFonts w:hint="eastAsia" w:ascii="宋体" w:hAnsi="宋体" w:eastAsia="宋体" w:cs="宋体"/>
          <w:color w:val="auto"/>
          <w:spacing w:val="-12"/>
          <w:position w:val="3"/>
          <w:sz w:val="24"/>
          <w:szCs w:val="24"/>
          <w:highlight w:val="none"/>
        </w:rPr>
        <w:t>－（</w:t>
      </w:r>
      <w:r>
        <w:rPr>
          <w:rFonts w:hint="eastAsia" w:ascii="宋体" w:hAnsi="宋体" w:eastAsia="宋体" w:cs="宋体"/>
          <w:color w:val="auto"/>
          <w:spacing w:val="-6"/>
          <w:position w:val="3"/>
          <w:sz w:val="24"/>
          <w:szCs w:val="24"/>
          <w:highlight w:val="none"/>
        </w:rPr>
        <w:t>|  Di－D</w:t>
      </w:r>
      <w:r>
        <w:rPr>
          <w:rFonts w:hint="eastAsia" w:ascii="宋体" w:hAnsi="宋体" w:eastAsia="宋体" w:cs="宋体"/>
          <w:color w:val="auto"/>
          <w:spacing w:val="9"/>
          <w:position w:val="3"/>
          <w:sz w:val="24"/>
          <w:szCs w:val="24"/>
          <w:highlight w:val="none"/>
        </w:rPr>
        <w:t xml:space="preserve">  </w:t>
      </w:r>
      <w:r>
        <w:rPr>
          <w:rFonts w:hint="eastAsia" w:ascii="宋体" w:hAnsi="宋体" w:eastAsia="宋体" w:cs="宋体"/>
          <w:color w:val="auto"/>
          <w:spacing w:val="-6"/>
          <w:position w:val="3"/>
          <w:sz w:val="24"/>
          <w:szCs w:val="24"/>
          <w:highlight w:val="none"/>
        </w:rPr>
        <w:t>|</w:t>
      </w:r>
      <w:r>
        <w:rPr>
          <w:rFonts w:hint="eastAsia" w:ascii="宋体" w:hAnsi="宋体" w:eastAsia="宋体" w:cs="宋体"/>
          <w:color w:val="auto"/>
          <w:spacing w:val="17"/>
          <w:position w:val="3"/>
          <w:sz w:val="24"/>
          <w:szCs w:val="24"/>
          <w:highlight w:val="none"/>
        </w:rPr>
        <w:t xml:space="preserve">  </w:t>
      </w:r>
      <w:r>
        <w:rPr>
          <w:rFonts w:hint="eastAsia" w:ascii="宋体" w:hAnsi="宋体" w:eastAsia="宋体" w:cs="宋体"/>
          <w:color w:val="auto"/>
          <w:spacing w:val="-6"/>
          <w:position w:val="3"/>
          <w:sz w:val="24"/>
          <w:szCs w:val="24"/>
          <w:highlight w:val="none"/>
        </w:rPr>
        <w:t>÷D）</w:t>
      </w:r>
      <w:r>
        <w:rPr>
          <w:rFonts w:hint="eastAsia" w:ascii="宋体" w:hAnsi="宋体" w:eastAsia="宋体" w:cs="宋体"/>
          <w:color w:val="auto"/>
          <w:spacing w:val="-75"/>
          <w:position w:val="3"/>
          <w:sz w:val="24"/>
          <w:szCs w:val="24"/>
          <w:highlight w:val="none"/>
        </w:rPr>
        <w:t xml:space="preserve"> </w:t>
      </w:r>
      <w:r>
        <w:rPr>
          <w:rFonts w:hint="eastAsia" w:ascii="宋体" w:hAnsi="宋体" w:eastAsia="宋体" w:cs="宋体"/>
          <w:color w:val="auto"/>
          <w:spacing w:val="-6"/>
          <w:position w:val="3"/>
          <w:sz w:val="24"/>
          <w:szCs w:val="24"/>
          <w:highlight w:val="none"/>
        </w:rPr>
        <w:t>×</w:t>
      </w:r>
      <w:r>
        <w:rPr>
          <w:rFonts w:hint="eastAsia" w:ascii="宋体" w:hAnsi="宋体" w:eastAsia="宋体" w:cs="宋体"/>
          <w:color w:val="auto"/>
          <w:spacing w:val="-92"/>
          <w:position w:val="3"/>
          <w:sz w:val="24"/>
          <w:szCs w:val="24"/>
          <w:highlight w:val="none"/>
        </w:rPr>
        <w:t xml:space="preserve"> </w:t>
      </w:r>
      <w:r>
        <w:rPr>
          <w:rFonts w:hint="eastAsia" w:ascii="宋体" w:hAnsi="宋体" w:eastAsia="宋体" w:cs="宋体"/>
          <w:color w:val="auto"/>
          <w:spacing w:val="-6"/>
          <w:position w:val="3"/>
          <w:sz w:val="24"/>
          <w:szCs w:val="24"/>
          <w:highlight w:val="none"/>
        </w:rPr>
        <w:t>100×E</w:t>
      </w:r>
    </w:p>
    <w:p w14:paraId="30B0BB24">
      <w:pPr>
        <w:spacing w:before="106" w:line="360" w:lineRule="auto"/>
        <w:ind w:left="7" w:right="17" w:firstLine="48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式中：D 为评标基准价；Di为某投标人的投标总价；E</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9"/>
          <w:sz w:val="24"/>
          <w:szCs w:val="24"/>
          <w:highlight w:val="none"/>
        </w:rPr>
        <w:t>为扣分因子，当</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9"/>
          <w:sz w:val="24"/>
          <w:szCs w:val="24"/>
          <w:highlight w:val="none"/>
        </w:rPr>
        <w:t>Di＞D</w:t>
      </w:r>
      <w:r>
        <w:rPr>
          <w:rFonts w:hint="eastAsia" w:ascii="宋体" w:hAnsi="宋体" w:eastAsia="宋体" w:cs="宋体"/>
          <w:color w:val="auto"/>
          <w:spacing w:val="-10"/>
          <w:sz w:val="24"/>
          <w:szCs w:val="24"/>
          <w:highlight w:val="none"/>
        </w:rPr>
        <w:t>时，</w:t>
      </w:r>
      <w:r>
        <w:rPr>
          <w:rFonts w:hint="eastAsia" w:ascii="宋体" w:hAnsi="宋体" w:eastAsia="宋体" w:cs="宋体"/>
          <w:color w:val="auto"/>
          <w:spacing w:val="-8"/>
          <w:sz w:val="24"/>
          <w:szCs w:val="24"/>
          <w:highlight w:val="none"/>
        </w:rPr>
        <w:t>E＝</w:t>
      </w:r>
      <w:r>
        <w:rPr>
          <w:rFonts w:hint="eastAsia" w:ascii="宋体" w:hAnsi="宋体" w:eastAsia="宋体" w:cs="宋体"/>
          <w:b w:val="0"/>
          <w:bCs w:val="0"/>
          <w:color w:val="auto"/>
          <w:spacing w:val="-8"/>
          <w:sz w:val="24"/>
          <w:szCs w:val="24"/>
          <w:highlight w:val="none"/>
        </w:rPr>
        <w:t>1</w:t>
      </w:r>
      <w:r>
        <w:rPr>
          <w:rFonts w:hint="eastAsia" w:ascii="宋体" w:hAnsi="宋体" w:eastAsia="宋体" w:cs="宋体"/>
          <w:b w:val="0"/>
          <w:bCs w:val="0"/>
          <w:color w:val="auto"/>
          <w:spacing w:val="-30"/>
          <w:sz w:val="24"/>
          <w:szCs w:val="24"/>
          <w:highlight w:val="none"/>
        </w:rPr>
        <w:t xml:space="preserve"> </w:t>
      </w:r>
      <w:r>
        <w:rPr>
          <w:rFonts w:hint="eastAsia" w:ascii="宋体" w:hAnsi="宋体" w:eastAsia="宋体" w:cs="宋体"/>
          <w:b/>
          <w:bCs/>
          <w:color w:val="auto"/>
          <w:spacing w:val="-8"/>
          <w:sz w:val="24"/>
          <w:szCs w:val="24"/>
          <w:highlight w:val="none"/>
        </w:rPr>
        <w:t>；</w:t>
      </w:r>
      <w:r>
        <w:rPr>
          <w:rFonts w:hint="eastAsia" w:ascii="宋体" w:hAnsi="宋体" w:eastAsia="宋体" w:cs="宋体"/>
          <w:color w:val="auto"/>
          <w:spacing w:val="-8"/>
          <w:sz w:val="24"/>
          <w:szCs w:val="24"/>
          <w:highlight w:val="none"/>
        </w:rPr>
        <w:t>当</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8"/>
          <w:sz w:val="24"/>
          <w:szCs w:val="24"/>
          <w:highlight w:val="none"/>
        </w:rPr>
        <w:t>Di＜D</w:t>
      </w:r>
      <w:r>
        <w:rPr>
          <w:rFonts w:hint="eastAsia" w:ascii="宋体" w:hAnsi="宋体" w:eastAsia="宋体" w:cs="宋体"/>
          <w:color w:val="auto"/>
          <w:spacing w:val="20"/>
          <w:w w:val="101"/>
          <w:sz w:val="24"/>
          <w:szCs w:val="24"/>
          <w:highlight w:val="none"/>
        </w:rPr>
        <w:t xml:space="preserve"> </w:t>
      </w:r>
      <w:r>
        <w:rPr>
          <w:rFonts w:hint="eastAsia" w:ascii="宋体" w:hAnsi="宋体" w:eastAsia="宋体" w:cs="宋体"/>
          <w:color w:val="auto"/>
          <w:spacing w:val="-8"/>
          <w:sz w:val="24"/>
          <w:szCs w:val="24"/>
          <w:highlight w:val="none"/>
        </w:rPr>
        <w:t>时，E</w:t>
      </w:r>
      <w:r>
        <w:rPr>
          <w:rFonts w:hint="eastAsia" w:ascii="宋体" w:hAnsi="宋体" w:eastAsia="宋体" w:cs="宋体"/>
          <w:color w:val="auto"/>
          <w:spacing w:val="-27"/>
          <w:sz w:val="24"/>
          <w:szCs w:val="24"/>
          <w:highlight w:val="none"/>
        </w:rPr>
        <w:t xml:space="preserve"> </w:t>
      </w:r>
      <w:r>
        <w:rPr>
          <w:rFonts w:hint="eastAsia" w:ascii="宋体" w:hAnsi="宋体" w:eastAsia="宋体" w:cs="宋体"/>
          <w:b/>
          <w:bCs/>
          <w:color w:val="auto"/>
          <w:spacing w:val="-8"/>
          <w:sz w:val="24"/>
          <w:szCs w:val="24"/>
          <w:highlight w:val="none"/>
        </w:rPr>
        <w:t>＝</w:t>
      </w:r>
      <w:r>
        <w:rPr>
          <w:rFonts w:hint="eastAsia" w:ascii="宋体" w:hAnsi="宋体" w:eastAsia="宋体" w:cs="宋体"/>
          <w:b w:val="0"/>
          <w:bCs w:val="0"/>
          <w:color w:val="auto"/>
          <w:spacing w:val="-8"/>
          <w:sz w:val="24"/>
          <w:szCs w:val="24"/>
          <w:highlight w:val="none"/>
        </w:rPr>
        <w:t>0.5</w:t>
      </w:r>
      <w:r>
        <w:rPr>
          <w:rFonts w:hint="eastAsia" w:ascii="宋体" w:hAnsi="宋体" w:eastAsia="宋体" w:cs="宋体"/>
          <w:b/>
          <w:bCs/>
          <w:color w:val="auto"/>
          <w:spacing w:val="-8"/>
          <w:sz w:val="24"/>
          <w:szCs w:val="24"/>
          <w:highlight w:val="none"/>
        </w:rPr>
        <w:t>。</w:t>
      </w:r>
    </w:p>
    <w:p w14:paraId="3235F073">
      <w:pPr>
        <w:spacing w:before="152" w:line="360" w:lineRule="auto"/>
        <w:ind w:left="14" w:right="81" w:firstLine="476"/>
        <w:rPr>
          <w:rFonts w:hint="eastAsia" w:ascii="宋体" w:hAnsi="宋体" w:eastAsia="宋体" w:cs="宋体"/>
          <w:color w:val="auto"/>
          <w:spacing w:val="-1"/>
          <w:sz w:val="24"/>
          <w:szCs w:val="24"/>
          <w:highlight w:val="none"/>
          <w:lang w:eastAsia="zh-CN"/>
        </w:rPr>
      </w:pPr>
      <w:bookmarkStart w:id="121" w:name="_Toc7915"/>
      <w:bookmarkStart w:id="122" w:name="_Toc23551"/>
      <w:bookmarkStart w:id="123" w:name="_Toc3861"/>
      <w:bookmarkStart w:id="124" w:name="_Toc4990"/>
      <w:r>
        <w:rPr>
          <w:rFonts w:hint="eastAsia" w:ascii="宋体" w:hAnsi="宋体" w:eastAsia="宋体" w:cs="宋体"/>
          <w:color w:val="auto"/>
          <w:spacing w:val="-1"/>
          <w:sz w:val="24"/>
          <w:szCs w:val="24"/>
          <w:highlight w:val="none"/>
          <w:lang w:eastAsia="zh-CN"/>
        </w:rPr>
        <w:t>（3）综合得分</w:t>
      </w:r>
      <w:bookmarkEnd w:id="121"/>
      <w:bookmarkEnd w:id="122"/>
      <w:bookmarkEnd w:id="123"/>
      <w:bookmarkEnd w:id="124"/>
    </w:p>
    <w:p w14:paraId="1249D688">
      <w:pPr>
        <w:spacing w:before="153" w:line="360" w:lineRule="auto"/>
        <w:ind w:left="49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综合得分换算为百分制，满分</w:t>
      </w:r>
      <w:r>
        <w:rPr>
          <w:rFonts w:hint="eastAsia" w:ascii="宋体" w:hAnsi="宋体" w:eastAsia="宋体" w:cs="宋体"/>
          <w:color w:val="auto"/>
          <w:spacing w:val="-26"/>
          <w:sz w:val="24"/>
          <w:szCs w:val="24"/>
          <w:highlight w:val="none"/>
        </w:rPr>
        <w:t xml:space="preserve"> </w:t>
      </w:r>
      <w:r>
        <w:rPr>
          <w:rFonts w:hint="eastAsia" w:ascii="宋体" w:hAnsi="宋体" w:eastAsia="宋体" w:cs="宋体"/>
          <w:color w:val="auto"/>
          <w:spacing w:val="-2"/>
          <w:sz w:val="24"/>
          <w:szCs w:val="24"/>
          <w:highlight w:val="none"/>
        </w:rPr>
        <w:t>100 分，公式如下：</w:t>
      </w:r>
    </w:p>
    <w:p w14:paraId="08A23B7A">
      <w:pPr>
        <w:spacing w:before="155" w:line="360" w:lineRule="auto"/>
        <w:ind w:left="496" w:right="532" w:hanging="3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综合得分＝M÷商务技术合计满分×100</w:t>
      </w:r>
      <w:r>
        <w:rPr>
          <w:rFonts w:hint="eastAsia" w:ascii="宋体" w:hAnsi="宋体" w:eastAsia="宋体" w:cs="宋体"/>
          <w:color w:val="auto"/>
          <w:spacing w:val="-1"/>
          <w:sz w:val="24"/>
          <w:szCs w:val="24"/>
          <w:highlight w:val="none"/>
        </w:rPr>
        <w:t xml:space="preserve">×商务技术权重＋N×投标报价权重式中：M </w:t>
      </w:r>
      <w:r>
        <w:rPr>
          <w:rFonts w:hint="eastAsia" w:ascii="宋体" w:hAnsi="宋体" w:eastAsia="宋体" w:cs="宋体"/>
          <w:color w:val="auto"/>
          <w:sz w:val="24"/>
          <w:szCs w:val="24"/>
          <w:highlight w:val="none"/>
        </w:rPr>
        <w:t>为商务技术得分，N 为投标报价得分。</w:t>
      </w:r>
    </w:p>
    <w:p w14:paraId="7F055B59">
      <w:pPr>
        <w:spacing w:line="360" w:lineRule="auto"/>
        <w:ind w:firstLine="480" w:firstLineChars="200"/>
        <w:rPr>
          <w:rFonts w:hint="eastAsia" w:ascii="宋体" w:hAnsi="宋体" w:eastAsia="宋体" w:cs="宋体"/>
          <w:sz w:val="24"/>
          <w:szCs w:val="24"/>
        </w:rPr>
      </w:pPr>
      <w:bookmarkStart w:id="125" w:name="_Toc2885"/>
      <w:bookmarkStart w:id="126" w:name="_Toc16789"/>
      <w:bookmarkStart w:id="127" w:name="_Toc30671"/>
      <w:bookmarkStart w:id="128" w:name="_Toc25214"/>
      <w:r>
        <w:rPr>
          <w:rFonts w:hint="eastAsia" w:ascii="宋体" w:hAnsi="宋体" w:eastAsia="宋体" w:cs="宋体"/>
          <w:sz w:val="24"/>
          <w:szCs w:val="24"/>
        </w:rPr>
        <w:t>（4）评标委员会汇总、比较所有投标人的综合得分后，取综合得分最高的投标</w:t>
      </w:r>
      <w:bookmarkEnd w:id="125"/>
      <w:bookmarkEnd w:id="126"/>
      <w:bookmarkEnd w:id="127"/>
      <w:bookmarkEnd w:id="128"/>
      <w:r>
        <w:rPr>
          <w:rFonts w:hint="eastAsia" w:ascii="宋体" w:hAnsi="宋体" w:eastAsia="宋体" w:cs="宋体"/>
          <w:sz w:val="24"/>
          <w:szCs w:val="24"/>
        </w:rPr>
        <w:t>人为第一中标候选人，取综合得分第二、第三高的投标人为第二、第三中标候选人。如果最高综合得分相同，取投标总价低者为第一中标候选人，并依此确定第二、第三中标候选人。如果最高综合得分相同，投标总价也相同，由评标委员会投票确定。</w:t>
      </w:r>
    </w:p>
    <w:p w14:paraId="7B2696B7">
      <w:pPr>
        <w:rPr>
          <w:rFonts w:hint="eastAsia" w:ascii="宋体" w:hAnsi="宋体" w:eastAsia="宋体" w:cs="宋体"/>
        </w:rPr>
      </w:pPr>
    </w:p>
    <w:p w14:paraId="3F251AEE">
      <w:pPr>
        <w:rPr>
          <w:rFonts w:hint="eastAsia" w:ascii="宋体" w:hAnsi="宋体" w:eastAsia="宋体" w:cs="宋体"/>
        </w:rPr>
      </w:pPr>
    </w:p>
    <w:p w14:paraId="5F160699">
      <w:pPr>
        <w:pStyle w:val="2"/>
        <w:rPr>
          <w:rFonts w:hint="eastAsia" w:ascii="宋体" w:hAnsi="宋体" w:eastAsia="宋体" w:cs="宋体"/>
        </w:rPr>
      </w:pPr>
    </w:p>
    <w:p w14:paraId="7D6682D1">
      <w:pPr>
        <w:pStyle w:val="3"/>
        <w:rPr>
          <w:rFonts w:hint="eastAsia" w:ascii="宋体" w:hAnsi="宋体" w:eastAsia="宋体" w:cs="宋体"/>
        </w:rPr>
      </w:pPr>
    </w:p>
    <w:p w14:paraId="76AF18E1">
      <w:pPr>
        <w:pStyle w:val="3"/>
        <w:rPr>
          <w:rFonts w:hint="eastAsia" w:ascii="宋体" w:hAnsi="宋体" w:eastAsia="宋体" w:cs="宋体"/>
        </w:rPr>
      </w:pPr>
    </w:p>
    <w:p w14:paraId="0D50CE47">
      <w:pPr>
        <w:pStyle w:val="3"/>
        <w:rPr>
          <w:rFonts w:hint="eastAsia" w:ascii="宋体" w:hAnsi="宋体" w:eastAsia="宋体" w:cs="宋体"/>
        </w:rPr>
      </w:pPr>
    </w:p>
    <w:p w14:paraId="6C23E557">
      <w:pPr>
        <w:pStyle w:val="3"/>
        <w:rPr>
          <w:rFonts w:hint="eastAsia" w:ascii="宋体" w:hAnsi="宋体" w:eastAsia="宋体" w:cs="宋体"/>
        </w:rPr>
      </w:pPr>
    </w:p>
    <w:p w14:paraId="26FEE077">
      <w:pPr>
        <w:spacing w:before="152" w:line="360" w:lineRule="auto"/>
        <w:ind w:left="14" w:right="81" w:firstLine="476"/>
        <w:jc w:val="center"/>
        <w:rPr>
          <w:rFonts w:hint="eastAsia" w:ascii="宋体" w:hAnsi="宋体" w:eastAsia="宋体" w:cs="宋体"/>
          <w:b/>
          <w:bCs/>
          <w:color w:val="auto"/>
          <w:spacing w:val="-1"/>
          <w:sz w:val="28"/>
          <w:szCs w:val="28"/>
          <w:highlight w:val="none"/>
        </w:rPr>
      </w:pPr>
      <w:bookmarkStart w:id="129" w:name="_Toc3839"/>
      <w:bookmarkStart w:id="130" w:name="_Toc17375"/>
      <w:bookmarkStart w:id="131" w:name="_Toc16801"/>
      <w:bookmarkStart w:id="132" w:name="_Toc3020"/>
      <w:r>
        <w:rPr>
          <w:rFonts w:hint="eastAsia" w:ascii="宋体" w:hAnsi="宋体" w:eastAsia="宋体" w:cs="宋体"/>
          <w:b/>
          <w:bCs/>
          <w:color w:val="auto"/>
          <w:spacing w:val="-1"/>
          <w:sz w:val="28"/>
          <w:szCs w:val="28"/>
          <w:highlight w:val="none"/>
        </w:rPr>
        <w:t>综合评分表</w:t>
      </w:r>
      <w:bookmarkEnd w:id="129"/>
      <w:bookmarkEnd w:id="130"/>
      <w:bookmarkEnd w:id="131"/>
      <w:bookmarkEnd w:id="132"/>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3"/>
        <w:gridCol w:w="12"/>
        <w:gridCol w:w="4305"/>
        <w:gridCol w:w="4324"/>
      </w:tblGrid>
      <w:tr w14:paraId="2EAD4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gridSpan w:val="4"/>
            <w:vAlign w:val="center"/>
          </w:tcPr>
          <w:p w14:paraId="527DB60E">
            <w:pPr>
              <w:pStyle w:val="10"/>
              <w:widowControl w:val="0"/>
              <w:tabs>
                <w:tab w:val="left" w:pos="1354"/>
                <w:tab w:val="left" w:pos="1459"/>
                <w:tab w:val="center" w:pos="3902"/>
                <w:tab w:val="right" w:pos="7805"/>
              </w:tabs>
              <w:wordWrap w:val="0"/>
              <w:adjustRightInd w:val="0"/>
              <w:snapToGrid w:val="0"/>
              <w:spacing w:after="0" w:line="240" w:lineRule="auto"/>
              <w:jc w:val="both"/>
              <w:rPr>
                <w:rFonts w:hint="eastAsia" w:ascii="宋体" w:hAnsi="宋体" w:eastAsia="宋体" w:cs="宋体"/>
                <w:color w:val="C00000"/>
                <w:sz w:val="24"/>
                <w:szCs w:val="24"/>
              </w:rPr>
            </w:pPr>
            <w:r>
              <w:rPr>
                <w:rFonts w:hint="eastAsia" w:ascii="宋体" w:hAnsi="宋体" w:eastAsia="宋体" w:cs="宋体"/>
                <w:b/>
                <w:bCs/>
                <w:snapToGrid w:val="0"/>
                <w:color w:val="auto"/>
                <w:kern w:val="0"/>
                <w:sz w:val="24"/>
                <w:szCs w:val="24"/>
                <w:highlight w:val="none"/>
              </w:rPr>
              <w:t>商务部分，满分：</w:t>
            </w:r>
            <w:r>
              <w:rPr>
                <w:rFonts w:hint="eastAsia" w:ascii="宋体" w:hAnsi="宋体" w:eastAsia="宋体" w:cs="宋体"/>
                <w:b/>
                <w:bCs/>
                <w:snapToGrid w:val="0"/>
                <w:color w:val="auto"/>
                <w:kern w:val="0"/>
                <w:sz w:val="24"/>
                <w:szCs w:val="24"/>
                <w:highlight w:val="none"/>
                <w:u w:val="single"/>
                <w:lang w:val="en-US" w:eastAsia="zh-CN"/>
              </w:rPr>
              <w:t>80</w:t>
            </w:r>
            <w:r>
              <w:rPr>
                <w:rFonts w:hint="eastAsia" w:ascii="宋体" w:hAnsi="宋体" w:eastAsia="宋体" w:cs="宋体"/>
                <w:b/>
                <w:bCs/>
                <w:snapToGrid w:val="0"/>
                <w:color w:val="auto"/>
                <w:kern w:val="0"/>
                <w:sz w:val="24"/>
                <w:szCs w:val="24"/>
                <w:highlight w:val="none"/>
              </w:rPr>
              <w:t>分。</w:t>
            </w:r>
          </w:p>
        </w:tc>
      </w:tr>
      <w:tr w14:paraId="5F767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5" w:type="dxa"/>
            <w:gridSpan w:val="2"/>
            <w:vAlign w:val="center"/>
          </w:tcPr>
          <w:p w14:paraId="16E3991F">
            <w:pPr>
              <w:pStyle w:val="10"/>
              <w:widowControl w:val="0"/>
              <w:tabs>
                <w:tab w:val="left" w:pos="1354"/>
                <w:tab w:val="left" w:pos="1459"/>
                <w:tab w:val="center" w:pos="3902"/>
                <w:tab w:val="right" w:pos="7805"/>
              </w:tabs>
              <w:wordWrap w:val="0"/>
              <w:adjustRightInd w:val="0"/>
              <w:snapToGrid w:val="0"/>
              <w:spacing w:after="0" w:line="240" w:lineRule="auto"/>
              <w:jc w:val="center"/>
              <w:rPr>
                <w:rFonts w:hint="eastAsia" w:ascii="宋体" w:hAnsi="宋体" w:eastAsia="宋体" w:cs="宋体"/>
                <w:color w:val="C00000"/>
                <w:sz w:val="24"/>
                <w:szCs w:val="24"/>
                <w:lang w:val="en-US" w:eastAsia="zh-CN"/>
              </w:rPr>
            </w:pPr>
            <w:r>
              <w:rPr>
                <w:rFonts w:hint="eastAsia" w:ascii="宋体" w:hAnsi="宋体" w:eastAsia="宋体" w:cs="宋体"/>
                <w:b/>
                <w:bCs/>
                <w:snapToGrid w:val="0"/>
                <w:color w:val="auto"/>
                <w:kern w:val="0"/>
                <w:sz w:val="24"/>
                <w:szCs w:val="24"/>
                <w:highlight w:val="none"/>
              </w:rPr>
              <w:t>评分因素</w:t>
            </w:r>
          </w:p>
        </w:tc>
        <w:tc>
          <w:tcPr>
            <w:tcW w:w="4305" w:type="dxa"/>
            <w:vAlign w:val="center"/>
          </w:tcPr>
          <w:p w14:paraId="11F87719">
            <w:pPr>
              <w:pStyle w:val="10"/>
              <w:widowControl w:val="0"/>
              <w:tabs>
                <w:tab w:val="left" w:pos="1354"/>
                <w:tab w:val="left" w:pos="1459"/>
                <w:tab w:val="center" w:pos="3902"/>
                <w:tab w:val="right" w:pos="7805"/>
              </w:tabs>
              <w:wordWrap w:val="0"/>
              <w:adjustRightInd w:val="0"/>
              <w:snapToGrid w:val="0"/>
              <w:spacing w:after="0" w:line="240" w:lineRule="auto"/>
              <w:jc w:val="center"/>
              <w:rPr>
                <w:rFonts w:hint="eastAsia" w:ascii="宋体" w:hAnsi="宋体" w:eastAsia="宋体" w:cs="宋体"/>
                <w:color w:val="C00000"/>
                <w:sz w:val="24"/>
                <w:szCs w:val="24"/>
                <w:lang w:val="en-US" w:eastAsia="zh-CN"/>
              </w:rPr>
            </w:pPr>
            <w:r>
              <w:rPr>
                <w:rFonts w:hint="eastAsia" w:ascii="宋体" w:hAnsi="宋体" w:eastAsia="宋体" w:cs="宋体"/>
                <w:b/>
                <w:bCs/>
                <w:snapToGrid w:val="0"/>
                <w:color w:val="auto"/>
                <w:kern w:val="0"/>
                <w:sz w:val="24"/>
                <w:szCs w:val="24"/>
                <w:highlight w:val="none"/>
              </w:rPr>
              <w:t>评分标准</w:t>
            </w:r>
          </w:p>
        </w:tc>
        <w:tc>
          <w:tcPr>
            <w:tcW w:w="4324" w:type="dxa"/>
            <w:vAlign w:val="center"/>
          </w:tcPr>
          <w:p w14:paraId="51D2098D">
            <w:pPr>
              <w:pStyle w:val="10"/>
              <w:widowControl w:val="0"/>
              <w:tabs>
                <w:tab w:val="left" w:pos="1354"/>
                <w:tab w:val="left" w:pos="1459"/>
                <w:tab w:val="center" w:pos="3902"/>
                <w:tab w:val="right" w:pos="7805"/>
              </w:tabs>
              <w:wordWrap w:val="0"/>
              <w:adjustRightInd w:val="0"/>
              <w:snapToGrid w:val="0"/>
              <w:spacing w:after="0" w:line="240" w:lineRule="auto"/>
              <w:jc w:val="center"/>
              <w:rPr>
                <w:rFonts w:hint="eastAsia" w:ascii="宋体" w:hAnsi="宋体" w:eastAsia="宋体" w:cs="宋体"/>
                <w:color w:val="C00000"/>
                <w:sz w:val="24"/>
                <w:szCs w:val="24"/>
                <w:lang w:val="en-US" w:eastAsia="zh-CN"/>
              </w:rPr>
            </w:pPr>
            <w:r>
              <w:rPr>
                <w:rFonts w:hint="eastAsia" w:ascii="宋体" w:hAnsi="宋体" w:eastAsia="宋体" w:cs="宋体"/>
                <w:b/>
                <w:bCs/>
                <w:snapToGrid w:val="0"/>
                <w:color w:val="auto"/>
                <w:kern w:val="0"/>
                <w:sz w:val="24"/>
                <w:szCs w:val="24"/>
                <w:highlight w:val="none"/>
              </w:rPr>
              <w:t>备注</w:t>
            </w:r>
          </w:p>
        </w:tc>
      </w:tr>
      <w:tr w14:paraId="44968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5" w:type="dxa"/>
            <w:gridSpan w:val="2"/>
            <w:shd w:val="clear" w:color="auto" w:fill="auto"/>
            <w:vAlign w:val="center"/>
          </w:tcPr>
          <w:p w14:paraId="54D74D4D">
            <w:pPr>
              <w:widowControl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企业奖项</w:t>
            </w:r>
          </w:p>
          <w:p w14:paraId="3999D589">
            <w:pPr>
              <w:widowControl w:val="0"/>
              <w:spacing w:line="360" w:lineRule="auto"/>
              <w:jc w:val="center"/>
              <w:rPr>
                <w:rFonts w:hint="eastAsia" w:ascii="宋体" w:hAnsi="宋体" w:eastAsia="宋体" w:cs="宋体"/>
                <w:color w:val="C00000"/>
                <w:kern w:val="2"/>
                <w:sz w:val="24"/>
                <w:szCs w:val="24"/>
                <w:lang w:val="en-US" w:eastAsia="zh-CN" w:bidi="ar-SA"/>
              </w:rPr>
            </w:pPr>
            <w:r>
              <w:rPr>
                <w:rFonts w:hint="eastAsia" w:ascii="宋体" w:hAnsi="宋体" w:eastAsia="宋体" w:cs="宋体"/>
                <w:color w:val="auto"/>
                <w:sz w:val="24"/>
                <w:szCs w:val="24"/>
              </w:rPr>
              <w:t>（10分）</w:t>
            </w:r>
          </w:p>
        </w:tc>
        <w:tc>
          <w:tcPr>
            <w:tcW w:w="4305" w:type="dxa"/>
            <w:shd w:val="clear" w:color="auto" w:fill="auto"/>
            <w:vAlign w:val="center"/>
          </w:tcPr>
          <w:p w14:paraId="4E65357E">
            <w:pPr>
              <w:widowControl w:val="0"/>
              <w:spacing w:line="360" w:lineRule="auto"/>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auto"/>
                <w:sz w:val="24"/>
                <w:szCs w:val="24"/>
              </w:rPr>
              <w:t>企业近</w:t>
            </w:r>
            <w:r>
              <w:rPr>
                <w:rFonts w:hint="eastAsia" w:ascii="宋体" w:hAnsi="宋体" w:eastAsia="宋体" w:cs="宋体"/>
                <w:color w:val="auto"/>
                <w:sz w:val="24"/>
                <w:szCs w:val="24"/>
                <w:u w:val="single"/>
                <w:lang w:val="en-US" w:eastAsia="zh-CN"/>
              </w:rPr>
              <w:t>5</w:t>
            </w:r>
            <w:r>
              <w:rPr>
                <w:rFonts w:hint="eastAsia" w:ascii="宋体" w:hAnsi="宋体" w:eastAsia="宋体" w:cs="宋体"/>
                <w:color w:val="auto"/>
                <w:sz w:val="24"/>
                <w:szCs w:val="24"/>
              </w:rPr>
              <w:t>年</w:t>
            </w:r>
            <w:r>
              <w:rPr>
                <w:rFonts w:hint="eastAsia" w:ascii="宋体" w:hAnsi="宋体" w:eastAsia="宋体" w:cs="宋体"/>
                <w:color w:val="000000" w:themeColor="text1"/>
                <w:sz w:val="24"/>
                <w:szCs w:val="24"/>
                <w14:textFill>
                  <w14:solidFill>
                    <w14:schemeClr w14:val="tx1"/>
                  </w14:solidFill>
                </w14:textFill>
              </w:rPr>
              <w:t>来（</w:t>
            </w:r>
            <w:r>
              <w:rPr>
                <w:rFonts w:hint="eastAsia" w:ascii="宋体" w:hAnsi="宋体" w:eastAsia="宋体" w:cs="宋体"/>
                <w:color w:val="000000" w:themeColor="text1"/>
                <w:sz w:val="24"/>
                <w:szCs w:val="24"/>
                <w:lang w:val="en-US" w:eastAsia="zh-CN"/>
                <w14:textFill>
                  <w14:solidFill>
                    <w14:schemeClr w14:val="tx1"/>
                  </w14:solidFill>
                </w14:textFill>
              </w:rPr>
              <w:t>2020</w:t>
            </w:r>
            <w:r>
              <w:rPr>
                <w:rFonts w:hint="eastAsia" w:ascii="宋体" w:hAnsi="宋体" w:eastAsia="宋体" w:cs="宋体"/>
                <w:color w:val="000000" w:themeColor="text1"/>
                <w:sz w:val="24"/>
                <w:szCs w:val="24"/>
                <w14:textFill>
                  <w14:solidFill>
                    <w14:schemeClr w14:val="tx1"/>
                  </w14:solidFill>
                </w14:textFill>
              </w:rPr>
              <w:t>年</w:t>
            </w:r>
            <w:r>
              <w:rPr>
                <w:rFonts w:hint="eastAsia" w:ascii="宋体" w:hAnsi="宋体" w:eastAsia="宋体" w:cs="宋体"/>
                <w:color w:val="000000" w:themeColor="text1"/>
                <w:sz w:val="24"/>
                <w:szCs w:val="24"/>
                <w:lang w:val="en-US" w:eastAsia="zh-CN"/>
                <w14:textFill>
                  <w14:solidFill>
                    <w14:schemeClr w14:val="tx1"/>
                  </w14:solidFill>
                </w14:textFill>
              </w:rPr>
              <w:t>1</w:t>
            </w:r>
            <w:r>
              <w:rPr>
                <w:rFonts w:hint="eastAsia" w:ascii="宋体" w:hAnsi="宋体" w:eastAsia="宋体" w:cs="宋体"/>
                <w:color w:val="000000" w:themeColor="text1"/>
                <w:sz w:val="24"/>
                <w:szCs w:val="24"/>
                <w14:textFill>
                  <w14:solidFill>
                    <w14:schemeClr w14:val="tx1"/>
                  </w14:solidFill>
                </w14:textFill>
              </w:rPr>
              <w:t>月1日</w:t>
            </w:r>
            <w:r>
              <w:rPr>
                <w:rFonts w:hint="eastAsia" w:ascii="宋体" w:hAnsi="宋体" w:eastAsia="宋体" w:cs="宋体"/>
                <w:color w:val="000000" w:themeColor="text1"/>
                <w:sz w:val="24"/>
                <w:szCs w:val="24"/>
                <w:lang w:eastAsia="zh-CN"/>
                <w14:textFill>
                  <w14:solidFill>
                    <w14:schemeClr w14:val="tx1"/>
                  </w14:solidFill>
                </w14:textFill>
              </w:rPr>
              <w:t>至今</w:t>
            </w:r>
            <w:r>
              <w:rPr>
                <w:rFonts w:hint="eastAsia" w:ascii="宋体" w:hAnsi="宋体" w:eastAsia="宋体" w:cs="宋体"/>
                <w:color w:val="000000" w:themeColor="text1"/>
                <w:sz w:val="24"/>
                <w:szCs w:val="24"/>
                <w14:textFill>
                  <w14:solidFill>
                    <w14:schemeClr w14:val="tx1"/>
                  </w14:solidFill>
                </w14:textFill>
              </w:rPr>
              <w:t>）获得</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工程类 </w:t>
            </w:r>
            <w:r>
              <w:rPr>
                <w:rFonts w:hint="eastAsia" w:ascii="宋体" w:hAnsi="宋体" w:eastAsia="宋体" w:cs="宋体"/>
                <w:color w:val="000000" w:themeColor="text1"/>
                <w:sz w:val="24"/>
                <w:szCs w:val="24"/>
                <w14:textFill>
                  <w14:solidFill>
                    <w14:schemeClr w14:val="tx1"/>
                  </w14:solidFill>
                </w14:textFill>
              </w:rPr>
              <w:t>奖项情况：</w:t>
            </w:r>
          </w:p>
          <w:p w14:paraId="610ECC33">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lang w:val="en-US"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获得国家级奖项的</w:t>
            </w:r>
            <w:r>
              <w:rPr>
                <w:rFonts w:hint="eastAsia" w:ascii="宋体" w:hAnsi="宋体" w:eastAsia="宋体" w:cs="宋体"/>
                <w:color w:val="auto"/>
                <w:sz w:val="24"/>
                <w:szCs w:val="24"/>
              </w:rPr>
              <w:t>，每个得</w:t>
            </w:r>
            <w:r>
              <w:rPr>
                <w:rFonts w:hint="eastAsia" w:ascii="宋体" w:hAnsi="宋体" w:eastAsia="宋体" w:cs="宋体"/>
                <w:color w:val="auto"/>
                <w:sz w:val="24"/>
                <w:szCs w:val="24"/>
                <w:u w:val="single"/>
              </w:rPr>
              <w:t>8</w:t>
            </w:r>
            <w:r>
              <w:rPr>
                <w:rFonts w:hint="eastAsia" w:ascii="宋体" w:hAnsi="宋体" w:eastAsia="宋体" w:cs="宋体"/>
                <w:color w:val="auto"/>
                <w:sz w:val="24"/>
                <w:szCs w:val="24"/>
              </w:rPr>
              <w:t>分。</w:t>
            </w:r>
          </w:p>
          <w:p w14:paraId="5D62AC5A">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获得省级奖项的，每个得</w:t>
            </w:r>
            <w:r>
              <w:rPr>
                <w:rFonts w:hint="eastAsia" w:ascii="宋体" w:hAnsi="宋体" w:eastAsia="宋体" w:cs="宋体"/>
                <w:color w:val="auto"/>
                <w:sz w:val="24"/>
                <w:szCs w:val="24"/>
                <w:u w:val="single"/>
                <w:lang w:val="en-US" w:eastAsia="zh-CN"/>
              </w:rPr>
              <w:t>5</w:t>
            </w:r>
            <w:r>
              <w:rPr>
                <w:rFonts w:hint="eastAsia" w:ascii="宋体" w:hAnsi="宋体" w:eastAsia="宋体" w:cs="宋体"/>
                <w:color w:val="auto"/>
                <w:sz w:val="24"/>
                <w:szCs w:val="24"/>
              </w:rPr>
              <w:t>分。</w:t>
            </w:r>
          </w:p>
          <w:p w14:paraId="6EED30D7">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获得地市级奖项的，每个得</w:t>
            </w:r>
            <w:r>
              <w:rPr>
                <w:rFonts w:hint="eastAsia" w:ascii="宋体" w:hAnsi="宋体" w:eastAsia="宋体" w:cs="宋体"/>
                <w:color w:val="auto"/>
                <w:sz w:val="24"/>
                <w:szCs w:val="24"/>
                <w:u w:val="single"/>
                <w:lang w:val="en-US" w:eastAsia="zh-CN"/>
              </w:rPr>
              <w:t>3</w:t>
            </w:r>
            <w:r>
              <w:rPr>
                <w:rFonts w:hint="eastAsia" w:ascii="宋体" w:hAnsi="宋体" w:eastAsia="宋体" w:cs="宋体"/>
                <w:color w:val="auto"/>
                <w:sz w:val="24"/>
                <w:szCs w:val="24"/>
              </w:rPr>
              <w:t>分。</w:t>
            </w:r>
          </w:p>
          <w:p w14:paraId="7953E487">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4．以上奖项均未获得的，不予计分。</w:t>
            </w:r>
          </w:p>
          <w:p w14:paraId="1F5A7EF3">
            <w:pPr>
              <w:widowControl w:val="0"/>
              <w:spacing w:line="360" w:lineRule="auto"/>
              <w:jc w:val="both"/>
              <w:rPr>
                <w:rFonts w:hint="eastAsia" w:ascii="宋体" w:hAnsi="宋体" w:eastAsia="宋体" w:cs="宋体"/>
                <w:color w:val="C00000"/>
                <w:kern w:val="2"/>
                <w:sz w:val="24"/>
                <w:szCs w:val="24"/>
                <w:lang w:val="en-US" w:eastAsia="zh-CN" w:bidi="ar-SA"/>
              </w:rPr>
            </w:pPr>
            <w:r>
              <w:rPr>
                <w:rFonts w:hint="eastAsia" w:ascii="宋体" w:hAnsi="宋体" w:eastAsia="宋体" w:cs="宋体"/>
                <w:color w:val="auto"/>
                <w:sz w:val="24"/>
                <w:szCs w:val="24"/>
              </w:rPr>
              <w:t>5</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本项最高得10分。</w:t>
            </w:r>
          </w:p>
        </w:tc>
        <w:tc>
          <w:tcPr>
            <w:tcW w:w="4324" w:type="dxa"/>
            <w:shd w:val="clear" w:color="auto" w:fill="auto"/>
            <w:vAlign w:val="center"/>
          </w:tcPr>
          <w:p w14:paraId="51CB2235">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允许投标人提交多个业绩，但同一业绩只按最高级别奖项计分一次。</w:t>
            </w:r>
          </w:p>
          <w:p w14:paraId="78D16314">
            <w:pPr>
              <w:widowControl w:val="0"/>
              <w:spacing w:line="360" w:lineRule="auto"/>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需附有关奖项证明彩色扫描件</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eastAsia="zh-CN"/>
              </w:rPr>
              <w:t>同时提供原件供核对（奖项为电子证书的除外）。</w:t>
            </w:r>
          </w:p>
          <w:p w14:paraId="499F3809">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颁发机构限定以下范围：</w:t>
            </w:r>
          </w:p>
          <w:p w14:paraId="63304CDD">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①国家级奖项：国务院、住建部、中国建筑业协会、中国建筑安全协会；</w:t>
            </w:r>
            <w:r>
              <w:rPr>
                <w:rFonts w:hint="eastAsia" w:ascii="宋体" w:hAnsi="宋体" w:eastAsia="宋体" w:cs="宋体"/>
                <w:color w:val="auto"/>
                <w:sz w:val="24"/>
                <w:szCs w:val="24"/>
                <w:highlight w:val="none"/>
              </w:rPr>
              <w:t>（相关协会需经民政部门备案）</w:t>
            </w:r>
          </w:p>
          <w:p w14:paraId="57E849DF">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②省级奖项：省级人民政府、省级建设行政主管部门、省级建筑业协会、省级建筑安全协会；（相关协会需经民政部门备案）</w:t>
            </w:r>
          </w:p>
          <w:p w14:paraId="47A6FF25">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③地市级奖项：地市级人民政府、地市级建设行政主管部门、地市级建筑协会</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地市级建筑安全协会。（相关协会需经民政部门备案）</w:t>
            </w:r>
          </w:p>
          <w:p w14:paraId="27221653">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4</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获奖时间以奖项证明的落款日期为准。</w:t>
            </w:r>
          </w:p>
          <w:p w14:paraId="68A2BCB3">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5</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任一奖项有以下情形之一的，该奖项视为无效，不予计分：</w:t>
            </w:r>
          </w:p>
          <w:p w14:paraId="30272E33">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①未提供奖项原件的；</w:t>
            </w:r>
          </w:p>
          <w:p w14:paraId="500EBF81">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②奖项不属于指定类别的；</w:t>
            </w:r>
          </w:p>
          <w:p w14:paraId="392B4A81">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③颁发机构不符合要求的；</w:t>
            </w:r>
          </w:p>
          <w:p w14:paraId="686DD9BE">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④获奖时间不符合要求的。</w:t>
            </w:r>
          </w:p>
          <w:p w14:paraId="1FAEDE13">
            <w:pPr>
              <w:widowControl w:val="0"/>
              <w:bidi w:val="0"/>
              <w:spacing w:line="360" w:lineRule="auto"/>
              <w:jc w:val="both"/>
              <w:rPr>
                <w:rFonts w:hint="eastAsia" w:ascii="宋体" w:hAnsi="宋体" w:eastAsia="宋体" w:cs="宋体"/>
                <w:snapToGrid w:val="0"/>
                <w:color w:val="C00000"/>
                <w:kern w:val="0"/>
                <w:sz w:val="24"/>
                <w:szCs w:val="24"/>
                <w:highlight w:val="none"/>
                <w:lang w:val="en-US" w:eastAsia="zh-CN" w:bidi="ar-SA"/>
              </w:rPr>
            </w:pPr>
            <w:r>
              <w:rPr>
                <w:rFonts w:hint="eastAsia" w:ascii="宋体" w:hAnsi="宋体" w:eastAsia="宋体" w:cs="宋体"/>
                <w:b/>
                <w:bCs/>
                <w:color w:val="auto"/>
                <w:sz w:val="24"/>
                <w:szCs w:val="24"/>
                <w:lang w:val="en-US" w:eastAsia="zh-CN"/>
              </w:rPr>
              <w:t>说明：以上所称“要求”均指本表评分标准及备注的要求，下同。</w:t>
            </w:r>
          </w:p>
        </w:tc>
      </w:tr>
      <w:tr w14:paraId="44932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5" w:type="dxa"/>
            <w:gridSpan w:val="2"/>
            <w:shd w:val="clear" w:color="auto" w:fill="auto"/>
            <w:vAlign w:val="center"/>
          </w:tcPr>
          <w:p w14:paraId="138A45BE">
            <w:pPr>
              <w:widowControl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项目经理</w:t>
            </w:r>
          </w:p>
          <w:p w14:paraId="1CB5B953">
            <w:pPr>
              <w:widowControl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综合素质</w:t>
            </w:r>
          </w:p>
          <w:p w14:paraId="52D615D8">
            <w:pPr>
              <w:widowControl w:val="0"/>
              <w:spacing w:line="360" w:lineRule="auto"/>
              <w:jc w:val="center"/>
              <w:rPr>
                <w:rFonts w:hint="eastAsia" w:ascii="宋体" w:hAnsi="宋体" w:eastAsia="宋体" w:cs="宋体"/>
                <w:snapToGrid w:val="0"/>
                <w:color w:val="C00000"/>
                <w:kern w:val="0"/>
                <w:sz w:val="24"/>
                <w:szCs w:val="24"/>
                <w:highlight w:val="none"/>
                <w:lang w:val="en-US" w:eastAsia="zh-CN" w:bidi="ar-SA"/>
              </w:rPr>
            </w:pPr>
            <w:r>
              <w:rPr>
                <w:rFonts w:hint="eastAsia" w:ascii="宋体" w:hAnsi="宋体" w:eastAsia="宋体" w:cs="宋体"/>
                <w:color w:val="auto"/>
                <w:sz w:val="24"/>
                <w:szCs w:val="24"/>
              </w:rPr>
              <w:t>（10分）</w:t>
            </w:r>
          </w:p>
        </w:tc>
        <w:tc>
          <w:tcPr>
            <w:tcW w:w="4305" w:type="dxa"/>
            <w:shd w:val="clear" w:color="auto" w:fill="auto"/>
            <w:vAlign w:val="center"/>
          </w:tcPr>
          <w:p w14:paraId="49F426F8">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项目经理工程类技术职称情况：</w:t>
            </w:r>
          </w:p>
          <w:p w14:paraId="0AA7231F">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具</w:t>
            </w:r>
            <w:r>
              <w:rPr>
                <w:rFonts w:hint="eastAsia" w:ascii="宋体" w:hAnsi="宋体" w:eastAsia="宋体" w:cs="宋体"/>
                <w:color w:val="auto"/>
                <w:sz w:val="24"/>
                <w:szCs w:val="24"/>
                <w:highlight w:val="none"/>
              </w:rPr>
              <w:t>备工程师或以上</w:t>
            </w:r>
            <w:r>
              <w:rPr>
                <w:rFonts w:hint="eastAsia" w:ascii="宋体" w:hAnsi="宋体" w:eastAsia="宋体" w:cs="宋体"/>
                <w:color w:val="auto"/>
                <w:sz w:val="24"/>
                <w:szCs w:val="24"/>
              </w:rPr>
              <w:t>职称的，得</w:t>
            </w:r>
            <w:r>
              <w:rPr>
                <w:rFonts w:hint="eastAsia" w:ascii="宋体" w:hAnsi="宋体" w:eastAsia="宋体" w:cs="宋体"/>
                <w:color w:val="auto"/>
                <w:sz w:val="24"/>
                <w:szCs w:val="24"/>
                <w:u w:val="single"/>
              </w:rPr>
              <w:t>10</w:t>
            </w:r>
            <w:r>
              <w:rPr>
                <w:rFonts w:hint="eastAsia" w:ascii="宋体" w:hAnsi="宋体" w:eastAsia="宋体" w:cs="宋体"/>
                <w:color w:val="auto"/>
                <w:sz w:val="24"/>
                <w:szCs w:val="24"/>
              </w:rPr>
              <w:t>分。</w:t>
            </w:r>
          </w:p>
          <w:p w14:paraId="4B4E5162">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具备</w:t>
            </w:r>
            <w:r>
              <w:rPr>
                <w:rFonts w:hint="eastAsia" w:ascii="宋体" w:hAnsi="宋体" w:eastAsia="宋体" w:cs="宋体"/>
                <w:color w:val="auto"/>
                <w:sz w:val="24"/>
                <w:szCs w:val="24"/>
                <w:highlight w:val="none"/>
                <w:lang w:val="en-US" w:eastAsia="zh-CN"/>
              </w:rPr>
              <w:t>助理工程师</w:t>
            </w:r>
            <w:r>
              <w:rPr>
                <w:rFonts w:hint="eastAsia" w:ascii="宋体" w:hAnsi="宋体" w:eastAsia="宋体" w:cs="宋体"/>
                <w:color w:val="auto"/>
                <w:sz w:val="24"/>
                <w:szCs w:val="24"/>
                <w:highlight w:val="none"/>
              </w:rPr>
              <w:t>职称</w:t>
            </w:r>
            <w:r>
              <w:rPr>
                <w:rFonts w:hint="eastAsia" w:ascii="宋体" w:hAnsi="宋体" w:eastAsia="宋体" w:cs="宋体"/>
                <w:color w:val="auto"/>
                <w:sz w:val="24"/>
                <w:szCs w:val="24"/>
              </w:rPr>
              <w:t>的，得</w:t>
            </w:r>
            <w:r>
              <w:rPr>
                <w:rFonts w:hint="eastAsia" w:ascii="宋体" w:hAnsi="宋体" w:eastAsia="宋体" w:cs="宋体"/>
                <w:color w:val="auto"/>
                <w:sz w:val="24"/>
                <w:szCs w:val="24"/>
                <w:u w:val="single"/>
              </w:rPr>
              <w:t>5</w:t>
            </w:r>
            <w:r>
              <w:rPr>
                <w:rFonts w:hint="eastAsia" w:ascii="宋体" w:hAnsi="宋体" w:eastAsia="宋体" w:cs="宋体"/>
                <w:color w:val="auto"/>
                <w:sz w:val="24"/>
                <w:szCs w:val="24"/>
              </w:rPr>
              <w:t>分。</w:t>
            </w:r>
          </w:p>
          <w:p w14:paraId="3D8A34CB">
            <w:pPr>
              <w:widowControl w:val="0"/>
              <w:spacing w:line="360" w:lineRule="auto"/>
              <w:jc w:val="both"/>
              <w:rPr>
                <w:rFonts w:hint="eastAsia" w:ascii="宋体" w:hAnsi="宋体" w:eastAsia="宋体" w:cs="宋体"/>
                <w:color w:val="C00000"/>
                <w:kern w:val="2"/>
                <w:sz w:val="24"/>
                <w:szCs w:val="24"/>
                <w:highlight w:val="none"/>
                <w:lang w:val="en-US" w:eastAsia="zh-CN" w:bidi="ar-SA"/>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不具备以上职称的，或未提供职称证原件的，不予计分。</w:t>
            </w:r>
          </w:p>
        </w:tc>
        <w:tc>
          <w:tcPr>
            <w:tcW w:w="4324" w:type="dxa"/>
            <w:shd w:val="clear" w:color="auto" w:fill="auto"/>
            <w:vAlign w:val="center"/>
          </w:tcPr>
          <w:p w14:paraId="75217141">
            <w:pPr>
              <w:widowControl w:val="0"/>
              <w:spacing w:line="360" w:lineRule="auto"/>
              <w:jc w:val="both"/>
              <w:rPr>
                <w:rFonts w:hint="eastAsia" w:ascii="宋体" w:hAnsi="宋体" w:eastAsia="宋体" w:cs="宋体"/>
                <w:snapToGrid w:val="0"/>
                <w:color w:val="C00000"/>
                <w:kern w:val="0"/>
                <w:sz w:val="24"/>
                <w:szCs w:val="24"/>
                <w:highlight w:val="none"/>
                <w:lang w:val="en-US" w:eastAsia="zh-CN" w:bidi="ar-SA"/>
              </w:rPr>
            </w:pPr>
            <w:r>
              <w:rPr>
                <w:rFonts w:hint="eastAsia" w:ascii="宋体" w:hAnsi="宋体" w:eastAsia="宋体" w:cs="宋体"/>
                <w:color w:val="auto"/>
                <w:sz w:val="24"/>
                <w:szCs w:val="24"/>
              </w:rPr>
              <w:t>需附职称证彩色扫描件</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eastAsia="zh-CN"/>
              </w:rPr>
              <w:t>同时提供原件供核对（职称证为电子证书的除外）。</w:t>
            </w:r>
          </w:p>
        </w:tc>
      </w:tr>
      <w:tr w14:paraId="4CFB3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5" w:type="dxa"/>
            <w:gridSpan w:val="2"/>
            <w:shd w:val="clear" w:color="auto" w:fill="auto"/>
            <w:vAlign w:val="center"/>
          </w:tcPr>
          <w:p w14:paraId="4464BAA6">
            <w:pPr>
              <w:widowControl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企业业绩</w:t>
            </w:r>
          </w:p>
          <w:p w14:paraId="4D6A80F6">
            <w:pPr>
              <w:widowControl w:val="0"/>
              <w:spacing w:line="360" w:lineRule="auto"/>
              <w:jc w:val="center"/>
              <w:rPr>
                <w:rFonts w:hint="eastAsia" w:ascii="宋体" w:hAnsi="宋体" w:eastAsia="宋体" w:cs="宋体"/>
                <w:color w:val="C00000"/>
                <w:kern w:val="2"/>
                <w:sz w:val="24"/>
                <w:szCs w:val="24"/>
                <w:lang w:val="en-US" w:eastAsia="zh-CN" w:bidi="ar-SA"/>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分）</w:t>
            </w:r>
          </w:p>
        </w:tc>
        <w:tc>
          <w:tcPr>
            <w:tcW w:w="4305" w:type="dxa"/>
            <w:shd w:val="clear" w:color="auto" w:fill="auto"/>
            <w:vAlign w:val="center"/>
          </w:tcPr>
          <w:p w14:paraId="50D22A3F">
            <w:pPr>
              <w:widowControl w:val="0"/>
              <w:spacing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企业近</w:t>
            </w:r>
            <w:r>
              <w:rPr>
                <w:rFonts w:hint="eastAsia" w:ascii="宋体" w:hAnsi="宋体" w:eastAsia="宋体" w:cs="宋体"/>
                <w:color w:val="auto"/>
                <w:sz w:val="24"/>
                <w:szCs w:val="24"/>
                <w:highlight w:val="none"/>
                <w:u w:val="single"/>
                <w:lang w:val="en-US" w:eastAsia="zh-CN"/>
              </w:rPr>
              <w:t>5</w:t>
            </w:r>
            <w:r>
              <w:rPr>
                <w:rFonts w:hint="eastAsia" w:ascii="宋体" w:hAnsi="宋体" w:eastAsia="宋体" w:cs="宋体"/>
                <w:color w:val="auto"/>
                <w:sz w:val="24"/>
                <w:szCs w:val="24"/>
                <w:highlight w:val="none"/>
              </w:rPr>
              <w:t>年来（</w:t>
            </w:r>
            <w:r>
              <w:rPr>
                <w:rFonts w:hint="eastAsia" w:ascii="宋体" w:hAnsi="宋体" w:eastAsia="宋体" w:cs="宋体"/>
                <w:color w:val="auto"/>
                <w:sz w:val="24"/>
                <w:szCs w:val="24"/>
                <w:highlight w:val="none"/>
                <w:lang w:val="en-US" w:eastAsia="zh-CN"/>
              </w:rPr>
              <w:t>2020</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月1日</w:t>
            </w:r>
            <w:r>
              <w:rPr>
                <w:rFonts w:hint="eastAsia" w:ascii="宋体" w:hAnsi="宋体" w:eastAsia="宋体" w:cs="宋体"/>
                <w:color w:val="auto"/>
                <w:sz w:val="24"/>
                <w:szCs w:val="24"/>
                <w:highlight w:val="none"/>
                <w:lang w:eastAsia="zh-CN"/>
              </w:rPr>
              <w:t>至今</w:t>
            </w:r>
            <w:r>
              <w:rPr>
                <w:rFonts w:hint="eastAsia" w:ascii="宋体" w:hAnsi="宋体" w:eastAsia="宋体" w:cs="宋体"/>
                <w:color w:val="auto"/>
                <w:sz w:val="24"/>
                <w:szCs w:val="24"/>
                <w:highlight w:val="none"/>
              </w:rPr>
              <w:t>）业绩情况：</w:t>
            </w:r>
          </w:p>
          <w:p w14:paraId="128401AC">
            <w:pPr>
              <w:widowControl w:val="0"/>
              <w:spacing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u w:val="single"/>
              </w:rPr>
              <w:t>承接</w:t>
            </w:r>
            <w:r>
              <w:rPr>
                <w:rFonts w:hint="eastAsia" w:ascii="宋体" w:hAnsi="宋体" w:eastAsia="宋体" w:cs="宋体"/>
                <w:color w:val="auto"/>
                <w:sz w:val="24"/>
                <w:szCs w:val="24"/>
                <w:highlight w:val="none"/>
              </w:rPr>
              <w:t>过类似工程的，每个得</w:t>
            </w:r>
            <w:r>
              <w:rPr>
                <w:rFonts w:hint="eastAsia" w:ascii="宋体" w:hAnsi="宋体" w:eastAsia="宋体" w:cs="宋体"/>
                <w:color w:val="auto"/>
                <w:sz w:val="24"/>
                <w:szCs w:val="24"/>
                <w:highlight w:val="none"/>
                <w:u w:val="single"/>
              </w:rPr>
              <w:t>5</w:t>
            </w:r>
            <w:r>
              <w:rPr>
                <w:rFonts w:hint="eastAsia" w:ascii="宋体" w:hAnsi="宋体" w:eastAsia="宋体" w:cs="宋体"/>
                <w:color w:val="auto"/>
                <w:sz w:val="24"/>
                <w:szCs w:val="24"/>
                <w:highlight w:val="none"/>
              </w:rPr>
              <w:t>分。</w:t>
            </w:r>
          </w:p>
          <w:p w14:paraId="01BC7C8C">
            <w:pPr>
              <w:widowControl w:val="0"/>
              <w:spacing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未</w:t>
            </w:r>
            <w:r>
              <w:rPr>
                <w:rFonts w:hint="eastAsia" w:ascii="宋体" w:hAnsi="宋体" w:eastAsia="宋体" w:cs="宋体"/>
                <w:color w:val="auto"/>
                <w:sz w:val="24"/>
                <w:szCs w:val="24"/>
                <w:highlight w:val="none"/>
                <w:u w:val="single"/>
              </w:rPr>
              <w:t>承接</w:t>
            </w:r>
            <w:r>
              <w:rPr>
                <w:rFonts w:hint="eastAsia" w:ascii="宋体" w:hAnsi="宋体" w:eastAsia="宋体" w:cs="宋体"/>
                <w:color w:val="auto"/>
                <w:sz w:val="24"/>
                <w:szCs w:val="24"/>
                <w:highlight w:val="none"/>
              </w:rPr>
              <w:t>过类似工程的，不予计分。</w:t>
            </w:r>
          </w:p>
          <w:p w14:paraId="04AC50B6">
            <w:pPr>
              <w:widowControl w:val="0"/>
              <w:spacing w:line="360" w:lineRule="auto"/>
              <w:jc w:val="both"/>
              <w:rPr>
                <w:rFonts w:hint="eastAsia" w:ascii="宋体" w:hAnsi="宋体" w:eastAsia="宋体" w:cs="宋体"/>
                <w:color w:val="C00000"/>
                <w:kern w:val="2"/>
                <w:sz w:val="24"/>
                <w:szCs w:val="24"/>
                <w:lang w:val="en-US" w:eastAsia="zh-CN" w:bidi="ar-SA"/>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本项最高得</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分。</w:t>
            </w:r>
          </w:p>
        </w:tc>
        <w:tc>
          <w:tcPr>
            <w:tcW w:w="4324" w:type="dxa"/>
            <w:shd w:val="clear" w:color="auto" w:fill="auto"/>
            <w:vAlign w:val="center"/>
          </w:tcPr>
          <w:p w14:paraId="5177FC96">
            <w:pPr>
              <w:widowControl w:val="0"/>
              <w:spacing w:line="360" w:lineRule="auto"/>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类似工程指：类似工程指：</w:t>
            </w:r>
            <w:r>
              <w:rPr>
                <w:rFonts w:hint="eastAsia" w:ascii="宋体" w:hAnsi="宋体" w:eastAsia="宋体" w:cs="宋体"/>
                <w:color w:val="000000" w:themeColor="text1"/>
                <w:sz w:val="24"/>
                <w:szCs w:val="24"/>
                <w:highlight w:val="none"/>
                <w:u w:val="single"/>
                <w14:textFill>
                  <w14:solidFill>
                    <w14:schemeClr w14:val="tx1"/>
                  </w14:solidFill>
                </w14:textFill>
              </w:rPr>
              <w:t>合同金额≥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600</w:t>
            </w:r>
            <w:r>
              <w:rPr>
                <w:rFonts w:hint="eastAsia" w:ascii="宋体" w:hAnsi="宋体" w:eastAsia="宋体" w:cs="宋体"/>
                <w:color w:val="000000" w:themeColor="text1"/>
                <w:sz w:val="24"/>
                <w:szCs w:val="24"/>
                <w:highlight w:val="none"/>
                <w:u w:val="single"/>
                <w14:textFill>
                  <w14:solidFill>
                    <w14:schemeClr w14:val="tx1"/>
                  </w14:solidFill>
                </w14:textFill>
              </w:rPr>
              <w:t>万</w:t>
            </w:r>
            <w:r>
              <w:rPr>
                <w:rFonts w:hint="eastAsia" w:ascii="宋体" w:hAnsi="宋体" w:eastAsia="宋体" w:cs="宋体"/>
                <w:color w:val="000000" w:themeColor="text1"/>
                <w:sz w:val="24"/>
                <w:szCs w:val="24"/>
                <w:highlight w:val="none"/>
                <w14:textFill>
                  <w14:solidFill>
                    <w14:schemeClr w14:val="tx1"/>
                  </w14:solidFill>
                </w14:textFill>
              </w:rPr>
              <w:t>元的</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市政</w:t>
            </w:r>
            <w:r>
              <w:rPr>
                <w:rFonts w:hint="eastAsia" w:ascii="宋体" w:hAnsi="宋体" w:eastAsia="宋体" w:cs="宋体"/>
                <w:color w:val="000000" w:themeColor="text1"/>
                <w:sz w:val="24"/>
                <w:szCs w:val="24"/>
                <w:highlight w:val="none"/>
                <w:u w:val="single"/>
                <w14:textFill>
                  <w14:solidFill>
                    <w14:schemeClr w14:val="tx1"/>
                  </w14:solidFill>
                </w14:textFill>
              </w:rPr>
              <w:t>工程</w:t>
            </w:r>
            <w:r>
              <w:rPr>
                <w:rFonts w:hint="eastAsia" w:ascii="宋体" w:hAnsi="宋体" w:eastAsia="宋体" w:cs="宋体"/>
                <w:color w:val="000000" w:themeColor="text1"/>
                <w:sz w:val="24"/>
                <w:szCs w:val="24"/>
                <w:highlight w:val="none"/>
                <w14:textFill>
                  <w14:solidFill>
                    <w14:schemeClr w14:val="tx1"/>
                  </w14:solidFill>
                </w14:textFill>
              </w:rPr>
              <w:t>施工总承包工程或</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市政</w:t>
            </w:r>
            <w:r>
              <w:rPr>
                <w:rFonts w:hint="eastAsia" w:ascii="宋体" w:hAnsi="宋体" w:eastAsia="宋体" w:cs="宋体"/>
                <w:color w:val="000000" w:themeColor="text1"/>
                <w:sz w:val="24"/>
                <w:szCs w:val="24"/>
                <w:highlight w:val="none"/>
                <w14:textFill>
                  <w14:solidFill>
                    <w14:schemeClr w14:val="tx1"/>
                  </w14:solidFill>
                </w14:textFill>
              </w:rPr>
              <w:t>设计、施工总承包工程或</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市政</w:t>
            </w:r>
            <w:r>
              <w:rPr>
                <w:rFonts w:hint="eastAsia" w:ascii="宋体" w:hAnsi="宋体" w:eastAsia="宋体" w:cs="宋体"/>
                <w:color w:val="000000" w:themeColor="text1"/>
                <w:sz w:val="24"/>
                <w:szCs w:val="24"/>
                <w:highlight w:val="none"/>
                <w14:textFill>
                  <w14:solidFill>
                    <w14:schemeClr w14:val="tx1"/>
                  </w14:solidFill>
                </w14:textFill>
              </w:rPr>
              <w:t>勘察、设计、施工总承包工程。</w:t>
            </w:r>
          </w:p>
          <w:p w14:paraId="2BAD5387">
            <w:pPr>
              <w:widowControl w:val="0"/>
              <w:spacing w:line="360" w:lineRule="auto"/>
              <w:jc w:val="both"/>
              <w:rPr>
                <w:rFonts w:hint="eastAsia" w:ascii="宋体" w:hAnsi="宋体" w:eastAsia="宋体" w:cs="宋体"/>
                <w:color w:val="auto"/>
                <w:sz w:val="24"/>
                <w:szCs w:val="24"/>
                <w:highlight w:val="none"/>
              </w:rPr>
            </w:pPr>
            <w:r>
              <w:rPr>
                <w:rFonts w:hint="eastAsia" w:ascii="宋体" w:hAnsi="宋体" w:eastAsia="宋体" w:cs="宋体"/>
                <w:color w:val="000000" w:themeColor="text1"/>
                <w:sz w:val="24"/>
                <w:szCs w:val="24"/>
                <w:highlight w:val="none"/>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需附有关业绩（仅限于</w:t>
            </w:r>
            <w:r>
              <w:rPr>
                <w:rFonts w:hint="eastAsia" w:ascii="宋体" w:hAnsi="宋体" w:eastAsia="宋体" w:cs="宋体"/>
                <w:color w:val="auto"/>
                <w:sz w:val="24"/>
                <w:szCs w:val="24"/>
                <w:highlight w:val="none"/>
              </w:rPr>
              <w:t>以施工总承包单位身份参建的项目）合同协议书彩色扫描件，</w:t>
            </w:r>
            <w:r>
              <w:rPr>
                <w:rFonts w:hint="eastAsia" w:ascii="宋体" w:hAnsi="宋体" w:eastAsia="宋体" w:cs="宋体"/>
                <w:b/>
                <w:bCs/>
                <w:color w:val="auto"/>
                <w:sz w:val="24"/>
                <w:szCs w:val="24"/>
                <w:highlight w:val="none"/>
              </w:rPr>
              <w:t>同时提供原件供核对。</w:t>
            </w:r>
          </w:p>
          <w:p w14:paraId="6EA264D3">
            <w:pPr>
              <w:widowControl w:val="0"/>
              <w:spacing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业绩时间以合同协议书日期为准。</w:t>
            </w:r>
          </w:p>
          <w:p w14:paraId="3D5F84E8">
            <w:pPr>
              <w:widowControl w:val="0"/>
              <w:spacing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任一业绩有以下情形之一的，该业绩视为无效，不予计分：</w:t>
            </w:r>
          </w:p>
          <w:p w14:paraId="38D94A64">
            <w:pPr>
              <w:widowControl w:val="0"/>
              <w:spacing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①未提供业绩证明材料原件的；</w:t>
            </w:r>
          </w:p>
          <w:p w14:paraId="0B076ACB">
            <w:pPr>
              <w:widowControl w:val="0"/>
              <w:spacing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②业绩不属于类似工程的；</w:t>
            </w:r>
          </w:p>
          <w:p w14:paraId="69A37666">
            <w:pPr>
              <w:widowControl w:val="0"/>
              <w:spacing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③不是以指定身份参建的；</w:t>
            </w:r>
          </w:p>
          <w:p w14:paraId="127E729E">
            <w:pPr>
              <w:widowControl w:val="0"/>
              <w:spacing w:line="360" w:lineRule="auto"/>
              <w:jc w:val="both"/>
              <w:rPr>
                <w:rFonts w:hint="eastAsia" w:ascii="宋体" w:hAnsi="宋体" w:eastAsia="宋体" w:cs="宋体"/>
                <w:i/>
                <w:iCs/>
                <w:snapToGrid w:val="0"/>
                <w:color w:val="C00000"/>
                <w:kern w:val="0"/>
                <w:sz w:val="24"/>
                <w:szCs w:val="24"/>
                <w:highlight w:val="none"/>
                <w:lang w:val="en-US" w:eastAsia="zh-CN" w:bidi="ar-SA"/>
              </w:rPr>
            </w:pPr>
            <w:r>
              <w:rPr>
                <w:rFonts w:hint="eastAsia" w:ascii="宋体" w:hAnsi="宋体" w:eastAsia="宋体" w:cs="宋体"/>
                <w:color w:val="auto"/>
                <w:sz w:val="24"/>
                <w:szCs w:val="24"/>
                <w:highlight w:val="none"/>
              </w:rPr>
              <w:t>④业绩时间不符合要求的</w:t>
            </w:r>
            <w:r>
              <w:rPr>
                <w:rFonts w:hint="eastAsia" w:ascii="宋体" w:hAnsi="宋体" w:eastAsia="宋体" w:cs="宋体"/>
                <w:color w:val="auto"/>
                <w:sz w:val="24"/>
                <w:szCs w:val="24"/>
                <w:highlight w:val="none"/>
                <w:lang w:eastAsia="zh-CN"/>
              </w:rPr>
              <w:t>。</w:t>
            </w:r>
          </w:p>
        </w:tc>
      </w:tr>
      <w:tr w14:paraId="27287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5" w:type="dxa"/>
            <w:gridSpan w:val="2"/>
            <w:shd w:val="clear" w:color="auto" w:fill="auto"/>
            <w:vAlign w:val="center"/>
          </w:tcPr>
          <w:p w14:paraId="0AF5E7EA">
            <w:pPr>
              <w:widowControl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企业银行</w:t>
            </w:r>
          </w:p>
          <w:p w14:paraId="4DD75E4F">
            <w:pPr>
              <w:widowControl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资信评级</w:t>
            </w:r>
          </w:p>
          <w:p w14:paraId="2069DA67">
            <w:pPr>
              <w:widowControl w:val="0"/>
              <w:spacing w:line="360" w:lineRule="auto"/>
              <w:jc w:val="center"/>
              <w:rPr>
                <w:rFonts w:hint="eastAsia" w:ascii="宋体" w:hAnsi="宋体" w:eastAsia="宋体" w:cs="宋体"/>
                <w:snapToGrid w:val="0"/>
                <w:color w:val="C00000"/>
                <w:kern w:val="0"/>
                <w:sz w:val="24"/>
                <w:szCs w:val="24"/>
                <w:highlight w:val="none"/>
                <w:lang w:val="en-US" w:eastAsia="zh-CN" w:bidi="ar-SA"/>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10</w:t>
            </w:r>
            <w:r>
              <w:rPr>
                <w:rFonts w:hint="eastAsia" w:ascii="宋体" w:hAnsi="宋体" w:eastAsia="宋体" w:cs="宋体"/>
                <w:color w:val="auto"/>
                <w:sz w:val="24"/>
                <w:szCs w:val="24"/>
              </w:rPr>
              <w:t>分）</w:t>
            </w:r>
          </w:p>
        </w:tc>
        <w:tc>
          <w:tcPr>
            <w:tcW w:w="4305" w:type="dxa"/>
            <w:shd w:val="clear" w:color="auto" w:fill="auto"/>
            <w:vAlign w:val="center"/>
          </w:tcPr>
          <w:p w14:paraId="126200F7">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银行资信评级AAA的，得</w:t>
            </w:r>
            <w:r>
              <w:rPr>
                <w:rFonts w:hint="eastAsia" w:ascii="宋体" w:hAnsi="宋体" w:eastAsia="宋体" w:cs="宋体"/>
                <w:color w:val="auto"/>
                <w:sz w:val="24"/>
                <w:szCs w:val="24"/>
                <w:u w:val="single"/>
                <w:lang w:val="en-US" w:eastAsia="zh-CN"/>
              </w:rPr>
              <w:t>10</w:t>
            </w:r>
            <w:r>
              <w:rPr>
                <w:rFonts w:hint="eastAsia" w:ascii="宋体" w:hAnsi="宋体" w:eastAsia="宋体" w:cs="宋体"/>
                <w:color w:val="auto"/>
                <w:sz w:val="24"/>
                <w:szCs w:val="24"/>
                <w:u w:val="none"/>
              </w:rPr>
              <w:t>分</w:t>
            </w:r>
            <w:r>
              <w:rPr>
                <w:rFonts w:hint="eastAsia" w:ascii="宋体" w:hAnsi="宋体" w:eastAsia="宋体" w:cs="宋体"/>
                <w:color w:val="auto"/>
                <w:sz w:val="24"/>
                <w:szCs w:val="24"/>
              </w:rPr>
              <w:t>；</w:t>
            </w:r>
          </w:p>
          <w:p w14:paraId="696C8CAC">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银行资信评级AA（含AA＋、AA－）的，得</w:t>
            </w:r>
            <w:r>
              <w:rPr>
                <w:rFonts w:hint="eastAsia" w:ascii="宋体" w:hAnsi="宋体" w:eastAsia="宋体" w:cs="宋体"/>
                <w:color w:val="auto"/>
                <w:sz w:val="24"/>
                <w:szCs w:val="24"/>
                <w:u w:val="single"/>
                <w:lang w:val="en-US" w:eastAsia="zh-CN"/>
              </w:rPr>
              <w:t>5</w:t>
            </w:r>
            <w:r>
              <w:rPr>
                <w:rFonts w:hint="eastAsia" w:ascii="宋体" w:hAnsi="宋体" w:eastAsia="宋体" w:cs="宋体"/>
                <w:color w:val="auto"/>
                <w:sz w:val="24"/>
                <w:szCs w:val="24"/>
              </w:rPr>
              <w:t>分。</w:t>
            </w:r>
          </w:p>
          <w:p w14:paraId="0E14EA90">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银行资信评级A（含A＋、A－）的，得</w:t>
            </w:r>
            <w:r>
              <w:rPr>
                <w:rFonts w:hint="eastAsia" w:ascii="宋体" w:hAnsi="宋体" w:eastAsia="宋体" w:cs="宋体"/>
                <w:color w:val="auto"/>
                <w:sz w:val="24"/>
                <w:szCs w:val="24"/>
                <w:u w:val="single"/>
                <w:lang w:val="en-US" w:eastAsia="zh-CN"/>
              </w:rPr>
              <w:t>2</w:t>
            </w:r>
            <w:r>
              <w:rPr>
                <w:rFonts w:hint="eastAsia" w:ascii="宋体" w:hAnsi="宋体" w:eastAsia="宋体" w:cs="宋体"/>
                <w:color w:val="auto"/>
                <w:sz w:val="24"/>
                <w:szCs w:val="24"/>
              </w:rPr>
              <w:t>分。</w:t>
            </w:r>
          </w:p>
          <w:p w14:paraId="532CB979">
            <w:pPr>
              <w:widowControl w:val="0"/>
              <w:spacing w:line="360" w:lineRule="auto"/>
              <w:jc w:val="both"/>
              <w:rPr>
                <w:rFonts w:hint="eastAsia" w:ascii="宋体" w:hAnsi="宋体" w:eastAsia="宋体" w:cs="宋体"/>
                <w:snapToGrid w:val="0"/>
                <w:color w:val="C00000"/>
                <w:kern w:val="0"/>
                <w:sz w:val="24"/>
                <w:szCs w:val="24"/>
                <w:highlight w:val="none"/>
                <w:lang w:val="en-US" w:eastAsia="zh-CN" w:bidi="ar-SA"/>
              </w:rPr>
            </w:pPr>
            <w:r>
              <w:rPr>
                <w:rFonts w:hint="eastAsia" w:ascii="宋体" w:hAnsi="宋体" w:eastAsia="宋体" w:cs="宋体"/>
                <w:color w:val="auto"/>
                <w:sz w:val="24"/>
                <w:szCs w:val="24"/>
              </w:rPr>
              <w:t>4</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未获得过以上评级的，或评级证书（证明）无效的，不予计分。</w:t>
            </w:r>
          </w:p>
        </w:tc>
        <w:tc>
          <w:tcPr>
            <w:tcW w:w="4324" w:type="dxa"/>
            <w:shd w:val="clear" w:color="auto" w:fill="auto"/>
            <w:vAlign w:val="center"/>
          </w:tcPr>
          <w:p w14:paraId="4ADBF5ED">
            <w:pPr>
              <w:widowControl w:val="0"/>
              <w:spacing w:line="360" w:lineRule="auto"/>
              <w:jc w:val="both"/>
              <w:rPr>
                <w:rFonts w:hint="eastAsia" w:ascii="宋体" w:hAnsi="宋体" w:eastAsia="宋体" w:cs="宋体"/>
                <w:b/>
                <w:bCs/>
                <w:color w:val="auto"/>
                <w:sz w:val="24"/>
                <w:szCs w:val="24"/>
                <w:lang w:eastAsia="zh-CN"/>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需附在有效期内的资信评级证书（证明）彩色扫描件</w:t>
            </w:r>
            <w:r>
              <w:rPr>
                <w:rFonts w:hint="eastAsia" w:ascii="宋体" w:hAnsi="宋体" w:eastAsia="宋体" w:cs="宋体"/>
                <w:color w:val="auto"/>
                <w:sz w:val="24"/>
                <w:szCs w:val="24"/>
                <w:lang w:eastAsia="zh-CN"/>
              </w:rPr>
              <w:t>，</w:t>
            </w:r>
            <w:r>
              <w:rPr>
                <w:rFonts w:hint="eastAsia" w:ascii="宋体" w:hAnsi="宋体" w:eastAsia="宋体" w:cs="宋体"/>
                <w:b/>
                <w:bCs/>
                <w:color w:val="000000" w:themeColor="text1"/>
                <w:sz w:val="24"/>
                <w:szCs w:val="24"/>
                <w:lang w:eastAsia="zh-CN"/>
                <w14:textFill>
                  <w14:solidFill>
                    <w14:schemeClr w14:val="tx1"/>
                  </w14:solidFill>
                </w14:textFill>
              </w:rPr>
              <w:t>同时提供原件供核对（证书为电子证书的除外）</w:t>
            </w:r>
            <w:r>
              <w:rPr>
                <w:rFonts w:hint="eastAsia" w:ascii="宋体" w:hAnsi="宋体" w:eastAsia="宋体" w:cs="宋体"/>
                <w:color w:val="auto"/>
                <w:sz w:val="24"/>
                <w:szCs w:val="24"/>
                <w:lang w:eastAsia="zh-CN"/>
              </w:rPr>
              <w:t>。</w:t>
            </w:r>
          </w:p>
          <w:p w14:paraId="26FCDFC5">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评级证书（证明）须由</w:t>
            </w:r>
            <w:r>
              <w:rPr>
                <w:rFonts w:hint="eastAsia" w:ascii="宋体" w:hAnsi="宋体" w:eastAsia="宋体" w:cs="宋体"/>
                <w:color w:val="auto"/>
                <w:sz w:val="24"/>
                <w:szCs w:val="24"/>
                <w:u w:val="single"/>
                <w:lang w:val="en-US" w:eastAsia="zh-CN"/>
              </w:rPr>
              <w:t>市级或以上银行</w:t>
            </w:r>
            <w:r>
              <w:rPr>
                <w:rFonts w:hint="eastAsia" w:ascii="宋体" w:hAnsi="宋体" w:eastAsia="宋体" w:cs="宋体"/>
                <w:color w:val="auto"/>
                <w:sz w:val="24"/>
                <w:szCs w:val="24"/>
              </w:rPr>
              <w:t>出具。</w:t>
            </w:r>
          </w:p>
          <w:p w14:paraId="484E61FD">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评级证书（证明）有以下情形之一的，视为无效：</w:t>
            </w:r>
          </w:p>
          <w:p w14:paraId="649D21E0">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①未提供评级证书（证明）原件的；</w:t>
            </w:r>
          </w:p>
          <w:p w14:paraId="3CD55CB5">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②评级证书（证明）不在有效期内的；</w:t>
            </w:r>
          </w:p>
          <w:p w14:paraId="35169B24">
            <w:pPr>
              <w:widowControl w:val="0"/>
              <w:spacing w:line="360" w:lineRule="auto"/>
              <w:jc w:val="both"/>
              <w:rPr>
                <w:rFonts w:hint="eastAsia" w:ascii="宋体" w:hAnsi="宋体" w:eastAsia="宋体" w:cs="宋体"/>
                <w:snapToGrid w:val="0"/>
                <w:color w:val="C00000"/>
                <w:kern w:val="0"/>
                <w:sz w:val="24"/>
                <w:szCs w:val="24"/>
                <w:highlight w:val="none"/>
                <w:lang w:val="en-US" w:eastAsia="zh-CN" w:bidi="ar-SA"/>
              </w:rPr>
            </w:pPr>
            <w:r>
              <w:rPr>
                <w:rFonts w:hint="eastAsia" w:ascii="宋体" w:hAnsi="宋体" w:eastAsia="宋体" w:cs="宋体"/>
                <w:color w:val="auto"/>
                <w:sz w:val="24"/>
                <w:szCs w:val="24"/>
              </w:rPr>
              <w:t>③出具机构不符合要求的。</w:t>
            </w:r>
          </w:p>
        </w:tc>
      </w:tr>
      <w:tr w14:paraId="38EA2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5" w:type="dxa"/>
            <w:gridSpan w:val="2"/>
            <w:shd w:val="clear" w:color="auto" w:fill="auto"/>
            <w:vAlign w:val="center"/>
          </w:tcPr>
          <w:p w14:paraId="1D60EC04">
            <w:pPr>
              <w:widowControl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企业管理</w:t>
            </w:r>
          </w:p>
          <w:p w14:paraId="05EEAD11">
            <w:pPr>
              <w:widowControl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体系认证</w:t>
            </w:r>
          </w:p>
          <w:p w14:paraId="16A3BEF4">
            <w:pPr>
              <w:widowControl w:val="0"/>
              <w:spacing w:line="360" w:lineRule="auto"/>
              <w:jc w:val="center"/>
              <w:rPr>
                <w:rFonts w:hint="eastAsia" w:ascii="宋体" w:hAnsi="宋体" w:eastAsia="宋体" w:cs="宋体"/>
                <w:snapToGrid w:val="0"/>
                <w:color w:val="C00000"/>
                <w:kern w:val="0"/>
                <w:sz w:val="24"/>
                <w:szCs w:val="24"/>
                <w:highlight w:val="none"/>
                <w:lang w:val="en-US" w:eastAsia="zh-CN" w:bidi="ar-SA"/>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10</w:t>
            </w:r>
            <w:r>
              <w:rPr>
                <w:rFonts w:hint="eastAsia" w:ascii="宋体" w:hAnsi="宋体" w:eastAsia="宋体" w:cs="宋体"/>
                <w:color w:val="auto"/>
                <w:sz w:val="24"/>
                <w:szCs w:val="24"/>
              </w:rPr>
              <w:t>分）</w:t>
            </w:r>
          </w:p>
        </w:tc>
        <w:tc>
          <w:tcPr>
            <w:tcW w:w="4305" w:type="dxa"/>
            <w:shd w:val="clear" w:color="auto" w:fill="auto"/>
            <w:vAlign w:val="center"/>
          </w:tcPr>
          <w:p w14:paraId="3D3A80E3">
            <w:pPr>
              <w:widowControl w:val="0"/>
              <w:numPr>
                <w:ilvl w:val="0"/>
                <w:numId w:val="0"/>
              </w:numPr>
              <w:spacing w:before="65" w:line="334" w:lineRule="auto"/>
              <w:ind w:right="105" w:rightChars="0"/>
              <w:jc w:val="both"/>
              <w:rPr>
                <w:rFonts w:hint="eastAsia" w:ascii="宋体" w:hAnsi="宋体" w:eastAsia="宋体" w:cs="宋体"/>
                <w:snapToGrid w:val="0"/>
                <w:color w:val="auto"/>
                <w:sz w:val="24"/>
                <w:szCs w:val="24"/>
                <w:lang w:val="en-US" w:eastAsia="en-US" w:bidi="ar-SA"/>
              </w:rPr>
            </w:pPr>
            <w:r>
              <w:rPr>
                <w:rFonts w:hint="eastAsia" w:ascii="宋体" w:hAnsi="宋体" w:eastAsia="宋体" w:cs="宋体"/>
                <w:snapToGrid w:val="0"/>
                <w:color w:val="auto"/>
                <w:kern w:val="2"/>
                <w:sz w:val="24"/>
                <w:szCs w:val="24"/>
                <w:lang w:val="en-US" w:eastAsia="en-US" w:bidi="ar-SA"/>
              </w:rPr>
              <w:t>1.</w:t>
            </w:r>
            <w:r>
              <w:rPr>
                <w:rFonts w:hint="eastAsia" w:ascii="宋体" w:hAnsi="宋体" w:eastAsia="宋体" w:cs="宋体"/>
                <w:snapToGrid w:val="0"/>
                <w:color w:val="auto"/>
                <w:sz w:val="24"/>
                <w:szCs w:val="24"/>
                <w:lang w:val="en-US" w:eastAsia="en-US" w:bidi="ar-SA"/>
              </w:rPr>
              <w:t xml:space="preserve">质量管理体系认证、职业健康安全管理体系认证、环境管理体系认证中，每获得 1 项认证得 </w:t>
            </w:r>
            <w:r>
              <w:rPr>
                <w:rFonts w:hint="eastAsia" w:ascii="宋体" w:hAnsi="宋体" w:eastAsia="宋体" w:cs="宋体"/>
                <w:snapToGrid w:val="0"/>
                <w:color w:val="auto"/>
                <w:sz w:val="24"/>
                <w:szCs w:val="24"/>
                <w:lang w:val="en-US" w:eastAsia="zh-CN" w:bidi="ar-SA"/>
              </w:rPr>
              <w:t>4</w:t>
            </w:r>
            <w:r>
              <w:rPr>
                <w:rFonts w:hint="eastAsia" w:ascii="宋体" w:hAnsi="宋体" w:eastAsia="宋体" w:cs="宋体"/>
                <w:snapToGrid w:val="0"/>
                <w:color w:val="auto"/>
                <w:sz w:val="24"/>
                <w:szCs w:val="24"/>
                <w:lang w:val="en-US" w:eastAsia="en-US" w:bidi="ar-SA"/>
              </w:rPr>
              <w:t xml:space="preserve"> 分，最高得 </w:t>
            </w:r>
            <w:r>
              <w:rPr>
                <w:rFonts w:hint="eastAsia" w:ascii="宋体" w:hAnsi="宋体" w:eastAsia="宋体" w:cs="宋体"/>
                <w:snapToGrid w:val="0"/>
                <w:color w:val="auto"/>
                <w:sz w:val="24"/>
                <w:szCs w:val="24"/>
                <w:lang w:val="en-US" w:eastAsia="zh-CN" w:bidi="ar-SA"/>
              </w:rPr>
              <w:t>10</w:t>
            </w:r>
            <w:r>
              <w:rPr>
                <w:rFonts w:hint="eastAsia" w:ascii="宋体" w:hAnsi="宋体" w:eastAsia="宋体" w:cs="宋体"/>
                <w:snapToGrid w:val="0"/>
                <w:color w:val="auto"/>
                <w:sz w:val="24"/>
                <w:szCs w:val="24"/>
                <w:lang w:val="en-US" w:eastAsia="en-US" w:bidi="ar-SA"/>
              </w:rPr>
              <w:t xml:space="preserve"> 分。</w:t>
            </w:r>
          </w:p>
          <w:p w14:paraId="63B6F3E3">
            <w:pPr>
              <w:widowControl w:val="0"/>
              <w:numPr>
                <w:ilvl w:val="0"/>
                <w:numId w:val="0"/>
              </w:numPr>
              <w:spacing w:before="65" w:line="334" w:lineRule="auto"/>
              <w:ind w:left="0" w:leftChars="0" w:right="105" w:rightChars="0" w:firstLine="0" w:firstLineChars="0"/>
              <w:jc w:val="both"/>
              <w:rPr>
                <w:rFonts w:hint="eastAsia" w:ascii="宋体" w:hAnsi="宋体" w:eastAsia="宋体" w:cs="宋体"/>
                <w:snapToGrid w:val="0"/>
                <w:color w:val="C00000"/>
                <w:kern w:val="0"/>
                <w:sz w:val="24"/>
                <w:szCs w:val="24"/>
                <w:highlight w:val="none"/>
                <w:lang w:val="en-US" w:eastAsia="zh-CN" w:bidi="ar-SA"/>
              </w:rPr>
            </w:pPr>
            <w:r>
              <w:rPr>
                <w:rFonts w:hint="eastAsia" w:ascii="宋体" w:hAnsi="宋体" w:eastAsia="宋体" w:cs="宋体"/>
                <w:snapToGrid w:val="0"/>
                <w:color w:val="auto"/>
                <w:sz w:val="24"/>
                <w:szCs w:val="24"/>
                <w:lang w:val="en-US" w:eastAsia="en-US" w:bidi="ar-SA"/>
              </w:rPr>
              <w:t>2</w:t>
            </w:r>
            <w:r>
              <w:rPr>
                <w:rFonts w:hint="eastAsia" w:ascii="宋体" w:hAnsi="宋体" w:eastAsia="宋体" w:cs="宋体"/>
                <w:snapToGrid w:val="0"/>
                <w:color w:val="auto"/>
                <w:sz w:val="24"/>
                <w:szCs w:val="24"/>
                <w:lang w:val="en-US" w:eastAsia="zh-CN" w:bidi="ar-SA"/>
              </w:rPr>
              <w:t>.</w:t>
            </w:r>
            <w:r>
              <w:rPr>
                <w:rFonts w:hint="eastAsia" w:ascii="宋体" w:hAnsi="宋体" w:eastAsia="宋体" w:cs="宋体"/>
                <w:snapToGrid w:val="0"/>
                <w:color w:val="auto"/>
                <w:sz w:val="24"/>
                <w:szCs w:val="24"/>
                <w:lang w:val="en-US" w:eastAsia="en-US" w:bidi="ar-SA"/>
              </w:rPr>
              <w:t>未获得以上认证的，不予计分。</w:t>
            </w:r>
          </w:p>
        </w:tc>
        <w:tc>
          <w:tcPr>
            <w:tcW w:w="4324" w:type="dxa"/>
            <w:shd w:val="clear" w:color="auto" w:fill="auto"/>
            <w:vAlign w:val="top"/>
          </w:tcPr>
          <w:p w14:paraId="0CBD0D0A">
            <w:pPr>
              <w:keepNext w:val="0"/>
              <w:keepLines w:val="0"/>
              <w:pageBreakBefore w:val="0"/>
              <w:widowControl w:val="0"/>
              <w:kinsoku/>
              <w:wordWrap/>
              <w:overflowPunct/>
              <w:topLinePunct w:val="0"/>
              <w:autoSpaceDE/>
              <w:autoSpaceDN/>
              <w:bidi w:val="0"/>
              <w:adjustRightInd w:val="0"/>
              <w:snapToGrid w:val="0"/>
              <w:spacing w:line="360" w:lineRule="auto"/>
              <w:ind w:left="123" w:right="37" w:firstLine="6"/>
              <w:jc w:val="both"/>
              <w:textAlignment w:val="auto"/>
              <w:rPr>
                <w:rFonts w:hint="eastAsia" w:ascii="宋体" w:hAnsi="宋体" w:eastAsia="宋体" w:cs="宋体"/>
                <w:snapToGrid w:val="0"/>
                <w:color w:val="auto"/>
                <w:sz w:val="24"/>
                <w:szCs w:val="24"/>
                <w:lang w:val="en-US" w:eastAsia="en-US" w:bidi="ar-SA"/>
              </w:rPr>
            </w:pPr>
            <w:r>
              <w:rPr>
                <w:rFonts w:hint="eastAsia" w:ascii="宋体" w:hAnsi="宋体" w:eastAsia="宋体" w:cs="宋体"/>
                <w:snapToGrid w:val="0"/>
                <w:color w:val="auto"/>
                <w:sz w:val="24"/>
                <w:szCs w:val="24"/>
                <w:lang w:val="en-US" w:eastAsia="en-US" w:bidi="ar-SA"/>
              </w:rPr>
              <w:t>1</w:t>
            </w:r>
            <w:r>
              <w:rPr>
                <w:rFonts w:hint="eastAsia" w:ascii="宋体" w:hAnsi="宋体" w:eastAsia="宋体" w:cs="宋体"/>
                <w:snapToGrid w:val="0"/>
                <w:color w:val="auto"/>
                <w:sz w:val="24"/>
                <w:szCs w:val="24"/>
                <w:lang w:val="en-US" w:eastAsia="zh-CN" w:bidi="ar-SA"/>
              </w:rPr>
              <w:t>.</w:t>
            </w:r>
            <w:r>
              <w:rPr>
                <w:rFonts w:hint="eastAsia" w:ascii="宋体" w:hAnsi="宋体" w:eastAsia="宋体" w:cs="宋体"/>
                <w:snapToGrid w:val="0"/>
                <w:color w:val="auto"/>
                <w:sz w:val="24"/>
                <w:szCs w:val="24"/>
                <w:lang w:val="en-US" w:eastAsia="en-US" w:bidi="ar-SA"/>
              </w:rPr>
              <w:t>需附在有效期内的认证证书彩色扫描件</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eastAsia="zh-CN"/>
              </w:rPr>
              <w:t>同时提供原件供核对（证书为电子证书的除外）</w:t>
            </w:r>
            <w:r>
              <w:rPr>
                <w:rFonts w:hint="eastAsia" w:ascii="宋体" w:hAnsi="宋体" w:eastAsia="宋体" w:cs="宋体"/>
                <w:snapToGrid w:val="0"/>
                <w:color w:val="auto"/>
                <w:sz w:val="24"/>
                <w:szCs w:val="24"/>
                <w:lang w:val="en-US" w:eastAsia="en-US" w:bidi="ar-SA"/>
              </w:rPr>
              <w:t>。</w:t>
            </w:r>
          </w:p>
          <w:p w14:paraId="09563DBF">
            <w:pPr>
              <w:keepNext w:val="0"/>
              <w:keepLines w:val="0"/>
              <w:pageBreakBefore w:val="0"/>
              <w:widowControl w:val="0"/>
              <w:kinsoku/>
              <w:wordWrap/>
              <w:overflowPunct/>
              <w:topLinePunct w:val="0"/>
              <w:autoSpaceDE/>
              <w:autoSpaceDN/>
              <w:bidi w:val="0"/>
              <w:adjustRightInd w:val="0"/>
              <w:snapToGrid w:val="0"/>
              <w:spacing w:line="360" w:lineRule="auto"/>
              <w:ind w:left="116" w:right="109" w:hanging="7"/>
              <w:jc w:val="both"/>
              <w:textAlignment w:val="auto"/>
              <w:rPr>
                <w:rFonts w:hint="eastAsia" w:ascii="宋体" w:hAnsi="宋体" w:eastAsia="宋体" w:cs="宋体"/>
                <w:snapToGrid w:val="0"/>
                <w:color w:val="auto"/>
                <w:sz w:val="24"/>
                <w:szCs w:val="24"/>
                <w:lang w:val="en-US" w:eastAsia="en-US" w:bidi="ar-SA"/>
              </w:rPr>
            </w:pPr>
            <w:r>
              <w:rPr>
                <w:rFonts w:hint="eastAsia" w:ascii="宋体" w:hAnsi="宋体" w:eastAsia="宋体" w:cs="宋体"/>
                <w:snapToGrid w:val="0"/>
                <w:color w:val="auto"/>
                <w:sz w:val="24"/>
                <w:szCs w:val="24"/>
                <w:lang w:val="en-US" w:eastAsia="zh-CN" w:bidi="ar-SA"/>
              </w:rPr>
              <w:t>2.</w:t>
            </w:r>
            <w:r>
              <w:rPr>
                <w:rFonts w:hint="eastAsia" w:ascii="宋体" w:hAnsi="宋体" w:eastAsia="宋体" w:cs="宋体"/>
                <w:snapToGrid w:val="0"/>
                <w:color w:val="auto"/>
                <w:sz w:val="24"/>
                <w:szCs w:val="24"/>
                <w:lang w:val="en-US" w:eastAsia="en-US" w:bidi="ar-SA"/>
              </w:rPr>
              <w:t>任一认证证书有以下情形之一的，该认证证书视为无效，不予计分：</w:t>
            </w:r>
          </w:p>
          <w:p w14:paraId="518B3A0A">
            <w:pPr>
              <w:keepNext w:val="0"/>
              <w:keepLines w:val="0"/>
              <w:pageBreakBefore w:val="0"/>
              <w:widowControl w:val="0"/>
              <w:kinsoku/>
              <w:wordWrap/>
              <w:overflowPunct/>
              <w:topLinePunct w:val="0"/>
              <w:autoSpaceDE/>
              <w:autoSpaceDN/>
              <w:bidi w:val="0"/>
              <w:adjustRightInd w:val="0"/>
              <w:snapToGrid w:val="0"/>
              <w:spacing w:line="360" w:lineRule="auto"/>
              <w:ind w:left="116" w:right="109" w:hanging="7"/>
              <w:jc w:val="both"/>
              <w:textAlignment w:val="auto"/>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①未提供认证证书原件的；</w:t>
            </w:r>
          </w:p>
          <w:p w14:paraId="4687AB1F">
            <w:pPr>
              <w:keepNext w:val="0"/>
              <w:keepLines w:val="0"/>
              <w:pageBreakBefore w:val="0"/>
              <w:widowControl w:val="0"/>
              <w:kinsoku/>
              <w:wordWrap/>
              <w:overflowPunct/>
              <w:topLinePunct w:val="0"/>
              <w:autoSpaceDE/>
              <w:autoSpaceDN/>
              <w:bidi w:val="0"/>
              <w:adjustRightInd w:val="0"/>
              <w:snapToGrid w:val="0"/>
              <w:spacing w:line="360" w:lineRule="auto"/>
              <w:ind w:left="116" w:leftChars="0" w:right="109" w:rightChars="0" w:hanging="7" w:firstLineChars="0"/>
              <w:jc w:val="both"/>
              <w:textAlignment w:val="auto"/>
              <w:rPr>
                <w:rFonts w:hint="eastAsia" w:ascii="宋体" w:hAnsi="宋体" w:eastAsia="宋体" w:cs="宋体"/>
                <w:snapToGrid w:val="0"/>
                <w:color w:val="C00000"/>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
              </w:rPr>
              <w:t>②认证证书不在有效期内的。</w:t>
            </w:r>
          </w:p>
        </w:tc>
      </w:tr>
      <w:tr w14:paraId="6E693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25" w:type="dxa"/>
            <w:gridSpan w:val="2"/>
            <w:shd w:val="clear" w:color="auto" w:fill="auto"/>
            <w:vAlign w:val="center"/>
          </w:tcPr>
          <w:p w14:paraId="7E36193B">
            <w:pPr>
              <w:widowControl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企业</w:t>
            </w:r>
          </w:p>
          <w:p w14:paraId="3447C86E">
            <w:pPr>
              <w:widowControl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财务状况</w:t>
            </w:r>
          </w:p>
          <w:p w14:paraId="2477B1A0">
            <w:pPr>
              <w:widowControl w:val="0"/>
              <w:spacing w:line="360" w:lineRule="auto"/>
              <w:jc w:val="center"/>
              <w:rPr>
                <w:rFonts w:hint="eastAsia" w:ascii="宋体" w:hAnsi="宋体" w:eastAsia="宋体" w:cs="宋体"/>
                <w:b w:val="0"/>
                <w:bCs w:val="0"/>
                <w:caps w:val="0"/>
                <w:smallCaps w:val="0"/>
                <w:snapToGrid w:val="0"/>
                <w:color w:val="C00000"/>
                <w:spacing w:val="0"/>
                <w:kern w:val="0"/>
                <w:sz w:val="24"/>
                <w:szCs w:val="24"/>
                <w:highlight w:val="none"/>
                <w:lang w:val="en-US" w:eastAsia="zh-CN" w:bidi="ar"/>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10</w:t>
            </w:r>
            <w:r>
              <w:rPr>
                <w:rFonts w:hint="eastAsia" w:ascii="宋体" w:hAnsi="宋体" w:eastAsia="宋体" w:cs="宋体"/>
                <w:color w:val="auto"/>
                <w:sz w:val="24"/>
                <w:szCs w:val="24"/>
              </w:rPr>
              <w:t>分）</w:t>
            </w:r>
          </w:p>
        </w:tc>
        <w:tc>
          <w:tcPr>
            <w:tcW w:w="4305" w:type="dxa"/>
            <w:shd w:val="clear" w:color="auto" w:fill="auto"/>
            <w:vAlign w:val="center"/>
          </w:tcPr>
          <w:p w14:paraId="7938A9DB">
            <w:pPr>
              <w:widowControl w:val="0"/>
              <w:spacing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提供不</w:t>
            </w:r>
            <w:r>
              <w:rPr>
                <w:rFonts w:hint="eastAsia" w:ascii="宋体" w:hAnsi="宋体" w:eastAsia="宋体" w:cs="宋体"/>
                <w:color w:val="auto"/>
                <w:sz w:val="24"/>
                <w:szCs w:val="24"/>
                <w:highlight w:val="none"/>
              </w:rPr>
              <w:t>少于</w:t>
            </w:r>
            <w:r>
              <w:rPr>
                <w:rFonts w:hint="eastAsia" w:ascii="宋体" w:hAnsi="宋体" w:eastAsia="宋体" w:cs="宋体"/>
                <w:color w:val="auto"/>
                <w:sz w:val="24"/>
                <w:szCs w:val="24"/>
                <w:highlight w:val="none"/>
                <w:u w:val="single"/>
                <w:lang w:val="en-US" w:eastAsia="zh-CN"/>
              </w:rPr>
              <w:t>50</w:t>
            </w:r>
            <w:r>
              <w:rPr>
                <w:rFonts w:hint="eastAsia" w:ascii="宋体" w:hAnsi="宋体" w:eastAsia="宋体" w:cs="宋体"/>
                <w:color w:val="auto"/>
                <w:sz w:val="24"/>
                <w:szCs w:val="24"/>
                <w:highlight w:val="none"/>
                <w:u w:val="single"/>
              </w:rPr>
              <w:t>万元</w:t>
            </w:r>
            <w:r>
              <w:rPr>
                <w:rFonts w:hint="eastAsia" w:ascii="宋体" w:hAnsi="宋体" w:eastAsia="宋体" w:cs="宋体"/>
                <w:color w:val="auto"/>
                <w:sz w:val="24"/>
                <w:szCs w:val="24"/>
                <w:highlight w:val="none"/>
              </w:rPr>
              <w:t>银行授信证明的，得</w:t>
            </w:r>
            <w:r>
              <w:rPr>
                <w:rFonts w:hint="eastAsia" w:ascii="宋体" w:hAnsi="宋体" w:eastAsia="宋体" w:cs="宋体"/>
                <w:color w:val="auto"/>
                <w:sz w:val="24"/>
                <w:szCs w:val="24"/>
                <w:highlight w:val="none"/>
                <w:u w:val="single"/>
                <w:lang w:val="en-US" w:eastAsia="zh-CN"/>
              </w:rPr>
              <w:t>5</w:t>
            </w:r>
            <w:r>
              <w:rPr>
                <w:rFonts w:hint="eastAsia" w:ascii="宋体" w:hAnsi="宋体" w:eastAsia="宋体" w:cs="宋体"/>
                <w:color w:val="auto"/>
                <w:sz w:val="24"/>
                <w:szCs w:val="24"/>
                <w:highlight w:val="none"/>
              </w:rPr>
              <w:t>分。</w:t>
            </w:r>
          </w:p>
          <w:p w14:paraId="18BF2843">
            <w:pPr>
              <w:widowControl w:val="0"/>
              <w:spacing w:line="360" w:lineRule="auto"/>
              <w:jc w:val="both"/>
              <w:rPr>
                <w:rFonts w:hint="eastAsia" w:ascii="宋体" w:hAnsi="宋体" w:eastAsia="宋体" w:cs="宋体"/>
                <w:color w:val="C00000"/>
                <w:kern w:val="2"/>
                <w:sz w:val="24"/>
                <w:szCs w:val="24"/>
                <w:highlight w:val="none"/>
                <w:lang w:val="en-US" w:eastAsia="zh-CN" w:bidi="ar-SA"/>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提供投标人基本账户在本项目招标公告发布之日起至投标截止时间期间出现过至少连续3日不少于</w:t>
            </w:r>
            <w:r>
              <w:rPr>
                <w:rFonts w:hint="eastAsia" w:ascii="宋体" w:hAnsi="宋体" w:eastAsia="宋体" w:cs="宋体"/>
                <w:color w:val="auto"/>
                <w:sz w:val="24"/>
                <w:szCs w:val="24"/>
                <w:highlight w:val="none"/>
                <w:u w:val="single"/>
                <w:lang w:val="en-US" w:eastAsia="zh-CN"/>
              </w:rPr>
              <w:t>50万</w:t>
            </w:r>
            <w:r>
              <w:rPr>
                <w:rFonts w:hint="eastAsia" w:ascii="宋体" w:hAnsi="宋体" w:eastAsia="宋体" w:cs="宋体"/>
                <w:color w:val="auto"/>
                <w:sz w:val="24"/>
                <w:szCs w:val="24"/>
                <w:highlight w:val="none"/>
                <w:u w:val="single"/>
              </w:rPr>
              <w:t>元</w:t>
            </w:r>
            <w:r>
              <w:rPr>
                <w:rFonts w:hint="eastAsia" w:ascii="宋体" w:hAnsi="宋体" w:eastAsia="宋体" w:cs="宋体"/>
                <w:color w:val="auto"/>
                <w:sz w:val="24"/>
                <w:szCs w:val="24"/>
                <w:highlight w:val="none"/>
              </w:rPr>
              <w:t>存款余额资金流水</w:t>
            </w:r>
            <w:r>
              <w:rPr>
                <w:rFonts w:hint="eastAsia" w:ascii="宋体" w:hAnsi="宋体" w:eastAsia="宋体" w:cs="宋体"/>
                <w:color w:val="auto"/>
                <w:sz w:val="24"/>
                <w:szCs w:val="24"/>
              </w:rPr>
              <w:t>证明的，得</w:t>
            </w:r>
            <w:r>
              <w:rPr>
                <w:rFonts w:hint="eastAsia" w:ascii="宋体" w:hAnsi="宋体" w:eastAsia="宋体" w:cs="宋体"/>
                <w:color w:val="auto"/>
                <w:sz w:val="24"/>
                <w:szCs w:val="24"/>
                <w:u w:val="single"/>
              </w:rPr>
              <w:t>5</w:t>
            </w:r>
            <w:r>
              <w:rPr>
                <w:rFonts w:hint="eastAsia" w:ascii="宋体" w:hAnsi="宋体" w:eastAsia="宋体" w:cs="宋体"/>
                <w:color w:val="auto"/>
                <w:sz w:val="24"/>
                <w:szCs w:val="24"/>
              </w:rPr>
              <w:t>分。</w:t>
            </w:r>
          </w:p>
        </w:tc>
        <w:tc>
          <w:tcPr>
            <w:tcW w:w="4324" w:type="dxa"/>
            <w:shd w:val="clear" w:color="auto" w:fill="auto"/>
            <w:vAlign w:val="center"/>
          </w:tcPr>
          <w:p w14:paraId="16E7D943">
            <w:pPr>
              <w:widowControl w:val="0"/>
              <w:spacing w:line="360" w:lineRule="auto"/>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需附在有效期内的有关证明</w:t>
            </w:r>
            <w:r>
              <w:rPr>
                <w:rFonts w:hint="eastAsia" w:ascii="宋体" w:hAnsi="宋体" w:eastAsia="宋体" w:cs="宋体"/>
                <w:color w:val="auto"/>
                <w:sz w:val="24"/>
                <w:szCs w:val="24"/>
                <w:lang w:eastAsia="zh-CN"/>
              </w:rPr>
              <w:t>电子</w:t>
            </w:r>
            <w:r>
              <w:rPr>
                <w:rFonts w:hint="eastAsia" w:ascii="宋体" w:hAnsi="宋体" w:eastAsia="宋体" w:cs="宋体"/>
                <w:color w:val="auto"/>
                <w:sz w:val="24"/>
                <w:szCs w:val="24"/>
              </w:rPr>
              <w:t>扫描件</w:t>
            </w:r>
            <w:r>
              <w:rPr>
                <w:rFonts w:hint="eastAsia" w:ascii="宋体" w:hAnsi="宋体" w:eastAsia="宋体" w:cs="宋体"/>
                <w:color w:val="auto"/>
                <w:sz w:val="24"/>
                <w:szCs w:val="24"/>
                <w:lang w:eastAsia="zh-CN"/>
              </w:rPr>
              <w:t>。</w:t>
            </w:r>
          </w:p>
          <w:p w14:paraId="53613A6E">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银行授信证明有以下情形之一的，视为无效，不予计分：</w:t>
            </w:r>
          </w:p>
          <w:p w14:paraId="14FDD265">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①授信证明不在有效期内的；</w:t>
            </w:r>
          </w:p>
          <w:p w14:paraId="0F4E575F">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②授信额度不符合要求的；</w:t>
            </w:r>
          </w:p>
          <w:p w14:paraId="18ABF866">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存款余额资金流水证明有以下情形之一的，视为无效，不予计分：</w:t>
            </w:r>
          </w:p>
          <w:p w14:paraId="044FF3BC">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①存款账户不是基本账户的；</w:t>
            </w:r>
          </w:p>
          <w:p w14:paraId="61FF5E33">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②存款时间不符合要求的；</w:t>
            </w:r>
          </w:p>
          <w:p w14:paraId="5A80CA9B">
            <w:pPr>
              <w:widowControl w:val="0"/>
              <w:spacing w:line="360" w:lineRule="auto"/>
              <w:jc w:val="both"/>
              <w:rPr>
                <w:rFonts w:hint="eastAsia" w:ascii="宋体" w:hAnsi="宋体" w:eastAsia="宋体" w:cs="宋体"/>
                <w:caps w:val="0"/>
                <w:smallCaps w:val="0"/>
                <w:snapToGrid w:val="0"/>
                <w:color w:val="C00000"/>
                <w:spacing w:val="0"/>
                <w:kern w:val="0"/>
                <w:sz w:val="24"/>
                <w:szCs w:val="24"/>
                <w:highlight w:val="none"/>
                <w:lang w:val="en-US" w:eastAsia="zh-CN" w:bidi="ar-SA"/>
              </w:rPr>
            </w:pPr>
            <w:r>
              <w:rPr>
                <w:rFonts w:hint="eastAsia" w:ascii="宋体" w:hAnsi="宋体" w:eastAsia="宋体" w:cs="宋体"/>
                <w:color w:val="auto"/>
                <w:sz w:val="24"/>
                <w:szCs w:val="24"/>
              </w:rPr>
              <w:t>③存款额度不符合要求的。</w:t>
            </w:r>
          </w:p>
        </w:tc>
      </w:tr>
      <w:tr w14:paraId="7475F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5" w:type="dxa"/>
            <w:gridSpan w:val="2"/>
            <w:vMerge w:val="restart"/>
            <w:vAlign w:val="center"/>
          </w:tcPr>
          <w:p w14:paraId="30153825">
            <w:pPr>
              <w:pStyle w:val="42"/>
              <w:wordWrap w:val="0"/>
              <w:adjustRightInd w:val="0"/>
              <w:snapToGrid w:val="0"/>
              <w:spacing w:line="240" w:lineRule="auto"/>
              <w:jc w:val="center"/>
              <w:rPr>
                <w:rFonts w:hint="eastAsia" w:ascii="宋体" w:hAnsi="宋体" w:eastAsia="宋体" w:cs="宋体"/>
                <w:color w:val="C00000"/>
                <w:sz w:val="24"/>
                <w:szCs w:val="24"/>
              </w:rPr>
            </w:pPr>
            <w:r>
              <w:rPr>
                <w:rFonts w:hint="eastAsia" w:ascii="宋体" w:hAnsi="宋体" w:eastAsia="宋体" w:cs="宋体"/>
                <w:b w:val="0"/>
                <w:bCs w:val="0"/>
                <w:snapToGrid w:val="0"/>
                <w:color w:val="auto"/>
                <w:kern w:val="0"/>
                <w:sz w:val="24"/>
                <w:szCs w:val="24"/>
                <w:highlight w:val="none"/>
                <w:lang w:val="en-US" w:eastAsia="zh-CN" w:bidi="ar-SA"/>
              </w:rPr>
              <w:t>招标人自选项</w:t>
            </w:r>
            <w:r>
              <w:rPr>
                <w:rFonts w:hint="eastAsia" w:ascii="宋体" w:hAnsi="宋体" w:eastAsia="宋体" w:cs="宋体"/>
                <w:b w:val="0"/>
                <w:bCs w:val="0"/>
                <w:color w:val="auto"/>
                <w:kern w:val="0"/>
                <w:sz w:val="24"/>
                <w:szCs w:val="24"/>
                <w:highlight w:val="none"/>
                <w:lang w:val="en-US" w:eastAsia="zh-CN" w:bidi="ar"/>
              </w:rPr>
              <w:t>（20分）</w:t>
            </w:r>
          </w:p>
        </w:tc>
        <w:tc>
          <w:tcPr>
            <w:tcW w:w="4305" w:type="dxa"/>
            <w:shd w:val="clear" w:color="auto" w:fill="auto"/>
            <w:vAlign w:val="center"/>
          </w:tcPr>
          <w:p w14:paraId="1A864495">
            <w:pPr>
              <w:pStyle w:val="8"/>
              <w:pageBreakBefore w:val="0"/>
              <w:widowControl w:val="0"/>
              <w:numPr>
                <w:ilvl w:val="0"/>
                <w:numId w:val="0"/>
              </w:numPr>
              <w:kinsoku/>
              <w:wordWrap/>
              <w:overflowPunct/>
              <w:topLinePunct w:val="0"/>
              <w:autoSpaceDE/>
              <w:autoSpaceDN/>
              <w:bidi w:val="0"/>
              <w:adjustRightInd w:val="0"/>
              <w:snapToGrid w:val="0"/>
              <w:spacing w:before="0" w:beforeLines="0" w:after="0" w:afterLines="0" w:line="360" w:lineRule="auto"/>
              <w:ind w:left="0" w:leftChars="0" w:firstLine="0" w:firstLineChars="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企业近5年来（2020年1月1日至今）获得过省级或以上商业联合会颁发的诚信兴商企业证书的，其中有1年获得的得1分，其中有2年获得过的得2分；其中有3年获得过的得4分；其中有4年或以上（含4年）获得过的,得8分，本项最高得8分。</w:t>
            </w:r>
          </w:p>
          <w:p w14:paraId="5048B9F4">
            <w:pPr>
              <w:pStyle w:val="8"/>
              <w:pageBreakBefore w:val="0"/>
              <w:widowControl w:val="0"/>
              <w:numPr>
                <w:ilvl w:val="0"/>
                <w:numId w:val="0"/>
              </w:numPr>
              <w:kinsoku/>
              <w:wordWrap/>
              <w:overflowPunct/>
              <w:topLinePunct w:val="0"/>
              <w:autoSpaceDE/>
              <w:autoSpaceDN/>
              <w:bidi w:val="0"/>
              <w:adjustRightInd w:val="0"/>
              <w:snapToGrid w:val="0"/>
              <w:spacing w:before="0" w:beforeLines="0" w:after="0" w:afterLines="0" w:line="360" w:lineRule="auto"/>
              <w:ind w:left="0" w:leftChars="0" w:firstLine="0" w:firstLineChars="0"/>
              <w:jc w:val="both"/>
              <w:textAlignment w:val="auto"/>
              <w:rPr>
                <w:rFonts w:hint="eastAsia" w:ascii="宋体" w:hAnsi="宋体" w:eastAsia="宋体" w:cs="宋体"/>
                <w:color w:val="C00000"/>
                <w:kern w:val="2"/>
                <w:sz w:val="24"/>
                <w:szCs w:val="24"/>
                <w:lang w:val="en-US" w:eastAsia="zh-CN" w:bidi="ar-SA"/>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2.</w:t>
            </w:r>
            <w:r>
              <w:rPr>
                <w:rFonts w:hint="eastAsia" w:ascii="宋体" w:hAnsi="宋体" w:eastAsia="宋体" w:cs="宋体"/>
                <w:color w:val="000000" w:themeColor="text1"/>
                <w:sz w:val="24"/>
                <w:szCs w:val="24"/>
                <w:lang w:val="en-US" w:eastAsia="zh-CN"/>
                <w14:textFill>
                  <w14:solidFill>
                    <w14:schemeClr w14:val="tx1"/>
                  </w14:solidFill>
                </w14:textFill>
              </w:rPr>
              <w:t>其他情形的，不予计分。</w:t>
            </w:r>
          </w:p>
        </w:tc>
        <w:tc>
          <w:tcPr>
            <w:tcW w:w="4324" w:type="dxa"/>
            <w:shd w:val="clear" w:color="auto" w:fill="auto"/>
            <w:vAlign w:val="center"/>
          </w:tcPr>
          <w:p w14:paraId="5704798A">
            <w:pPr>
              <w:widowControl w:val="0"/>
              <w:numPr>
                <w:ilvl w:val="0"/>
                <w:numId w:val="0"/>
              </w:numPr>
              <w:spacing w:line="360" w:lineRule="auto"/>
              <w:jc w:val="both"/>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sz w:val="24"/>
                <w:szCs w:val="24"/>
                <w:lang w:val="en-US" w:eastAsia="zh-CN" w:bidi="ar-SA"/>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证书由省级或以上商业联合会（需经民政局备案）颁发，须提供有关证书彩色扫描件</w:t>
            </w:r>
            <w:r>
              <w:rPr>
                <w:rFonts w:hint="eastAsia" w:ascii="宋体" w:hAnsi="宋体" w:eastAsia="宋体" w:cs="宋体"/>
                <w:b/>
                <w:bCs/>
                <w:color w:val="000000" w:themeColor="text1"/>
                <w:sz w:val="24"/>
                <w:szCs w:val="24"/>
                <w:lang w:eastAsia="zh-CN"/>
                <w14:textFill>
                  <w14:solidFill>
                    <w14:schemeClr w14:val="tx1"/>
                  </w14:solidFill>
                </w14:textFill>
              </w:rPr>
              <w:t>同时提供原件供核对（证书为电子证书的除外）</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p>
          <w:p w14:paraId="14CC95FA">
            <w:pPr>
              <w:widowControl w:val="0"/>
              <w:numPr>
                <w:ilvl w:val="0"/>
                <w:numId w:val="0"/>
              </w:numPr>
              <w:spacing w:line="360" w:lineRule="auto"/>
              <w:jc w:val="both"/>
              <w:rPr>
                <w:rFonts w:hint="eastAsia" w:ascii="宋体" w:hAnsi="宋体" w:eastAsia="宋体" w:cs="宋体"/>
                <w:color w:val="C00000"/>
                <w:kern w:val="0"/>
                <w:sz w:val="24"/>
                <w:szCs w:val="24"/>
                <w:highlight w:val="none"/>
                <w:lang w:val="en-US" w:eastAsia="zh-CN" w:bidi="ar"/>
              </w:rPr>
            </w:pPr>
            <w:r>
              <w:rPr>
                <w:rFonts w:hint="eastAsia" w:ascii="宋体" w:hAnsi="宋体" w:eastAsia="宋体" w:cs="宋体"/>
                <w:snapToGrid w:val="0"/>
                <w:color w:val="auto"/>
                <w:kern w:val="0"/>
                <w:sz w:val="24"/>
                <w:szCs w:val="24"/>
                <w:lang w:val="en-US" w:eastAsia="zh-CN" w:bidi="ar"/>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未提供原件的，颁发机构不符合要求的，按第2项标准处理。</w:t>
            </w:r>
          </w:p>
        </w:tc>
      </w:tr>
      <w:tr w14:paraId="642A3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5" w:type="dxa"/>
            <w:gridSpan w:val="2"/>
            <w:vMerge w:val="continue"/>
            <w:vAlign w:val="center"/>
          </w:tcPr>
          <w:p w14:paraId="1E917250">
            <w:pPr>
              <w:pStyle w:val="42"/>
              <w:wordWrap w:val="0"/>
              <w:adjustRightInd w:val="0"/>
              <w:snapToGrid w:val="0"/>
              <w:spacing w:line="240" w:lineRule="auto"/>
              <w:jc w:val="center"/>
              <w:rPr>
                <w:rFonts w:hint="eastAsia" w:ascii="宋体" w:hAnsi="宋体" w:eastAsia="宋体" w:cs="宋体"/>
                <w:color w:val="C00000"/>
                <w:sz w:val="24"/>
                <w:szCs w:val="24"/>
              </w:rPr>
            </w:pPr>
          </w:p>
        </w:tc>
        <w:tc>
          <w:tcPr>
            <w:tcW w:w="4305" w:type="dxa"/>
            <w:shd w:val="clear" w:color="auto" w:fill="auto"/>
            <w:vAlign w:val="center"/>
          </w:tcPr>
          <w:p w14:paraId="1D3974FD">
            <w:pPr>
              <w:pStyle w:val="10"/>
              <w:widowControl w:val="0"/>
              <w:wordWrap w:val="0"/>
              <w:adjustRightInd w:val="0"/>
              <w:snapToGrid w:val="0"/>
              <w:spacing w:after="0" w:line="400" w:lineRule="exact"/>
              <w:jc w:val="both"/>
              <w:rPr>
                <w:rFonts w:hint="eastAsia" w:ascii="宋体" w:hAnsi="宋体" w:eastAsia="宋体" w:cs="宋体"/>
                <w:snapToGrid w:val="0"/>
                <w:color w:val="C00000"/>
                <w:kern w:val="0"/>
                <w:sz w:val="24"/>
                <w:szCs w:val="24"/>
                <w:highlight w:val="none"/>
                <w:lang w:val="en-US" w:eastAsia="zh-CN" w:bidi="ar-SA"/>
              </w:rPr>
            </w:pPr>
            <w:r>
              <w:rPr>
                <w:rFonts w:hint="eastAsia" w:ascii="宋体" w:hAnsi="宋体" w:eastAsia="宋体" w:cs="宋体"/>
                <w:color w:val="auto"/>
                <w:sz w:val="24"/>
                <w:szCs w:val="24"/>
                <w:highlight w:val="none"/>
              </w:rPr>
              <w:t>企业近5年来（20</w:t>
            </w: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rPr>
              <w:t>年1月1日至</w:t>
            </w:r>
            <w:r>
              <w:rPr>
                <w:rFonts w:hint="eastAsia" w:ascii="宋体" w:hAnsi="宋体" w:eastAsia="宋体" w:cs="宋体"/>
                <w:color w:val="auto"/>
                <w:sz w:val="24"/>
                <w:szCs w:val="24"/>
                <w:highlight w:val="none"/>
                <w:lang w:val="en-US" w:eastAsia="zh-CN"/>
              </w:rPr>
              <w:t>今</w:t>
            </w:r>
            <w:r>
              <w:rPr>
                <w:rFonts w:hint="eastAsia" w:ascii="宋体" w:hAnsi="宋体" w:eastAsia="宋体" w:cs="宋体"/>
                <w:color w:val="auto"/>
                <w:sz w:val="24"/>
                <w:szCs w:val="24"/>
                <w:highlight w:val="none"/>
              </w:rPr>
              <w:t>）获得</w:t>
            </w:r>
            <w:r>
              <w:rPr>
                <w:rFonts w:hint="eastAsia" w:ascii="宋体" w:hAnsi="宋体" w:eastAsia="宋体" w:cs="宋体"/>
                <w:color w:val="auto"/>
                <w:sz w:val="24"/>
                <w:szCs w:val="24"/>
                <w:highlight w:val="none"/>
                <w:lang w:val="en-US" w:eastAsia="zh-CN"/>
              </w:rPr>
              <w:t>过</w:t>
            </w:r>
            <w:r>
              <w:rPr>
                <w:rFonts w:hint="eastAsia" w:ascii="宋体" w:hAnsi="宋体" w:eastAsia="宋体" w:cs="宋体"/>
                <w:color w:val="auto"/>
                <w:sz w:val="24"/>
                <w:szCs w:val="24"/>
                <w:highlight w:val="none"/>
              </w:rPr>
              <w:t>“AAA级信用企业”</w:t>
            </w:r>
            <w:r>
              <w:rPr>
                <w:rFonts w:hint="eastAsia" w:ascii="宋体" w:hAnsi="宋体" w:eastAsia="宋体" w:cs="宋体"/>
                <w:snapToGrid w:val="0"/>
                <w:color w:val="auto"/>
                <w:sz w:val="24"/>
                <w:szCs w:val="24"/>
                <w:highlight w:val="none"/>
                <w:lang w:val="en-US" w:eastAsia="zh-CN" w:bidi="ar-SA"/>
              </w:rPr>
              <w:t>称号</w:t>
            </w:r>
            <w:r>
              <w:rPr>
                <w:rFonts w:hint="eastAsia" w:ascii="宋体" w:hAnsi="宋体" w:eastAsia="宋体" w:cs="宋体"/>
                <w:color w:val="auto"/>
                <w:sz w:val="24"/>
                <w:szCs w:val="24"/>
                <w:highlight w:val="none"/>
                <w:lang w:val="en-US" w:eastAsia="zh-CN"/>
              </w:rPr>
              <w:t>满1年的得2分，超过1年的每增加满1年加2分。本项最高得4分。</w:t>
            </w:r>
          </w:p>
        </w:tc>
        <w:tc>
          <w:tcPr>
            <w:tcW w:w="4324" w:type="dxa"/>
            <w:shd w:val="clear" w:color="auto" w:fill="auto"/>
            <w:vAlign w:val="center"/>
          </w:tcPr>
          <w:p w14:paraId="59D20E7A">
            <w:pPr>
              <w:widowControl w:val="0"/>
              <w:numPr>
                <w:ilvl w:val="0"/>
                <w:numId w:val="0"/>
              </w:numPr>
              <w:spacing w:line="360" w:lineRule="auto"/>
              <w:jc w:val="both"/>
              <w:rPr>
                <w:rFonts w:hint="eastAsia" w:ascii="宋体" w:hAnsi="宋体" w:eastAsia="宋体" w:cs="宋体"/>
                <w:b/>
                <w:bCs/>
                <w:color w:val="000000" w:themeColor="text1"/>
                <w:sz w:val="24"/>
                <w:szCs w:val="24"/>
                <w:lang w:eastAsia="zh-CN"/>
                <w14:textFill>
                  <w14:solidFill>
                    <w14:schemeClr w14:val="tx1"/>
                  </w14:solidFill>
                </w14:textFill>
              </w:rPr>
            </w:pPr>
            <w:r>
              <w:rPr>
                <w:rFonts w:hint="eastAsia" w:ascii="宋体" w:hAnsi="宋体" w:eastAsia="宋体" w:cs="宋体"/>
                <w:b w:val="0"/>
                <w:bCs w:val="0"/>
                <w:snapToGrid w:val="0"/>
                <w:color w:val="000000" w:themeColor="text1"/>
                <w:sz w:val="24"/>
                <w:szCs w:val="24"/>
                <w:lang w:val="en-US" w:eastAsia="zh-CN" w:bidi="ar-SA"/>
                <w14:textFill>
                  <w14:solidFill>
                    <w14:schemeClr w14:val="tx1"/>
                  </w14:solidFill>
                </w14:textFill>
              </w:rPr>
              <w:t>1．</w:t>
            </w:r>
            <w:r>
              <w:rPr>
                <w:rFonts w:hint="eastAsia" w:ascii="宋体" w:hAnsi="宋体" w:eastAsia="宋体" w:cs="宋体"/>
                <w:color w:val="auto"/>
                <w:sz w:val="24"/>
                <w:szCs w:val="24"/>
                <w:highlight w:val="none"/>
                <w:lang w:val="en-US" w:eastAsia="zh-CN"/>
              </w:rPr>
              <w:t>需附相关证书原件彩色扫描件，</w:t>
            </w:r>
            <w:r>
              <w:rPr>
                <w:rFonts w:hint="eastAsia" w:ascii="宋体" w:hAnsi="宋体" w:eastAsia="宋体" w:cs="宋体"/>
                <w:b/>
                <w:bCs/>
                <w:color w:val="000000" w:themeColor="text1"/>
                <w:sz w:val="24"/>
                <w:szCs w:val="24"/>
                <w:lang w:eastAsia="zh-CN"/>
                <w14:textFill>
                  <w14:solidFill>
                    <w14:schemeClr w14:val="tx1"/>
                  </w14:solidFill>
                </w14:textFill>
              </w:rPr>
              <w:t>同时提供原件供核对（证书为电子证书的除外）。</w:t>
            </w:r>
          </w:p>
          <w:p w14:paraId="3616CF1C">
            <w:pPr>
              <w:widowControl w:val="0"/>
              <w:numPr>
                <w:ilvl w:val="0"/>
                <w:numId w:val="0"/>
              </w:numPr>
              <w:spacing w:line="360" w:lineRule="auto"/>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2．证书须由</w:t>
            </w:r>
            <w:r>
              <w:rPr>
                <w:rFonts w:hint="eastAsia" w:ascii="宋体" w:hAnsi="宋体" w:eastAsia="宋体" w:cs="宋体"/>
                <w:b w:val="0"/>
                <w:bCs w:val="0"/>
                <w:color w:val="auto"/>
                <w:sz w:val="24"/>
                <w:szCs w:val="24"/>
                <w:highlight w:val="none"/>
                <w:lang w:val="en-US" w:eastAsia="zh-CN"/>
              </w:rPr>
              <w:t>中国企业联合会和中国企业家协会</w:t>
            </w:r>
            <w:r>
              <w:rPr>
                <w:rFonts w:hint="eastAsia" w:ascii="宋体" w:hAnsi="宋体" w:eastAsia="宋体" w:cs="宋体"/>
                <w:color w:val="auto"/>
                <w:sz w:val="24"/>
                <w:szCs w:val="24"/>
                <w:highlight w:val="none"/>
                <w:lang w:val="en-US" w:eastAsia="zh-CN"/>
              </w:rPr>
              <w:t>同时颁发（需经民政部门备案）且处于有效期内，时间从颁发日期起计算为准。</w:t>
            </w:r>
          </w:p>
          <w:p w14:paraId="76B73411">
            <w:pPr>
              <w:widowControl w:val="0"/>
              <w:spacing w:line="360" w:lineRule="auto"/>
              <w:jc w:val="both"/>
              <w:rPr>
                <w:rFonts w:hint="eastAsia" w:ascii="宋体" w:hAnsi="宋体" w:eastAsia="宋体" w:cs="宋体"/>
                <w:snapToGrid w:val="0"/>
                <w:color w:val="C00000"/>
                <w:kern w:val="0"/>
                <w:sz w:val="24"/>
                <w:szCs w:val="24"/>
                <w:highlight w:val="none"/>
                <w:lang w:val="en-US" w:eastAsia="zh-CN" w:bidi="ar-SA"/>
              </w:rPr>
            </w:pPr>
            <w:r>
              <w:rPr>
                <w:rFonts w:hint="eastAsia" w:ascii="宋体" w:hAnsi="宋体" w:eastAsia="宋体" w:cs="宋体"/>
                <w:color w:val="auto"/>
                <w:sz w:val="24"/>
                <w:szCs w:val="24"/>
                <w:highlight w:val="none"/>
                <w:lang w:val="en-US" w:eastAsia="zh-CN"/>
              </w:rPr>
              <w:t>3．未提供原件的；颁发机构、获奖时间不符合评分标准和备注规定的，不予得分。</w:t>
            </w:r>
          </w:p>
        </w:tc>
      </w:tr>
      <w:tr w14:paraId="29484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2" w:hRule="atLeast"/>
        </w:trPr>
        <w:tc>
          <w:tcPr>
            <w:tcW w:w="1225" w:type="dxa"/>
            <w:gridSpan w:val="2"/>
            <w:vMerge w:val="continue"/>
            <w:vAlign w:val="center"/>
          </w:tcPr>
          <w:p w14:paraId="11E2C080">
            <w:pPr>
              <w:pStyle w:val="42"/>
              <w:wordWrap w:val="0"/>
              <w:adjustRightInd w:val="0"/>
              <w:snapToGrid w:val="0"/>
              <w:spacing w:line="240" w:lineRule="auto"/>
              <w:jc w:val="center"/>
              <w:rPr>
                <w:rFonts w:hint="eastAsia" w:ascii="宋体" w:hAnsi="宋体" w:eastAsia="宋体" w:cs="宋体"/>
                <w:color w:val="C00000"/>
                <w:sz w:val="24"/>
                <w:szCs w:val="24"/>
              </w:rPr>
            </w:pPr>
          </w:p>
        </w:tc>
        <w:tc>
          <w:tcPr>
            <w:tcW w:w="4305" w:type="dxa"/>
            <w:shd w:val="clear" w:color="auto" w:fill="auto"/>
            <w:vAlign w:val="center"/>
          </w:tcPr>
          <w:p w14:paraId="76FB6625">
            <w:pPr>
              <w:widowControl w:val="0"/>
              <w:spacing w:line="360" w:lineRule="auto"/>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企业201</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年度至202</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年度</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其中有1～3</w:t>
            </w:r>
            <w:r>
              <w:rPr>
                <w:rFonts w:hint="eastAsia" w:ascii="宋体" w:hAnsi="宋体" w:eastAsia="宋体" w:cs="宋体"/>
                <w:color w:val="auto"/>
                <w:sz w:val="24"/>
                <w:szCs w:val="24"/>
                <w:highlight w:val="none"/>
              </w:rPr>
              <w:t>年获得纳税信用A级纳税人的，得</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val="en-US" w:eastAsia="zh-CN"/>
              </w:rPr>
              <w:t>；</w:t>
            </w:r>
          </w:p>
          <w:p w14:paraId="7660D838">
            <w:pPr>
              <w:widowControl w:val="0"/>
              <w:spacing w:line="360" w:lineRule="auto"/>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其中有4～5</w:t>
            </w:r>
            <w:r>
              <w:rPr>
                <w:rFonts w:hint="eastAsia" w:ascii="宋体" w:hAnsi="宋体" w:eastAsia="宋体" w:cs="宋体"/>
                <w:color w:val="auto"/>
                <w:sz w:val="24"/>
                <w:szCs w:val="24"/>
                <w:highlight w:val="none"/>
              </w:rPr>
              <w:t>年获得纳税信用A级纳税人的，得</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val="en-US" w:eastAsia="zh-CN"/>
              </w:rPr>
              <w:t>；</w:t>
            </w:r>
          </w:p>
          <w:p w14:paraId="34186BF8">
            <w:pPr>
              <w:widowControl w:val="0"/>
              <w:spacing w:line="360" w:lineRule="auto"/>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其中有6</w:t>
            </w:r>
            <w:r>
              <w:rPr>
                <w:rFonts w:hint="eastAsia" w:ascii="宋体" w:hAnsi="宋体" w:eastAsia="宋体" w:cs="宋体"/>
                <w:color w:val="auto"/>
                <w:sz w:val="24"/>
                <w:szCs w:val="24"/>
                <w:highlight w:val="none"/>
              </w:rPr>
              <w:t>年获得纳税信用A级纳税人的，得</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val="en-US" w:eastAsia="zh-CN"/>
              </w:rPr>
              <w:t>；</w:t>
            </w:r>
          </w:p>
          <w:p w14:paraId="67D53D60">
            <w:pPr>
              <w:pStyle w:val="3"/>
              <w:jc w:val="both"/>
              <w:rPr>
                <w:rFonts w:hint="eastAsia" w:ascii="宋体" w:hAnsi="宋体" w:eastAsia="宋体" w:cs="宋体"/>
                <w:color w:val="C00000"/>
                <w:kern w:val="0"/>
                <w:sz w:val="24"/>
                <w:szCs w:val="24"/>
                <w:lang w:val="en-US" w:eastAsia="zh-CN" w:bidi="ar"/>
              </w:rPr>
            </w:pPr>
            <w:r>
              <w:rPr>
                <w:rFonts w:hint="eastAsia" w:ascii="宋体" w:hAnsi="宋体" w:eastAsia="宋体" w:cs="宋体"/>
                <w:color w:val="auto"/>
                <w:sz w:val="24"/>
                <w:szCs w:val="24"/>
                <w:highlight w:val="none"/>
                <w:lang w:val="en-US" w:eastAsia="zh-CN"/>
              </w:rPr>
              <w:t>本项最高可得6分。</w:t>
            </w:r>
          </w:p>
        </w:tc>
        <w:tc>
          <w:tcPr>
            <w:tcW w:w="4324" w:type="dxa"/>
            <w:shd w:val="clear" w:color="auto" w:fill="auto"/>
            <w:vAlign w:val="center"/>
          </w:tcPr>
          <w:p w14:paraId="2C1EC22A">
            <w:pPr>
              <w:widowControl w:val="0"/>
              <w:spacing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1.必须提供企业纳税信用A级纳税人证明材料（或证书）彩色扫描件</w:t>
            </w:r>
            <w:r>
              <w:rPr>
                <w:rFonts w:hint="eastAsia" w:ascii="宋体" w:hAnsi="宋体" w:eastAsia="宋体" w:cs="宋体"/>
                <w:color w:val="auto"/>
                <w:sz w:val="24"/>
                <w:szCs w:val="24"/>
                <w:highlight w:val="none"/>
                <w:lang w:val="en-US" w:eastAsia="zh-CN"/>
              </w:rPr>
              <w:t>及国家税务总局网上查询截图</w:t>
            </w:r>
            <w:r>
              <w:rPr>
                <w:rFonts w:hint="eastAsia" w:ascii="宋体" w:hAnsi="宋体" w:eastAsia="宋体" w:cs="宋体"/>
                <w:color w:val="auto"/>
                <w:sz w:val="24"/>
                <w:szCs w:val="24"/>
                <w:highlight w:val="none"/>
              </w:rPr>
              <w:t>，否则不得分。</w:t>
            </w:r>
          </w:p>
          <w:p w14:paraId="2A5352E2">
            <w:pPr>
              <w:widowControl w:val="0"/>
              <w:spacing w:line="360" w:lineRule="auto"/>
              <w:jc w:val="both"/>
              <w:rPr>
                <w:rFonts w:hint="eastAsia" w:ascii="宋体" w:hAnsi="宋体" w:eastAsia="宋体" w:cs="宋体"/>
                <w:color w:val="C00000"/>
                <w:kern w:val="0"/>
                <w:sz w:val="24"/>
                <w:szCs w:val="24"/>
                <w:lang w:val="en-US" w:eastAsia="zh-CN" w:bidi="ar"/>
              </w:rPr>
            </w:pPr>
            <w:r>
              <w:rPr>
                <w:rFonts w:hint="eastAsia" w:ascii="宋体" w:hAnsi="宋体" w:eastAsia="宋体" w:cs="宋体"/>
                <w:color w:val="auto"/>
                <w:sz w:val="24"/>
                <w:szCs w:val="24"/>
                <w:highlight w:val="none"/>
              </w:rPr>
              <w:t>2.只计算投标人自身（不计算投标人的分公司、子公司及分支机构）。</w:t>
            </w:r>
          </w:p>
        </w:tc>
      </w:tr>
      <w:tr w14:paraId="6CF16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5" w:type="dxa"/>
            <w:gridSpan w:val="2"/>
            <w:vMerge w:val="continue"/>
            <w:vAlign w:val="center"/>
          </w:tcPr>
          <w:p w14:paraId="1C5CED3B">
            <w:pPr>
              <w:pStyle w:val="42"/>
              <w:wordWrap w:val="0"/>
              <w:adjustRightInd w:val="0"/>
              <w:snapToGrid w:val="0"/>
              <w:spacing w:line="240" w:lineRule="auto"/>
              <w:jc w:val="center"/>
              <w:rPr>
                <w:rFonts w:hint="eastAsia" w:ascii="宋体" w:hAnsi="宋体" w:eastAsia="宋体" w:cs="宋体"/>
                <w:color w:val="C00000"/>
                <w:sz w:val="24"/>
                <w:szCs w:val="24"/>
              </w:rPr>
            </w:pPr>
          </w:p>
        </w:tc>
        <w:tc>
          <w:tcPr>
            <w:tcW w:w="4305" w:type="dxa"/>
            <w:shd w:val="clear" w:color="auto" w:fill="auto"/>
            <w:vAlign w:val="center"/>
          </w:tcPr>
          <w:p w14:paraId="49EA7A58">
            <w:pPr>
              <w:widowControl w:val="0"/>
              <w:numPr>
                <w:ilvl w:val="0"/>
                <w:numId w:val="0"/>
              </w:numPr>
              <w:spacing w:line="360" w:lineRule="auto"/>
              <w:jc w:val="both"/>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1.近5年来（2020年1月1日至今）投标人未发生事故等级为一般事故及以上的生产安全事故、一般质量事故及以上的工程质量事故的，得2分；</w:t>
            </w:r>
          </w:p>
          <w:p w14:paraId="774E4F63">
            <w:pPr>
              <w:widowControl w:val="0"/>
              <w:numPr>
                <w:ilvl w:val="0"/>
                <w:numId w:val="0"/>
              </w:numPr>
              <w:spacing w:line="360" w:lineRule="auto"/>
              <w:ind w:left="0" w:leftChars="0" w:firstLine="0" w:firstLineChars="0"/>
              <w:jc w:val="both"/>
              <w:rPr>
                <w:rFonts w:hint="eastAsia" w:ascii="宋体" w:hAnsi="宋体" w:eastAsia="宋体" w:cs="宋体"/>
                <w:snapToGrid w:val="0"/>
                <w:color w:val="C00000"/>
                <w:kern w:val="0"/>
                <w:sz w:val="24"/>
                <w:szCs w:val="24"/>
                <w:highlight w:val="none"/>
                <w:lang w:val="en-US" w:eastAsia="zh-CN" w:bidi="ar-SA"/>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2.其他情形的，不予计分。</w:t>
            </w:r>
          </w:p>
        </w:tc>
        <w:tc>
          <w:tcPr>
            <w:tcW w:w="4324" w:type="dxa"/>
            <w:shd w:val="clear" w:color="auto" w:fill="auto"/>
            <w:vAlign w:val="center"/>
          </w:tcPr>
          <w:p w14:paraId="7C957057">
            <w:pPr>
              <w:widowControl w:val="0"/>
              <w:numPr>
                <w:ilvl w:val="0"/>
                <w:numId w:val="0"/>
              </w:numPr>
              <w:spacing w:line="360" w:lineRule="auto"/>
              <w:jc w:val="both"/>
              <w:rPr>
                <w:rFonts w:hint="eastAsia" w:ascii="宋体" w:hAnsi="宋体" w:eastAsia="宋体" w:cs="宋体"/>
                <w:snapToGrid w:val="0"/>
                <w:color w:val="C00000"/>
                <w:kern w:val="0"/>
                <w:sz w:val="24"/>
                <w:szCs w:val="24"/>
                <w:highlight w:val="none"/>
                <w:lang w:val="en-US" w:eastAsia="zh-CN" w:bidi="ar-SA"/>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需提供本单位承诺书(格式自定)并加盖本单位公章。未提供本单位承诺书并加盖本单位公章的，按第2项标准处理。</w:t>
            </w:r>
          </w:p>
        </w:tc>
      </w:tr>
      <w:tr w14:paraId="7288F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gridSpan w:val="4"/>
          </w:tcPr>
          <w:p w14:paraId="3D0F1BCE">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技术部分（施工组织设计），满分：20分。</w:t>
            </w:r>
          </w:p>
        </w:tc>
      </w:tr>
      <w:tr w14:paraId="56BCE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3" w:type="dxa"/>
            <w:vAlign w:val="center"/>
          </w:tcPr>
          <w:p w14:paraId="0395427D">
            <w:pPr>
              <w:widowControl w:val="0"/>
              <w:spacing w:line="360" w:lineRule="auto"/>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评分因素</w:t>
            </w:r>
          </w:p>
        </w:tc>
        <w:tc>
          <w:tcPr>
            <w:tcW w:w="4317" w:type="dxa"/>
            <w:gridSpan w:val="2"/>
            <w:vAlign w:val="center"/>
          </w:tcPr>
          <w:p w14:paraId="084F94A1">
            <w:pPr>
              <w:widowControl w:val="0"/>
              <w:spacing w:line="360" w:lineRule="auto"/>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评分标准</w:t>
            </w:r>
          </w:p>
        </w:tc>
        <w:tc>
          <w:tcPr>
            <w:tcW w:w="4324" w:type="dxa"/>
            <w:vAlign w:val="center"/>
          </w:tcPr>
          <w:p w14:paraId="0F8E97B5">
            <w:pPr>
              <w:widowControl w:val="0"/>
              <w:spacing w:line="360" w:lineRule="auto"/>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备注</w:t>
            </w:r>
          </w:p>
        </w:tc>
      </w:tr>
      <w:tr w14:paraId="5D173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0" w:hRule="atLeast"/>
        </w:trPr>
        <w:tc>
          <w:tcPr>
            <w:tcW w:w="1213" w:type="dxa"/>
            <w:shd w:val="clear" w:color="auto" w:fill="auto"/>
            <w:vAlign w:val="center"/>
          </w:tcPr>
          <w:p w14:paraId="63A57639">
            <w:pPr>
              <w:pStyle w:val="64"/>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总体概述</w:t>
            </w:r>
          </w:p>
          <w:p w14:paraId="1122125F">
            <w:pPr>
              <w:pStyle w:val="10"/>
              <w:widowControl w:val="0"/>
              <w:wordWrap w:val="0"/>
              <w:adjustRightInd w:val="0"/>
              <w:snapToGrid w:val="0"/>
              <w:spacing w:after="0"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u w:val="single"/>
              </w:rPr>
              <w:t>3</w:t>
            </w:r>
            <w:r>
              <w:rPr>
                <w:rFonts w:hint="eastAsia" w:ascii="宋体" w:hAnsi="宋体" w:eastAsia="宋体" w:cs="宋体"/>
                <w:snapToGrid w:val="0"/>
                <w:color w:val="auto"/>
                <w:kern w:val="0"/>
                <w:sz w:val="24"/>
                <w:szCs w:val="24"/>
                <w:highlight w:val="none"/>
              </w:rPr>
              <w:t>分）</w:t>
            </w:r>
          </w:p>
        </w:tc>
        <w:tc>
          <w:tcPr>
            <w:tcW w:w="4317" w:type="dxa"/>
            <w:gridSpan w:val="2"/>
            <w:shd w:val="clear" w:color="auto" w:fill="auto"/>
            <w:vAlign w:val="center"/>
          </w:tcPr>
          <w:p w14:paraId="2581D94D">
            <w:pPr>
              <w:pStyle w:val="43"/>
              <w:wordWrap w:val="0"/>
              <w:adjustRightInd w:val="0"/>
              <w:snapToGrid w:val="0"/>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【优】得该项因素分的90%～100%（含90%）；</w:t>
            </w:r>
          </w:p>
          <w:p w14:paraId="5DA0B048">
            <w:pPr>
              <w:pStyle w:val="43"/>
              <w:wordWrap w:val="0"/>
              <w:adjustRightInd w:val="0"/>
              <w:snapToGrid w:val="0"/>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【良】得该项因素分的80%～90%（含80%）；</w:t>
            </w:r>
          </w:p>
          <w:p w14:paraId="508721B4">
            <w:pPr>
              <w:pStyle w:val="43"/>
              <w:wordWrap w:val="0"/>
              <w:adjustRightInd w:val="0"/>
              <w:snapToGrid w:val="0"/>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【中】得该项因素分的70%～80%（含70%）；</w:t>
            </w:r>
          </w:p>
          <w:p w14:paraId="6AF6B182">
            <w:pPr>
              <w:pStyle w:val="10"/>
              <w:widowControl w:val="0"/>
              <w:wordWrap w:val="0"/>
              <w:adjustRightInd w:val="0"/>
              <w:snapToGrid w:val="0"/>
              <w:spacing w:after="0" w:line="400" w:lineRule="exact"/>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【差】得该项因素分的60%～70%（含60%）。</w:t>
            </w:r>
          </w:p>
        </w:tc>
        <w:tc>
          <w:tcPr>
            <w:tcW w:w="4324" w:type="dxa"/>
            <w:shd w:val="clear" w:color="auto" w:fill="auto"/>
            <w:vAlign w:val="center"/>
          </w:tcPr>
          <w:p w14:paraId="229955E8">
            <w:pPr>
              <w:pStyle w:val="10"/>
              <w:widowControl w:val="0"/>
              <w:wordWrap w:val="0"/>
              <w:adjustRightInd w:val="0"/>
              <w:snapToGrid w:val="0"/>
              <w:spacing w:after="0" w:line="400" w:lineRule="exact"/>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【优】对项目总体有深刻认识，表述清晰、完整、严谨、合理，措施先进、具体、有效、成熟，采用了新技术、新工艺、新材料、新设备；施工段划分呼应总体表述，划分清晰、合理，符合规范要求。</w:t>
            </w:r>
          </w:p>
          <w:p w14:paraId="13B228A1">
            <w:pPr>
              <w:pStyle w:val="10"/>
              <w:widowControl w:val="0"/>
              <w:wordWrap w:val="0"/>
              <w:adjustRightInd w:val="0"/>
              <w:snapToGrid w:val="0"/>
              <w:spacing w:after="0" w:line="400" w:lineRule="exact"/>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【良】对项目总体有一定认识，表述清晰、完整，措施具体有效；施工段划分呼应总体表述，划分清晰，符合规范要求。</w:t>
            </w:r>
          </w:p>
          <w:p w14:paraId="541A77FB">
            <w:pPr>
              <w:pStyle w:val="10"/>
              <w:widowControl w:val="0"/>
              <w:wordWrap w:val="0"/>
              <w:adjustRightInd w:val="0"/>
              <w:snapToGrid w:val="0"/>
              <w:spacing w:after="0" w:line="400" w:lineRule="exact"/>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【中】对项目总体有认识，有一定的措施但部分不具体；施工段划分较合理，符合规范要求。</w:t>
            </w:r>
          </w:p>
          <w:p w14:paraId="7B326BF1">
            <w:pPr>
              <w:pStyle w:val="10"/>
              <w:widowControl w:val="0"/>
              <w:wordWrap w:val="0"/>
              <w:adjustRightInd w:val="0"/>
              <w:snapToGrid w:val="0"/>
              <w:spacing w:after="0" w:line="400" w:lineRule="exact"/>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【差】对项目认识不足，表述不清晰，措施不具体；施工段划分不合理。</w:t>
            </w:r>
          </w:p>
        </w:tc>
      </w:tr>
      <w:tr w14:paraId="28957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3" w:type="dxa"/>
            <w:shd w:val="clear" w:color="auto" w:fill="auto"/>
            <w:vAlign w:val="center"/>
          </w:tcPr>
          <w:p w14:paraId="153CB019">
            <w:pPr>
              <w:pStyle w:val="35"/>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施工总进</w:t>
            </w:r>
          </w:p>
          <w:p w14:paraId="1ACF35C5">
            <w:pPr>
              <w:pStyle w:val="35"/>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度计划及</w:t>
            </w:r>
          </w:p>
          <w:p w14:paraId="304EFF44">
            <w:pPr>
              <w:pStyle w:val="35"/>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保证措施</w:t>
            </w:r>
          </w:p>
          <w:p w14:paraId="7782AB7E">
            <w:pPr>
              <w:pStyle w:val="35"/>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u w:val="single"/>
              </w:rPr>
              <w:t>3</w:t>
            </w:r>
            <w:r>
              <w:rPr>
                <w:rFonts w:hint="eastAsia" w:ascii="宋体" w:hAnsi="宋体" w:eastAsia="宋体" w:cs="宋体"/>
                <w:snapToGrid w:val="0"/>
                <w:color w:val="auto"/>
                <w:kern w:val="0"/>
                <w:sz w:val="24"/>
                <w:szCs w:val="24"/>
                <w:highlight w:val="none"/>
              </w:rPr>
              <w:t>分）</w:t>
            </w:r>
          </w:p>
        </w:tc>
        <w:tc>
          <w:tcPr>
            <w:tcW w:w="4317" w:type="dxa"/>
            <w:gridSpan w:val="2"/>
            <w:shd w:val="clear" w:color="auto" w:fill="auto"/>
            <w:vAlign w:val="center"/>
          </w:tcPr>
          <w:p w14:paraId="3A4D6CE7">
            <w:pPr>
              <w:pStyle w:val="43"/>
              <w:wordWrap w:val="0"/>
              <w:adjustRightInd w:val="0"/>
              <w:snapToGrid w:val="0"/>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【优】得该项因素分的90%～100%（含90%）；</w:t>
            </w:r>
          </w:p>
          <w:p w14:paraId="03CB86CE">
            <w:pPr>
              <w:pStyle w:val="43"/>
              <w:wordWrap w:val="0"/>
              <w:adjustRightInd w:val="0"/>
              <w:snapToGrid w:val="0"/>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【良】得该项因素分的80%～90%（含80%）；</w:t>
            </w:r>
          </w:p>
          <w:p w14:paraId="110744EC">
            <w:pPr>
              <w:pStyle w:val="43"/>
              <w:wordWrap w:val="0"/>
              <w:adjustRightInd w:val="0"/>
              <w:snapToGrid w:val="0"/>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【中】得该项因素分的70%～80%（含70%）；</w:t>
            </w:r>
          </w:p>
          <w:p w14:paraId="47C94877">
            <w:pPr>
              <w:pStyle w:val="44"/>
              <w:wordWrap w:val="0"/>
              <w:adjustRightInd w:val="0"/>
              <w:snapToGrid w:val="0"/>
              <w:spacing w:line="400" w:lineRule="exac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【差】得该项因素分的60%～70%（含60%）。</w:t>
            </w:r>
          </w:p>
        </w:tc>
        <w:tc>
          <w:tcPr>
            <w:tcW w:w="4324" w:type="dxa"/>
            <w:shd w:val="clear" w:color="auto" w:fill="auto"/>
            <w:vAlign w:val="center"/>
          </w:tcPr>
          <w:p w14:paraId="4FA340EA">
            <w:pPr>
              <w:pStyle w:val="44"/>
              <w:wordWrap w:val="0"/>
              <w:adjustRightInd w:val="0"/>
              <w:snapToGrid w:val="0"/>
              <w:spacing w:line="400" w:lineRule="exact"/>
              <w:rPr>
                <w:rFonts w:hint="eastAsia" w:ascii="宋体" w:hAnsi="宋体" w:eastAsia="宋体" w:cs="宋体"/>
                <w:b/>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关键线路清晰、准确、完整，计划编制合理、可行。关键节点的控制措施有力、合理、可行。人、材、机需求和进场计划与进度计划相呼应，较好满足施工需要，调配投入计划合理、准确。进度违约责任承诺具体，</w:t>
            </w:r>
            <w:r>
              <w:rPr>
                <w:rFonts w:hint="eastAsia" w:ascii="宋体" w:hAnsi="宋体" w:eastAsia="宋体" w:cs="宋体"/>
                <w:b/>
                <w:bCs/>
                <w:snapToGrid w:val="0"/>
                <w:color w:val="auto"/>
                <w:kern w:val="0"/>
                <w:sz w:val="24"/>
                <w:szCs w:val="24"/>
                <w:highlight w:val="none"/>
              </w:rPr>
              <w:t>经济赔偿合理。</w:t>
            </w:r>
          </w:p>
          <w:p w14:paraId="297214D7">
            <w:pPr>
              <w:pStyle w:val="44"/>
              <w:wordWrap w:val="0"/>
              <w:adjustRightInd w:val="0"/>
              <w:snapToGrid w:val="0"/>
              <w:spacing w:line="400" w:lineRule="exact"/>
              <w:rPr>
                <w:rFonts w:hint="eastAsia" w:ascii="宋体" w:hAnsi="宋体" w:eastAsia="宋体" w:cs="宋体"/>
                <w:b/>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【良】关键线路清晰、准确、完整，计划编制可行。关键节点的控制措施合理、可行。人、材、机需求和进场计划与进度计划相呼应，基本满足施工需要，调配投入计划基本合理、准确。进度违约责任承诺具体，</w:t>
            </w:r>
            <w:r>
              <w:rPr>
                <w:rFonts w:hint="eastAsia" w:ascii="宋体" w:hAnsi="宋体" w:eastAsia="宋体" w:cs="宋体"/>
                <w:b/>
                <w:bCs/>
                <w:snapToGrid w:val="0"/>
                <w:color w:val="auto"/>
                <w:kern w:val="0"/>
                <w:sz w:val="24"/>
                <w:szCs w:val="24"/>
                <w:highlight w:val="none"/>
              </w:rPr>
              <w:t>经济赔偿较合理。</w:t>
            </w:r>
          </w:p>
          <w:p w14:paraId="791ABD7E">
            <w:pPr>
              <w:pStyle w:val="44"/>
              <w:wordWrap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【中】关键线路基本准确，计划编制基本合理。关键节点的控制措施基本可行。人、材、机需求和进场计划与进度计划相呼应，基本满足施工需要，调配投入计划基本合理。进度违约责任承诺具体。</w:t>
            </w:r>
          </w:p>
          <w:p w14:paraId="6206FD23">
            <w:pPr>
              <w:pStyle w:val="44"/>
              <w:wordWrap w:val="0"/>
              <w:adjustRightInd w:val="0"/>
              <w:snapToGrid w:val="0"/>
              <w:spacing w:line="400" w:lineRule="exac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【差】关键线路不准确，计划编制不合理。关键节点的控制不可行。人、材、机需求和进场计划与进度计划不相呼应，不能满足施工需要。没有违约责任承诺。</w:t>
            </w:r>
          </w:p>
        </w:tc>
      </w:tr>
      <w:tr w14:paraId="1AF0C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3" w:type="dxa"/>
            <w:shd w:val="clear" w:color="auto" w:fill="auto"/>
            <w:vAlign w:val="center"/>
          </w:tcPr>
          <w:p w14:paraId="09AF64A2">
            <w:pPr>
              <w:pStyle w:val="35"/>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质量</w:t>
            </w:r>
          </w:p>
          <w:p w14:paraId="505573C9">
            <w:pPr>
              <w:pStyle w:val="35"/>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保证措施</w:t>
            </w:r>
          </w:p>
          <w:p w14:paraId="15910056">
            <w:pPr>
              <w:pStyle w:val="35"/>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u w:val="single"/>
              </w:rPr>
              <w:t>4</w:t>
            </w:r>
            <w:r>
              <w:rPr>
                <w:rFonts w:hint="eastAsia" w:ascii="宋体" w:hAnsi="宋体" w:eastAsia="宋体" w:cs="宋体"/>
                <w:snapToGrid w:val="0"/>
                <w:color w:val="auto"/>
                <w:kern w:val="0"/>
                <w:sz w:val="24"/>
                <w:szCs w:val="24"/>
                <w:highlight w:val="none"/>
              </w:rPr>
              <w:t>分）</w:t>
            </w:r>
          </w:p>
        </w:tc>
        <w:tc>
          <w:tcPr>
            <w:tcW w:w="4317" w:type="dxa"/>
            <w:gridSpan w:val="2"/>
            <w:shd w:val="clear" w:color="auto" w:fill="auto"/>
            <w:vAlign w:val="center"/>
          </w:tcPr>
          <w:p w14:paraId="572AE768">
            <w:pPr>
              <w:pStyle w:val="43"/>
              <w:wordWrap w:val="0"/>
              <w:adjustRightInd w:val="0"/>
              <w:snapToGrid w:val="0"/>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【优】得该项因素分的90%～100%（含90%）；</w:t>
            </w:r>
          </w:p>
          <w:p w14:paraId="767B049E">
            <w:pPr>
              <w:pStyle w:val="43"/>
              <w:wordWrap w:val="0"/>
              <w:adjustRightInd w:val="0"/>
              <w:snapToGrid w:val="0"/>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【良】得该项因素分的80%～90%（含80%）；</w:t>
            </w:r>
          </w:p>
          <w:p w14:paraId="10C1A288">
            <w:pPr>
              <w:pStyle w:val="43"/>
              <w:wordWrap w:val="0"/>
              <w:adjustRightInd w:val="0"/>
              <w:snapToGrid w:val="0"/>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【中】得该项因素分的70%～80%（含70%）；</w:t>
            </w:r>
          </w:p>
          <w:p w14:paraId="66DA90B4">
            <w:pPr>
              <w:pStyle w:val="44"/>
              <w:wordWrap w:val="0"/>
              <w:adjustRightInd w:val="0"/>
              <w:snapToGrid w:val="0"/>
              <w:spacing w:line="400" w:lineRule="exac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【差】得该项因素分的60%～70%（含60%）。</w:t>
            </w:r>
          </w:p>
        </w:tc>
        <w:tc>
          <w:tcPr>
            <w:tcW w:w="4324" w:type="dxa"/>
            <w:shd w:val="clear" w:color="auto" w:fill="auto"/>
            <w:vAlign w:val="center"/>
          </w:tcPr>
          <w:p w14:paraId="5CE773C2">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优】应用新技术、新工艺、新材料、新设备，针对项目实际提出先进、可行、具体的保证措施。超过招标文件的质量要求。投标人企业注册地或分支机构所在地与项目所在地的距离或全资子公司与项目所在地距离100公里内、投标人在相同地质条件业绩情况等相关证明资料。</w:t>
            </w:r>
          </w:p>
          <w:p w14:paraId="0188BB35">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良】针对项目实际提出先进、可行、具体的保证措施。满足招标文件的质量要求。投标人企业注册地或分支机构所在地与项目所在地的距离或全资子公司与项目所在地距离200公里内、投标人在相同地质条件业绩情况等相关证明资料。</w:t>
            </w:r>
          </w:p>
          <w:p w14:paraId="34923550">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【中】具体措施可行。满足招标文件的质量</w:t>
            </w:r>
            <w:r>
              <w:rPr>
                <w:rFonts w:hint="eastAsia" w:ascii="宋体" w:hAnsi="宋体" w:eastAsia="宋体" w:cs="宋体"/>
                <w:color w:val="auto"/>
                <w:sz w:val="24"/>
                <w:szCs w:val="24"/>
                <w:lang w:eastAsia="zh-CN"/>
              </w:rPr>
              <w:t>要</w:t>
            </w:r>
            <w:r>
              <w:rPr>
                <w:rFonts w:hint="eastAsia" w:ascii="宋体" w:hAnsi="宋体" w:eastAsia="宋体" w:cs="宋体"/>
                <w:color w:val="auto"/>
                <w:sz w:val="24"/>
                <w:szCs w:val="24"/>
              </w:rPr>
              <w:t>求。投标人企业注册地或分支机构所在地与项目所在地的距离或全资子公司与项目所在地距离300公里内、投标人在相同地质条件业绩情况等相关证明资料。</w:t>
            </w:r>
          </w:p>
          <w:p w14:paraId="44FD57C5">
            <w:pPr>
              <w:pStyle w:val="44"/>
              <w:wordWrap w:val="0"/>
              <w:adjustRightInd w:val="0"/>
              <w:snapToGrid w:val="0"/>
              <w:spacing w:line="400" w:lineRule="exac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rPr>
              <w:t>【差】措施不可行，没有质量违约责任承诺。</w:t>
            </w:r>
          </w:p>
        </w:tc>
      </w:tr>
      <w:tr w14:paraId="699AE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3" w:type="dxa"/>
            <w:shd w:val="clear" w:color="auto" w:fill="auto"/>
            <w:vAlign w:val="center"/>
          </w:tcPr>
          <w:p w14:paraId="7E0C03A2">
            <w:pPr>
              <w:pStyle w:val="35"/>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施工</w:t>
            </w:r>
          </w:p>
          <w:p w14:paraId="5201D1D0">
            <w:pPr>
              <w:pStyle w:val="35"/>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技术措施</w:t>
            </w:r>
          </w:p>
          <w:p w14:paraId="69CED7BA">
            <w:pPr>
              <w:pStyle w:val="35"/>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u w:val="single"/>
              </w:rPr>
              <w:t>2</w:t>
            </w:r>
            <w:r>
              <w:rPr>
                <w:rFonts w:hint="eastAsia" w:ascii="宋体" w:hAnsi="宋体" w:eastAsia="宋体" w:cs="宋体"/>
                <w:snapToGrid w:val="0"/>
                <w:color w:val="auto"/>
                <w:kern w:val="0"/>
                <w:sz w:val="24"/>
                <w:szCs w:val="24"/>
                <w:highlight w:val="none"/>
              </w:rPr>
              <w:t>分）</w:t>
            </w:r>
          </w:p>
        </w:tc>
        <w:tc>
          <w:tcPr>
            <w:tcW w:w="4317" w:type="dxa"/>
            <w:gridSpan w:val="2"/>
            <w:shd w:val="clear" w:color="auto" w:fill="auto"/>
            <w:vAlign w:val="center"/>
          </w:tcPr>
          <w:p w14:paraId="62F49E93">
            <w:pPr>
              <w:pStyle w:val="43"/>
              <w:wordWrap w:val="0"/>
              <w:adjustRightInd w:val="0"/>
              <w:snapToGrid w:val="0"/>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【优】得该项因素分的90%～100%（含90%）；</w:t>
            </w:r>
          </w:p>
          <w:p w14:paraId="4B868761">
            <w:pPr>
              <w:pStyle w:val="43"/>
              <w:wordWrap w:val="0"/>
              <w:adjustRightInd w:val="0"/>
              <w:snapToGrid w:val="0"/>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【良】得该项因素分的80%～90%（含80%）；</w:t>
            </w:r>
          </w:p>
          <w:p w14:paraId="4997568B">
            <w:pPr>
              <w:pStyle w:val="43"/>
              <w:wordWrap w:val="0"/>
              <w:adjustRightInd w:val="0"/>
              <w:snapToGrid w:val="0"/>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【中】得该项因素分的70%～80%（含70%）；</w:t>
            </w:r>
          </w:p>
          <w:p w14:paraId="33625EA6">
            <w:pPr>
              <w:pStyle w:val="44"/>
              <w:wordWrap w:val="0"/>
              <w:adjustRightInd w:val="0"/>
              <w:snapToGrid w:val="0"/>
              <w:spacing w:line="400" w:lineRule="exac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【差】得该项因素分的60%～70%（含60%）。</w:t>
            </w:r>
          </w:p>
        </w:tc>
        <w:tc>
          <w:tcPr>
            <w:tcW w:w="4324" w:type="dxa"/>
            <w:shd w:val="clear" w:color="auto" w:fill="auto"/>
            <w:vAlign w:val="center"/>
          </w:tcPr>
          <w:p w14:paraId="6679B4BC">
            <w:pPr>
              <w:pStyle w:val="44"/>
              <w:wordWrap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w:t>
            </w:r>
            <w:r>
              <w:rPr>
                <w:rFonts w:hint="eastAsia" w:ascii="宋体" w:hAnsi="宋体" w:eastAsia="宋体" w:cs="宋体"/>
                <w:b/>
                <w:bCs/>
                <w:snapToGrid w:val="0"/>
                <w:color w:val="auto"/>
                <w:kern w:val="0"/>
                <w:sz w:val="24"/>
                <w:szCs w:val="24"/>
                <w:highlight w:val="none"/>
              </w:rPr>
              <w:t>经济赔偿合理。</w:t>
            </w:r>
          </w:p>
          <w:p w14:paraId="731A6902">
            <w:pPr>
              <w:pStyle w:val="44"/>
              <w:wordWrap w:val="0"/>
              <w:adjustRightInd w:val="0"/>
              <w:snapToGrid w:val="0"/>
              <w:spacing w:line="400" w:lineRule="exact"/>
              <w:rPr>
                <w:rFonts w:hint="eastAsia" w:ascii="宋体" w:hAnsi="宋体" w:eastAsia="宋体" w:cs="宋体"/>
                <w:b/>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w:t>
            </w:r>
            <w:r>
              <w:rPr>
                <w:rFonts w:hint="eastAsia" w:ascii="宋体" w:hAnsi="宋体" w:eastAsia="宋体" w:cs="宋体"/>
                <w:b/>
                <w:bCs/>
                <w:snapToGrid w:val="0"/>
                <w:color w:val="auto"/>
                <w:kern w:val="0"/>
                <w:sz w:val="24"/>
                <w:szCs w:val="24"/>
                <w:highlight w:val="none"/>
              </w:rPr>
              <w:t>经济赔偿较合理。</w:t>
            </w:r>
          </w:p>
          <w:p w14:paraId="31E1134E">
            <w:pPr>
              <w:pStyle w:val="44"/>
              <w:wordWrap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对项目关键技术有一定了解，对重点、难点有建议，解决方案基本可行。有新技术措施，但验证材料不充分，对节约投资和工期可能有一定收益，但对采用的新技术可能产生的风险预见不足。有违约责任承诺。</w:t>
            </w:r>
          </w:p>
          <w:p w14:paraId="0ECF0326">
            <w:pPr>
              <w:pStyle w:val="44"/>
              <w:wordWrap w:val="0"/>
              <w:adjustRightInd w:val="0"/>
              <w:snapToGrid w:val="0"/>
              <w:spacing w:line="400" w:lineRule="exac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【差】对项目关键技术有表述，对重点、难点有建议，解决方案不可行。采用的新技术针对性不强或验证材料不可靠，对节约投资、工期没有具体收益。无违约责任承诺。</w:t>
            </w:r>
          </w:p>
        </w:tc>
      </w:tr>
      <w:tr w14:paraId="78037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3" w:type="dxa"/>
            <w:shd w:val="clear" w:color="auto" w:fill="auto"/>
            <w:vAlign w:val="center"/>
          </w:tcPr>
          <w:p w14:paraId="57A175FE">
            <w:pPr>
              <w:pStyle w:val="35"/>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绿色施工、</w:t>
            </w:r>
          </w:p>
          <w:p w14:paraId="2A884B33">
            <w:pPr>
              <w:pStyle w:val="35"/>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安全防护、</w:t>
            </w:r>
          </w:p>
          <w:p w14:paraId="3C8A20D9">
            <w:pPr>
              <w:pStyle w:val="35"/>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文明施工</w:t>
            </w:r>
          </w:p>
          <w:p w14:paraId="5894DFD1">
            <w:pPr>
              <w:pStyle w:val="35"/>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措施计划</w:t>
            </w:r>
          </w:p>
          <w:p w14:paraId="2D91A4B6">
            <w:pPr>
              <w:pStyle w:val="35"/>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u w:val="single"/>
              </w:rPr>
              <w:t>3</w:t>
            </w:r>
            <w:r>
              <w:rPr>
                <w:rFonts w:hint="eastAsia" w:ascii="宋体" w:hAnsi="宋体" w:eastAsia="宋体" w:cs="宋体"/>
                <w:snapToGrid w:val="0"/>
                <w:color w:val="auto"/>
                <w:kern w:val="0"/>
                <w:sz w:val="24"/>
                <w:szCs w:val="24"/>
                <w:highlight w:val="none"/>
              </w:rPr>
              <w:t>分）</w:t>
            </w:r>
          </w:p>
        </w:tc>
        <w:tc>
          <w:tcPr>
            <w:tcW w:w="4317" w:type="dxa"/>
            <w:gridSpan w:val="2"/>
            <w:shd w:val="clear" w:color="auto" w:fill="auto"/>
            <w:vAlign w:val="center"/>
          </w:tcPr>
          <w:p w14:paraId="59D36C0A">
            <w:pPr>
              <w:pStyle w:val="43"/>
              <w:wordWrap w:val="0"/>
              <w:adjustRightInd w:val="0"/>
              <w:snapToGrid w:val="0"/>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【优】得该项因素分的90%～100%（含90%）；</w:t>
            </w:r>
          </w:p>
          <w:p w14:paraId="3FBFACBB">
            <w:pPr>
              <w:pStyle w:val="43"/>
              <w:wordWrap w:val="0"/>
              <w:adjustRightInd w:val="0"/>
              <w:snapToGrid w:val="0"/>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【良】得该项因素分的80%～90%（含80%）；</w:t>
            </w:r>
          </w:p>
          <w:p w14:paraId="2BFD07C4">
            <w:pPr>
              <w:pStyle w:val="43"/>
              <w:wordWrap w:val="0"/>
              <w:adjustRightInd w:val="0"/>
              <w:snapToGrid w:val="0"/>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【中】得该项因素分的70%～80%（含70%）；</w:t>
            </w:r>
          </w:p>
          <w:p w14:paraId="4393A1DD">
            <w:pPr>
              <w:pStyle w:val="44"/>
              <w:wordWrap w:val="0"/>
              <w:adjustRightInd w:val="0"/>
              <w:snapToGrid w:val="0"/>
              <w:spacing w:line="400" w:lineRule="exac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【差】得该项因素分的60%～70%（含60%）。</w:t>
            </w:r>
          </w:p>
        </w:tc>
        <w:tc>
          <w:tcPr>
            <w:tcW w:w="4324" w:type="dxa"/>
            <w:shd w:val="clear" w:color="auto" w:fill="auto"/>
            <w:vAlign w:val="center"/>
          </w:tcPr>
          <w:p w14:paraId="17C01D19">
            <w:pPr>
              <w:pStyle w:val="44"/>
              <w:wordWrap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【优】针对项目实际情况，有先进、具体、完整、可行的措施，采用规范准确、清晰。</w:t>
            </w:r>
          </w:p>
          <w:p w14:paraId="43A42947">
            <w:pPr>
              <w:pStyle w:val="44"/>
              <w:wordWrap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【良】针对项目实际情况，有合理的措施且具体、完整，采用规范准确。</w:t>
            </w:r>
          </w:p>
          <w:p w14:paraId="46AAF557">
            <w:pPr>
              <w:pStyle w:val="44"/>
              <w:wordWrap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【中】有基本合理的措施，采用规范准确。</w:t>
            </w:r>
          </w:p>
          <w:p w14:paraId="2D0E7D5F">
            <w:pPr>
              <w:pStyle w:val="44"/>
              <w:wordWrap w:val="0"/>
              <w:adjustRightInd w:val="0"/>
              <w:snapToGrid w:val="0"/>
              <w:spacing w:line="400" w:lineRule="exac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【差】措施不力，采用规范不正确。</w:t>
            </w:r>
          </w:p>
        </w:tc>
      </w:tr>
      <w:tr w14:paraId="7B0CB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3" w:type="dxa"/>
            <w:shd w:val="clear" w:color="auto" w:fill="auto"/>
            <w:vAlign w:val="center"/>
          </w:tcPr>
          <w:p w14:paraId="1C79CB1C">
            <w:pPr>
              <w:pStyle w:val="35"/>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施工平面</w:t>
            </w:r>
          </w:p>
          <w:p w14:paraId="5D974646">
            <w:pPr>
              <w:pStyle w:val="35"/>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布置和临时设施布置</w:t>
            </w:r>
          </w:p>
          <w:p w14:paraId="70F1AD70">
            <w:pPr>
              <w:pStyle w:val="35"/>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u w:val="single"/>
              </w:rPr>
              <w:t>2</w:t>
            </w:r>
            <w:r>
              <w:rPr>
                <w:rFonts w:hint="eastAsia" w:ascii="宋体" w:hAnsi="宋体" w:eastAsia="宋体" w:cs="宋体"/>
                <w:snapToGrid w:val="0"/>
                <w:color w:val="auto"/>
                <w:kern w:val="0"/>
                <w:sz w:val="24"/>
                <w:szCs w:val="24"/>
                <w:highlight w:val="none"/>
              </w:rPr>
              <w:t>分）</w:t>
            </w:r>
          </w:p>
        </w:tc>
        <w:tc>
          <w:tcPr>
            <w:tcW w:w="4317" w:type="dxa"/>
            <w:gridSpan w:val="2"/>
            <w:shd w:val="clear" w:color="auto" w:fill="auto"/>
            <w:vAlign w:val="center"/>
          </w:tcPr>
          <w:p w14:paraId="6AB0554E">
            <w:pPr>
              <w:pStyle w:val="43"/>
              <w:wordWrap w:val="0"/>
              <w:adjustRightInd w:val="0"/>
              <w:snapToGrid w:val="0"/>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【优】得该项因素分的90%～100%（含90%）；</w:t>
            </w:r>
          </w:p>
          <w:p w14:paraId="0F8ABB48">
            <w:pPr>
              <w:pStyle w:val="43"/>
              <w:wordWrap w:val="0"/>
              <w:adjustRightInd w:val="0"/>
              <w:snapToGrid w:val="0"/>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【良】得该项因素分的80%～90%（含80%）；</w:t>
            </w:r>
          </w:p>
          <w:p w14:paraId="68D43D3A">
            <w:pPr>
              <w:pStyle w:val="43"/>
              <w:wordWrap w:val="0"/>
              <w:adjustRightInd w:val="0"/>
              <w:snapToGrid w:val="0"/>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【中】得该项因素分的70%～80%（含70%）；</w:t>
            </w:r>
          </w:p>
          <w:p w14:paraId="50BA640A">
            <w:pPr>
              <w:pStyle w:val="44"/>
              <w:wordWrap w:val="0"/>
              <w:adjustRightInd w:val="0"/>
              <w:snapToGrid w:val="0"/>
              <w:spacing w:line="400" w:lineRule="exac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【差】得该项因素分的60%～70%（含60%）。</w:t>
            </w:r>
          </w:p>
        </w:tc>
        <w:tc>
          <w:tcPr>
            <w:tcW w:w="4324" w:type="dxa"/>
            <w:shd w:val="clear" w:color="auto" w:fill="auto"/>
            <w:vAlign w:val="center"/>
          </w:tcPr>
          <w:p w14:paraId="36A894E8">
            <w:pPr>
              <w:pStyle w:val="44"/>
              <w:wordWrap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【优】总体布置有针对性、合理，较好满足施工需要，符合绿色施工、安全防护、文明施工要求。</w:t>
            </w:r>
          </w:p>
          <w:p w14:paraId="0FBDC27C">
            <w:pPr>
              <w:pStyle w:val="44"/>
              <w:wordWrap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【良】总体布置合理，能满足施工需要，基本符合绿色施工、安全防护、文明施工要求。</w:t>
            </w:r>
          </w:p>
          <w:p w14:paraId="1256F751">
            <w:pPr>
              <w:pStyle w:val="44"/>
              <w:wordWrap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【中】总体布置基本合理，基本满足施工需要。</w:t>
            </w:r>
          </w:p>
          <w:p w14:paraId="63CBDBD1">
            <w:pPr>
              <w:pStyle w:val="44"/>
              <w:wordWrap w:val="0"/>
              <w:adjustRightInd w:val="0"/>
              <w:snapToGrid w:val="0"/>
              <w:spacing w:line="400" w:lineRule="exac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【差】总体布置不合理，不符合绿色施工、安全防护、文明施工要求。</w:t>
            </w:r>
          </w:p>
        </w:tc>
      </w:tr>
      <w:tr w14:paraId="1A3C3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3" w:type="dxa"/>
            <w:shd w:val="clear" w:color="auto" w:fill="auto"/>
            <w:vAlign w:val="center"/>
          </w:tcPr>
          <w:p w14:paraId="7FC4D738">
            <w:pPr>
              <w:pStyle w:val="35"/>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w:t>
            </w:r>
          </w:p>
          <w:p w14:paraId="14E28005">
            <w:pPr>
              <w:pStyle w:val="35"/>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管理机构</w:t>
            </w:r>
          </w:p>
          <w:p w14:paraId="5ACB4C6B">
            <w:pPr>
              <w:pStyle w:val="35"/>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u w:val="single"/>
              </w:rPr>
              <w:t>3</w:t>
            </w:r>
            <w:r>
              <w:rPr>
                <w:rFonts w:hint="eastAsia" w:ascii="宋体" w:hAnsi="宋体" w:eastAsia="宋体" w:cs="宋体"/>
                <w:snapToGrid w:val="0"/>
                <w:color w:val="auto"/>
                <w:kern w:val="0"/>
                <w:sz w:val="24"/>
                <w:szCs w:val="24"/>
                <w:highlight w:val="none"/>
              </w:rPr>
              <w:t>分）</w:t>
            </w:r>
          </w:p>
        </w:tc>
        <w:tc>
          <w:tcPr>
            <w:tcW w:w="4317" w:type="dxa"/>
            <w:gridSpan w:val="2"/>
            <w:shd w:val="clear" w:color="auto" w:fill="auto"/>
            <w:vAlign w:val="center"/>
          </w:tcPr>
          <w:p w14:paraId="190990A0">
            <w:pPr>
              <w:pStyle w:val="43"/>
              <w:wordWrap w:val="0"/>
              <w:adjustRightInd w:val="0"/>
              <w:snapToGrid w:val="0"/>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【优】得该项因素分的90%～100%（含90%）；</w:t>
            </w:r>
          </w:p>
          <w:p w14:paraId="31925A76">
            <w:pPr>
              <w:pStyle w:val="43"/>
              <w:wordWrap w:val="0"/>
              <w:adjustRightInd w:val="0"/>
              <w:snapToGrid w:val="0"/>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【良】得该项因素分的80%～90%（含80%）；</w:t>
            </w:r>
          </w:p>
          <w:p w14:paraId="7980F0FF">
            <w:pPr>
              <w:pStyle w:val="43"/>
              <w:wordWrap w:val="0"/>
              <w:adjustRightInd w:val="0"/>
              <w:snapToGrid w:val="0"/>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【中】得该项因素分的70%～80%（含70%）；</w:t>
            </w:r>
          </w:p>
          <w:p w14:paraId="4A085E56">
            <w:pPr>
              <w:pStyle w:val="44"/>
              <w:wordWrap w:val="0"/>
              <w:adjustRightInd w:val="0"/>
              <w:snapToGrid w:val="0"/>
              <w:spacing w:line="400" w:lineRule="exac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【差】得该项因素分的60%～70%（含60%）。</w:t>
            </w:r>
          </w:p>
        </w:tc>
        <w:tc>
          <w:tcPr>
            <w:tcW w:w="4324" w:type="dxa"/>
            <w:shd w:val="clear" w:color="auto" w:fill="auto"/>
            <w:vAlign w:val="center"/>
          </w:tcPr>
          <w:p w14:paraId="71575887">
            <w:pPr>
              <w:pStyle w:val="44"/>
              <w:wordWrap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【优】组织机构形式合理，有完善的指挥系统，生产及质量、绿色施工、安全、文明施工、创优达标监控系统、联络协调系统，项目管理人员内高级职称人员</w:t>
            </w:r>
            <w:r>
              <w:rPr>
                <w:rFonts w:hint="eastAsia" w:ascii="宋体" w:hAnsi="宋体" w:eastAsia="宋体" w:cs="宋体"/>
                <w:snapToGrid w:val="0"/>
                <w:color w:val="auto"/>
                <w:kern w:val="0"/>
                <w:sz w:val="24"/>
                <w:szCs w:val="24"/>
                <w:highlight w:val="none"/>
                <w:lang w:val="en-US" w:eastAsia="zh-CN"/>
              </w:rPr>
              <w:t>15</w:t>
            </w:r>
            <w:r>
              <w:rPr>
                <w:rFonts w:hint="eastAsia" w:ascii="宋体" w:hAnsi="宋体" w:eastAsia="宋体" w:cs="宋体"/>
                <w:snapToGrid w:val="0"/>
                <w:color w:val="auto"/>
                <w:kern w:val="0"/>
                <w:sz w:val="24"/>
                <w:szCs w:val="24"/>
                <w:highlight w:val="none"/>
              </w:rPr>
              <w:t>%（含</w:t>
            </w:r>
            <w:r>
              <w:rPr>
                <w:rFonts w:hint="eastAsia" w:ascii="宋体" w:hAnsi="宋体" w:eastAsia="宋体" w:cs="宋体"/>
                <w:snapToGrid w:val="0"/>
                <w:color w:val="auto"/>
                <w:kern w:val="0"/>
                <w:sz w:val="24"/>
                <w:szCs w:val="24"/>
                <w:highlight w:val="none"/>
                <w:lang w:val="en-US" w:eastAsia="zh-CN"/>
              </w:rPr>
              <w:t>15</w:t>
            </w:r>
            <w:r>
              <w:rPr>
                <w:rFonts w:hint="eastAsia" w:ascii="宋体" w:hAnsi="宋体" w:eastAsia="宋体" w:cs="宋体"/>
                <w:snapToGrid w:val="0"/>
                <w:color w:val="auto"/>
                <w:kern w:val="0"/>
                <w:sz w:val="24"/>
                <w:szCs w:val="24"/>
                <w:highlight w:val="none"/>
              </w:rPr>
              <w:t>%）以上、中级职称人员</w:t>
            </w:r>
            <w:r>
              <w:rPr>
                <w:rFonts w:hint="eastAsia" w:ascii="宋体" w:hAnsi="宋体" w:eastAsia="宋体" w:cs="宋体"/>
                <w:b/>
                <w:bCs/>
                <w:snapToGrid w:val="0"/>
                <w:color w:val="auto"/>
                <w:kern w:val="0"/>
                <w:sz w:val="24"/>
                <w:szCs w:val="24"/>
                <w:highlight w:val="none"/>
              </w:rPr>
              <w:t>及以上职称</w:t>
            </w:r>
            <w:r>
              <w:rPr>
                <w:rFonts w:hint="eastAsia" w:ascii="宋体" w:hAnsi="宋体" w:eastAsia="宋体" w:cs="宋体"/>
                <w:snapToGrid w:val="0"/>
                <w:color w:val="auto"/>
                <w:kern w:val="0"/>
                <w:sz w:val="24"/>
                <w:szCs w:val="24"/>
                <w:highlight w:val="none"/>
              </w:rPr>
              <w:t>60%（含60%）以上。</w:t>
            </w:r>
          </w:p>
          <w:p w14:paraId="1945A2A9">
            <w:pPr>
              <w:pStyle w:val="44"/>
              <w:wordWrap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【良】组织机构形式合理，指挥系统，生产及质量、绿色施工、安全、文明施工、创优达标监控系统、联络协调系统齐全，项目管理人员内高级职称人员</w:t>
            </w:r>
            <w:r>
              <w:rPr>
                <w:rFonts w:hint="eastAsia" w:ascii="宋体" w:hAnsi="宋体" w:eastAsia="宋体" w:cs="宋体"/>
                <w:snapToGrid w:val="0"/>
                <w:color w:val="auto"/>
                <w:kern w:val="0"/>
                <w:sz w:val="24"/>
                <w:szCs w:val="24"/>
                <w:highlight w:val="none"/>
                <w:lang w:val="en-US" w:eastAsia="zh-CN"/>
              </w:rPr>
              <w:t>10</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15</w:t>
            </w:r>
            <w:r>
              <w:rPr>
                <w:rFonts w:hint="eastAsia" w:ascii="宋体" w:hAnsi="宋体" w:eastAsia="宋体" w:cs="宋体"/>
                <w:snapToGrid w:val="0"/>
                <w:color w:val="auto"/>
                <w:kern w:val="0"/>
                <w:sz w:val="24"/>
                <w:szCs w:val="24"/>
                <w:highlight w:val="none"/>
              </w:rPr>
              <w:t>%（含</w:t>
            </w:r>
            <w:r>
              <w:rPr>
                <w:rFonts w:hint="eastAsia" w:ascii="宋体" w:hAnsi="宋体" w:eastAsia="宋体" w:cs="宋体"/>
                <w:snapToGrid w:val="0"/>
                <w:color w:val="auto"/>
                <w:kern w:val="0"/>
                <w:sz w:val="24"/>
                <w:szCs w:val="24"/>
                <w:highlight w:val="none"/>
                <w:lang w:val="en-US" w:eastAsia="zh-CN"/>
              </w:rPr>
              <w:t>10</w:t>
            </w:r>
            <w:r>
              <w:rPr>
                <w:rFonts w:hint="eastAsia" w:ascii="宋体" w:hAnsi="宋体" w:eastAsia="宋体" w:cs="宋体"/>
                <w:snapToGrid w:val="0"/>
                <w:color w:val="auto"/>
                <w:kern w:val="0"/>
                <w:sz w:val="24"/>
                <w:szCs w:val="24"/>
                <w:highlight w:val="none"/>
              </w:rPr>
              <w:t>%）、中级职称</w:t>
            </w:r>
            <w:r>
              <w:rPr>
                <w:rFonts w:hint="eastAsia" w:ascii="宋体" w:hAnsi="宋体" w:eastAsia="宋体" w:cs="宋体"/>
                <w:b/>
                <w:bCs/>
                <w:snapToGrid w:val="0"/>
                <w:color w:val="auto"/>
                <w:kern w:val="0"/>
                <w:sz w:val="24"/>
                <w:szCs w:val="24"/>
                <w:highlight w:val="none"/>
              </w:rPr>
              <w:t>及以上职称</w:t>
            </w:r>
            <w:r>
              <w:rPr>
                <w:rFonts w:hint="eastAsia" w:ascii="宋体" w:hAnsi="宋体" w:eastAsia="宋体" w:cs="宋体"/>
                <w:snapToGrid w:val="0"/>
                <w:color w:val="auto"/>
                <w:kern w:val="0"/>
                <w:sz w:val="24"/>
                <w:szCs w:val="24"/>
                <w:highlight w:val="none"/>
              </w:rPr>
              <w:t>人员50%～60%（含50%）。</w:t>
            </w:r>
          </w:p>
          <w:p w14:paraId="0BEA0482">
            <w:pPr>
              <w:pStyle w:val="44"/>
              <w:wordWrap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【中】组织机构形式基本合理，有指挥系统，生产及质量、绿色施工、安全、文明施工、创优达标监控系统、联络协调系统，项目管理人员内高级职称人员</w:t>
            </w:r>
            <w:r>
              <w:rPr>
                <w:rFonts w:hint="eastAsia" w:ascii="宋体"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10</w:t>
            </w:r>
            <w:r>
              <w:rPr>
                <w:rFonts w:hint="eastAsia" w:ascii="宋体" w:hAnsi="宋体" w:eastAsia="宋体" w:cs="宋体"/>
                <w:snapToGrid w:val="0"/>
                <w:color w:val="auto"/>
                <w:kern w:val="0"/>
                <w:sz w:val="24"/>
                <w:szCs w:val="24"/>
                <w:highlight w:val="none"/>
              </w:rPr>
              <w:t>%（含</w:t>
            </w:r>
            <w:r>
              <w:rPr>
                <w:rFonts w:hint="eastAsia" w:ascii="宋体"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%）、中级职称人员</w:t>
            </w:r>
            <w:r>
              <w:rPr>
                <w:rFonts w:hint="eastAsia" w:ascii="宋体" w:hAnsi="宋体" w:eastAsia="宋体" w:cs="宋体"/>
                <w:b/>
                <w:bCs/>
                <w:snapToGrid w:val="0"/>
                <w:color w:val="auto"/>
                <w:kern w:val="0"/>
                <w:sz w:val="24"/>
                <w:szCs w:val="24"/>
                <w:highlight w:val="none"/>
              </w:rPr>
              <w:t>及以上职称</w:t>
            </w:r>
            <w:r>
              <w:rPr>
                <w:rFonts w:hint="eastAsia" w:ascii="宋体" w:hAnsi="宋体" w:eastAsia="宋体" w:cs="宋体"/>
                <w:snapToGrid w:val="0"/>
                <w:color w:val="auto"/>
                <w:kern w:val="0"/>
                <w:sz w:val="24"/>
                <w:szCs w:val="24"/>
                <w:highlight w:val="none"/>
              </w:rPr>
              <w:t>40%～50%（含40%）。</w:t>
            </w:r>
          </w:p>
          <w:p w14:paraId="5AFFFA65">
            <w:pPr>
              <w:pStyle w:val="44"/>
              <w:wordWrap w:val="0"/>
              <w:adjustRightInd w:val="0"/>
              <w:snapToGrid w:val="0"/>
              <w:spacing w:line="400" w:lineRule="exac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【差】组织机构形式合理，指挥系统，生产及质量、绿色施工、安全、文明施工、创优达标监控系统、联络协调系统不齐全，项目管理人员内高级职称人员10%以下、中级职称人员</w:t>
            </w:r>
            <w:r>
              <w:rPr>
                <w:rFonts w:hint="eastAsia" w:ascii="宋体" w:hAnsi="宋体" w:eastAsia="宋体" w:cs="宋体"/>
                <w:b/>
                <w:bCs/>
                <w:snapToGrid w:val="0"/>
                <w:color w:val="auto"/>
                <w:kern w:val="0"/>
                <w:sz w:val="24"/>
                <w:szCs w:val="24"/>
                <w:highlight w:val="none"/>
              </w:rPr>
              <w:t>及以上职称</w:t>
            </w:r>
            <w:r>
              <w:rPr>
                <w:rFonts w:hint="eastAsia" w:ascii="宋体" w:hAnsi="宋体" w:eastAsia="宋体" w:cs="宋体"/>
                <w:snapToGrid w:val="0"/>
                <w:color w:val="auto"/>
                <w:kern w:val="0"/>
                <w:sz w:val="24"/>
                <w:szCs w:val="24"/>
                <w:highlight w:val="none"/>
              </w:rPr>
              <w:t>40%以下。</w:t>
            </w:r>
          </w:p>
        </w:tc>
      </w:tr>
      <w:tr w14:paraId="23CBB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gridSpan w:val="4"/>
          </w:tcPr>
          <w:p w14:paraId="30D9DD1E">
            <w:pPr>
              <w:widowControl w:val="0"/>
              <w:spacing w:line="360" w:lineRule="auto"/>
              <w:jc w:val="both"/>
              <w:rPr>
                <w:rFonts w:hint="eastAsia" w:ascii="宋体" w:hAnsi="宋体" w:eastAsia="宋体" w:cs="宋体"/>
                <w:color w:val="auto"/>
                <w:sz w:val="24"/>
                <w:szCs w:val="24"/>
                <w:vertAlign w:val="baseline"/>
              </w:rPr>
            </w:pPr>
            <w:r>
              <w:rPr>
                <w:rFonts w:hint="eastAsia" w:ascii="宋体" w:hAnsi="宋体" w:eastAsia="宋体" w:cs="宋体"/>
                <w:snapToGrid w:val="0"/>
                <w:color w:val="auto"/>
                <w:kern w:val="0"/>
                <w:sz w:val="24"/>
                <w:szCs w:val="24"/>
              </w:rPr>
              <w:t>投标报价部分，满分：100分。</w:t>
            </w:r>
          </w:p>
        </w:tc>
      </w:tr>
      <w:tr w14:paraId="14ADA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3" w:type="dxa"/>
            <w:vAlign w:val="center"/>
          </w:tcPr>
          <w:p w14:paraId="17A2E7A9">
            <w:pPr>
              <w:widowControl w:val="0"/>
              <w:wordWrap w:val="0"/>
              <w:adjustRightInd w:val="0"/>
              <w:snapToGrid w:val="0"/>
              <w:spacing w:line="360" w:lineRule="auto"/>
              <w:jc w:val="center"/>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rPr>
              <w:t>评分事项</w:t>
            </w:r>
          </w:p>
        </w:tc>
        <w:tc>
          <w:tcPr>
            <w:tcW w:w="8641" w:type="dxa"/>
            <w:gridSpan w:val="3"/>
            <w:vAlign w:val="center"/>
          </w:tcPr>
          <w:p w14:paraId="0C822854">
            <w:pPr>
              <w:widowControl w:val="0"/>
              <w:wordWrap w:val="0"/>
              <w:adjustRightInd w:val="0"/>
              <w:snapToGrid w:val="0"/>
              <w:spacing w:line="360" w:lineRule="auto"/>
              <w:jc w:val="center"/>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rPr>
              <w:t>评分方法</w:t>
            </w:r>
          </w:p>
        </w:tc>
      </w:tr>
      <w:tr w14:paraId="06F0D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3" w:type="dxa"/>
            <w:shd w:val="clear" w:color="auto" w:fill="auto"/>
            <w:vAlign w:val="center"/>
          </w:tcPr>
          <w:p w14:paraId="7C2C4CAE">
            <w:pPr>
              <w:pStyle w:val="35"/>
              <w:wordWrap w:val="0"/>
              <w:adjustRightInd w:val="0"/>
              <w:snapToGrid w:val="0"/>
              <w:spacing w:line="36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评标基准价D</w:t>
            </w:r>
          </w:p>
        </w:tc>
        <w:tc>
          <w:tcPr>
            <w:tcW w:w="8641" w:type="dxa"/>
            <w:gridSpan w:val="3"/>
            <w:shd w:val="clear" w:color="auto" w:fill="auto"/>
            <w:vAlign w:val="center"/>
          </w:tcPr>
          <w:p w14:paraId="612E9196">
            <w:pPr>
              <w:widowControl w:val="0"/>
              <w:wordWrap w:val="0"/>
              <w:adjustRightInd w:val="0"/>
              <w:snapToGrid w:val="0"/>
              <w:spacing w:line="360" w:lineRule="exact"/>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（1）确定</w:t>
            </w:r>
            <w:r>
              <w:rPr>
                <w:rFonts w:hint="eastAsia" w:ascii="宋体" w:hAnsi="宋体" w:eastAsia="宋体" w:cs="宋体"/>
                <w:snapToGrid w:val="0"/>
                <w:color w:val="auto"/>
                <w:kern w:val="0"/>
                <w:sz w:val="24"/>
                <w:szCs w:val="24"/>
                <w:highlight w:val="none"/>
                <w:lang w:eastAsia="zh-CN"/>
              </w:rPr>
              <w:t>最高投标限价</w:t>
            </w:r>
            <w:r>
              <w:rPr>
                <w:rFonts w:hint="eastAsia" w:ascii="宋体" w:hAnsi="宋体" w:eastAsia="宋体" w:cs="宋体"/>
                <w:snapToGrid w:val="0"/>
                <w:color w:val="auto"/>
                <w:kern w:val="0"/>
                <w:sz w:val="24"/>
                <w:szCs w:val="24"/>
                <w:highlight w:val="none"/>
              </w:rPr>
              <w:t>下浮系数n：用1～21号球分别代表一个下浮系数，由评委代表从这21个号码中随机抽取</w:t>
            </w:r>
            <w:r>
              <w:rPr>
                <w:rFonts w:hint="eastAsia" w:ascii="宋体" w:hAnsi="宋体" w:eastAsia="宋体" w:cs="宋体"/>
                <w:snapToGrid w:val="0"/>
                <w:color w:val="auto"/>
                <w:kern w:val="0"/>
                <w:sz w:val="24"/>
                <w:szCs w:val="24"/>
                <w:highlight w:val="none"/>
                <w:u w:val="single"/>
              </w:rPr>
              <w:t xml:space="preserve"> 3 </w:t>
            </w:r>
            <w:r>
              <w:rPr>
                <w:rFonts w:hint="eastAsia" w:ascii="宋体" w:hAnsi="宋体" w:eastAsia="宋体" w:cs="宋体"/>
                <w:snapToGrid w:val="0"/>
                <w:color w:val="auto"/>
                <w:kern w:val="0"/>
                <w:sz w:val="24"/>
                <w:szCs w:val="24"/>
                <w:highlight w:val="none"/>
              </w:rPr>
              <w:t>次，每次抽取1个号码，抽出的号球不参与下次抽取。所抽取的3个号码对应下浮系数的算术平均值作为招标控制价下浮系数n。具体号码对应的下浮系数可参考下表。</w:t>
            </w:r>
          </w:p>
          <w:tbl>
            <w:tblPr>
              <w:tblStyle w:val="24"/>
              <w:tblW w:w="0" w:type="auto"/>
              <w:jc w:val="center"/>
              <w:tblLayout w:type="autofit"/>
              <w:tblCellMar>
                <w:top w:w="0" w:type="dxa"/>
                <w:left w:w="108" w:type="dxa"/>
                <w:bottom w:w="0" w:type="dxa"/>
                <w:right w:w="108" w:type="dxa"/>
              </w:tblCellMar>
            </w:tblPr>
            <w:tblGrid>
              <w:gridCol w:w="1818"/>
              <w:gridCol w:w="828"/>
              <w:gridCol w:w="865"/>
              <w:gridCol w:w="901"/>
              <w:gridCol w:w="885"/>
              <w:gridCol w:w="921"/>
              <w:gridCol w:w="864"/>
              <w:gridCol w:w="854"/>
            </w:tblGrid>
            <w:tr w14:paraId="1908EE79">
              <w:tblPrEx>
                <w:tblCellMar>
                  <w:top w:w="0" w:type="dxa"/>
                  <w:left w:w="108" w:type="dxa"/>
                  <w:bottom w:w="0" w:type="dxa"/>
                  <w:right w:w="108" w:type="dxa"/>
                </w:tblCellMar>
              </w:tblPrEx>
              <w:trPr>
                <w:trHeight w:val="340" w:hRule="exact"/>
                <w:jc w:val="center"/>
              </w:trPr>
              <w:tc>
                <w:tcPr>
                  <w:tcW w:w="1818"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43BD9191">
                  <w:pPr>
                    <w:wordWrap w:val="0"/>
                    <w:adjustRightInd w:val="0"/>
                    <w:snapToGrid w:val="0"/>
                    <w:spacing w:line="360" w:lineRule="exact"/>
                    <w:jc w:val="center"/>
                    <w:rPr>
                      <w:rFonts w:hint="eastAsia" w:ascii="宋体" w:hAnsi="宋体" w:eastAsia="宋体" w:cs="宋体"/>
                      <w:b/>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号球</w:t>
                  </w:r>
                </w:p>
              </w:tc>
              <w:tc>
                <w:tcPr>
                  <w:tcW w:w="828"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3B5309A1">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p>
              </w:tc>
              <w:tc>
                <w:tcPr>
                  <w:tcW w:w="865"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1191C602">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p>
              </w:tc>
              <w:tc>
                <w:tcPr>
                  <w:tcW w:w="901"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402A3737">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p>
              </w:tc>
              <w:tc>
                <w:tcPr>
                  <w:tcW w:w="885"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6540176A">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w:t>
                  </w:r>
                </w:p>
              </w:tc>
              <w:tc>
                <w:tcPr>
                  <w:tcW w:w="921"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3B000509">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w:t>
                  </w:r>
                </w:p>
              </w:tc>
              <w:tc>
                <w:tcPr>
                  <w:tcW w:w="864"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5EAEB6EB">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w:t>
                  </w:r>
                </w:p>
              </w:tc>
              <w:tc>
                <w:tcPr>
                  <w:tcW w:w="854"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5BAB25B8">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w:t>
                  </w:r>
                </w:p>
              </w:tc>
            </w:tr>
            <w:tr w14:paraId="6A05BF4E">
              <w:tblPrEx>
                <w:tblCellMar>
                  <w:top w:w="0" w:type="dxa"/>
                  <w:left w:w="108" w:type="dxa"/>
                  <w:bottom w:w="0" w:type="dxa"/>
                  <w:right w:w="108" w:type="dxa"/>
                </w:tblCellMar>
              </w:tblPrEx>
              <w:trPr>
                <w:trHeight w:val="340" w:hRule="exact"/>
                <w:jc w:val="center"/>
              </w:trPr>
              <w:tc>
                <w:tcPr>
                  <w:tcW w:w="1818" w:type="dxa"/>
                  <w:tcBorders>
                    <w:top w:val="single" w:color="000000" w:sz="4" w:space="0"/>
                    <w:left w:val="single" w:color="000000" w:sz="4" w:space="0"/>
                    <w:bottom w:val="single" w:color="000000" w:sz="4" w:space="0"/>
                    <w:right w:val="single" w:color="000000" w:sz="4" w:space="0"/>
                  </w:tcBorders>
                  <w:noWrap w:val="0"/>
                  <w:vAlign w:val="center"/>
                </w:tcPr>
                <w:p w14:paraId="0C9A36B2">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下浮系数（%）</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14:paraId="7B79F345">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w:t>
                  </w:r>
                </w:p>
              </w:tc>
              <w:tc>
                <w:tcPr>
                  <w:tcW w:w="865" w:type="dxa"/>
                  <w:tcBorders>
                    <w:top w:val="single" w:color="000000" w:sz="4" w:space="0"/>
                    <w:left w:val="single" w:color="000000" w:sz="4" w:space="0"/>
                    <w:bottom w:val="single" w:color="000000" w:sz="4" w:space="0"/>
                    <w:right w:val="single" w:color="000000" w:sz="4" w:space="0"/>
                  </w:tcBorders>
                  <w:noWrap w:val="0"/>
                  <w:vAlign w:val="center"/>
                </w:tcPr>
                <w:p w14:paraId="75DF5B62">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w:t>
                  </w:r>
                </w:p>
              </w:tc>
              <w:tc>
                <w:tcPr>
                  <w:tcW w:w="901" w:type="dxa"/>
                  <w:tcBorders>
                    <w:top w:val="single" w:color="000000" w:sz="4" w:space="0"/>
                    <w:left w:val="single" w:color="000000" w:sz="4" w:space="0"/>
                    <w:bottom w:val="single" w:color="000000" w:sz="4" w:space="0"/>
                    <w:right w:val="single" w:color="000000" w:sz="4" w:space="0"/>
                  </w:tcBorders>
                  <w:noWrap w:val="0"/>
                  <w:vAlign w:val="center"/>
                </w:tcPr>
                <w:p w14:paraId="7B8CB394">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14:paraId="6806469B">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1.3</w:t>
                  </w:r>
                </w:p>
              </w:tc>
              <w:tc>
                <w:tcPr>
                  <w:tcW w:w="921" w:type="dxa"/>
                  <w:tcBorders>
                    <w:top w:val="single" w:color="000000" w:sz="4" w:space="0"/>
                    <w:left w:val="single" w:color="000000" w:sz="4" w:space="0"/>
                    <w:bottom w:val="single" w:color="000000" w:sz="4" w:space="0"/>
                    <w:right w:val="single" w:color="000000" w:sz="4" w:space="0"/>
                  </w:tcBorders>
                  <w:noWrap w:val="0"/>
                  <w:vAlign w:val="center"/>
                </w:tcPr>
                <w:p w14:paraId="53F90636">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1.4</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213CDF38">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1.5</w:t>
                  </w:r>
                </w:p>
              </w:tc>
              <w:tc>
                <w:tcPr>
                  <w:tcW w:w="854" w:type="dxa"/>
                  <w:tcBorders>
                    <w:top w:val="single" w:color="000000" w:sz="4" w:space="0"/>
                    <w:left w:val="single" w:color="000000" w:sz="4" w:space="0"/>
                    <w:bottom w:val="single" w:color="000000" w:sz="4" w:space="0"/>
                    <w:right w:val="single" w:color="000000" w:sz="4" w:space="0"/>
                  </w:tcBorders>
                  <w:noWrap w:val="0"/>
                  <w:vAlign w:val="center"/>
                </w:tcPr>
                <w:p w14:paraId="69404FFC">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1.6</w:t>
                  </w:r>
                </w:p>
              </w:tc>
            </w:tr>
            <w:tr w14:paraId="74EDACA4">
              <w:tblPrEx>
                <w:tblCellMar>
                  <w:top w:w="0" w:type="dxa"/>
                  <w:left w:w="108" w:type="dxa"/>
                  <w:bottom w:w="0" w:type="dxa"/>
                  <w:right w:w="108" w:type="dxa"/>
                </w:tblCellMar>
              </w:tblPrEx>
              <w:trPr>
                <w:trHeight w:val="340" w:hRule="exact"/>
                <w:jc w:val="center"/>
              </w:trPr>
              <w:tc>
                <w:tcPr>
                  <w:tcW w:w="1818"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79C02E81">
                  <w:pPr>
                    <w:wordWrap w:val="0"/>
                    <w:adjustRightInd w:val="0"/>
                    <w:snapToGrid w:val="0"/>
                    <w:spacing w:line="360" w:lineRule="exact"/>
                    <w:jc w:val="center"/>
                    <w:rPr>
                      <w:rFonts w:hint="eastAsia" w:ascii="宋体" w:hAnsi="宋体" w:eastAsia="宋体" w:cs="宋体"/>
                      <w:b/>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号球</w:t>
                  </w:r>
                </w:p>
              </w:tc>
              <w:tc>
                <w:tcPr>
                  <w:tcW w:w="828"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5CE464F2">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w:t>
                  </w:r>
                </w:p>
              </w:tc>
              <w:tc>
                <w:tcPr>
                  <w:tcW w:w="865"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415BCBD8">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w:t>
                  </w:r>
                </w:p>
              </w:tc>
              <w:tc>
                <w:tcPr>
                  <w:tcW w:w="901"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151CEE95">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w:t>
                  </w:r>
                </w:p>
              </w:tc>
              <w:tc>
                <w:tcPr>
                  <w:tcW w:w="885"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679127EC">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w:t>
                  </w:r>
                </w:p>
              </w:tc>
              <w:tc>
                <w:tcPr>
                  <w:tcW w:w="921"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51E6C6F8">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w:t>
                  </w:r>
                </w:p>
              </w:tc>
              <w:tc>
                <w:tcPr>
                  <w:tcW w:w="864"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602D7C5C">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13</w:t>
                  </w:r>
                </w:p>
              </w:tc>
              <w:tc>
                <w:tcPr>
                  <w:tcW w:w="854"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38DF2247">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14</w:t>
                  </w:r>
                </w:p>
              </w:tc>
            </w:tr>
            <w:tr w14:paraId="6E0B29C5">
              <w:tblPrEx>
                <w:tblCellMar>
                  <w:top w:w="0" w:type="dxa"/>
                  <w:left w:w="108" w:type="dxa"/>
                  <w:bottom w:w="0" w:type="dxa"/>
                  <w:right w:w="108" w:type="dxa"/>
                </w:tblCellMar>
              </w:tblPrEx>
              <w:trPr>
                <w:trHeight w:val="340" w:hRule="exact"/>
                <w:jc w:val="center"/>
              </w:trPr>
              <w:tc>
                <w:tcPr>
                  <w:tcW w:w="1818" w:type="dxa"/>
                  <w:tcBorders>
                    <w:top w:val="single" w:color="000000" w:sz="4" w:space="0"/>
                    <w:left w:val="single" w:color="000000" w:sz="4" w:space="0"/>
                    <w:bottom w:val="single" w:color="000000" w:sz="4" w:space="0"/>
                    <w:right w:val="single" w:color="000000" w:sz="4" w:space="0"/>
                  </w:tcBorders>
                  <w:noWrap w:val="0"/>
                  <w:vAlign w:val="center"/>
                </w:tcPr>
                <w:p w14:paraId="2E4AE75F">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下浮系数（%）</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14:paraId="1AC46DD3">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1.7</w:t>
                  </w:r>
                </w:p>
              </w:tc>
              <w:tc>
                <w:tcPr>
                  <w:tcW w:w="865" w:type="dxa"/>
                  <w:tcBorders>
                    <w:top w:val="single" w:color="000000" w:sz="4" w:space="0"/>
                    <w:left w:val="single" w:color="000000" w:sz="4" w:space="0"/>
                    <w:bottom w:val="single" w:color="000000" w:sz="4" w:space="0"/>
                    <w:right w:val="single" w:color="000000" w:sz="4" w:space="0"/>
                  </w:tcBorders>
                  <w:noWrap w:val="0"/>
                  <w:vAlign w:val="center"/>
                </w:tcPr>
                <w:p w14:paraId="3A11ABB6">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1.8</w:t>
                  </w:r>
                </w:p>
              </w:tc>
              <w:tc>
                <w:tcPr>
                  <w:tcW w:w="901" w:type="dxa"/>
                  <w:tcBorders>
                    <w:top w:val="single" w:color="000000" w:sz="4" w:space="0"/>
                    <w:left w:val="single" w:color="000000" w:sz="4" w:space="0"/>
                    <w:bottom w:val="single" w:color="000000" w:sz="4" w:space="0"/>
                    <w:right w:val="single" w:color="000000" w:sz="4" w:space="0"/>
                  </w:tcBorders>
                  <w:noWrap w:val="0"/>
                  <w:vAlign w:val="center"/>
                </w:tcPr>
                <w:p w14:paraId="32B11ACA">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1.9</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14:paraId="37672745">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2.0</w:t>
                  </w:r>
                </w:p>
              </w:tc>
              <w:tc>
                <w:tcPr>
                  <w:tcW w:w="921" w:type="dxa"/>
                  <w:tcBorders>
                    <w:top w:val="single" w:color="000000" w:sz="4" w:space="0"/>
                    <w:left w:val="single" w:color="000000" w:sz="4" w:space="0"/>
                    <w:bottom w:val="single" w:color="000000" w:sz="4" w:space="0"/>
                    <w:right w:val="single" w:color="000000" w:sz="4" w:space="0"/>
                  </w:tcBorders>
                  <w:noWrap w:val="0"/>
                  <w:vAlign w:val="center"/>
                </w:tcPr>
                <w:p w14:paraId="579A810D">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2.1</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6437E428">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2.2</w:t>
                  </w:r>
                </w:p>
              </w:tc>
              <w:tc>
                <w:tcPr>
                  <w:tcW w:w="854" w:type="dxa"/>
                  <w:tcBorders>
                    <w:top w:val="single" w:color="000000" w:sz="4" w:space="0"/>
                    <w:left w:val="single" w:color="000000" w:sz="4" w:space="0"/>
                    <w:bottom w:val="single" w:color="000000" w:sz="4" w:space="0"/>
                    <w:right w:val="single" w:color="000000" w:sz="4" w:space="0"/>
                  </w:tcBorders>
                  <w:noWrap w:val="0"/>
                  <w:vAlign w:val="center"/>
                </w:tcPr>
                <w:p w14:paraId="16C05319">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2.3</w:t>
                  </w:r>
                </w:p>
              </w:tc>
            </w:tr>
            <w:tr w14:paraId="243661CE">
              <w:tblPrEx>
                <w:tblCellMar>
                  <w:top w:w="0" w:type="dxa"/>
                  <w:left w:w="108" w:type="dxa"/>
                  <w:bottom w:w="0" w:type="dxa"/>
                  <w:right w:w="108" w:type="dxa"/>
                </w:tblCellMar>
              </w:tblPrEx>
              <w:trPr>
                <w:trHeight w:val="340" w:hRule="exact"/>
                <w:jc w:val="center"/>
              </w:trPr>
              <w:tc>
                <w:tcPr>
                  <w:tcW w:w="1818"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37344409">
                  <w:pPr>
                    <w:wordWrap w:val="0"/>
                    <w:adjustRightInd w:val="0"/>
                    <w:snapToGrid w:val="0"/>
                    <w:spacing w:line="360" w:lineRule="exact"/>
                    <w:jc w:val="center"/>
                    <w:rPr>
                      <w:rFonts w:hint="eastAsia" w:ascii="宋体" w:hAnsi="宋体" w:eastAsia="宋体" w:cs="宋体"/>
                      <w:b/>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号球</w:t>
                  </w:r>
                </w:p>
              </w:tc>
              <w:tc>
                <w:tcPr>
                  <w:tcW w:w="828"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1C201424">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15</w:t>
                  </w:r>
                </w:p>
              </w:tc>
              <w:tc>
                <w:tcPr>
                  <w:tcW w:w="865"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702C813E">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16</w:t>
                  </w:r>
                </w:p>
              </w:tc>
              <w:tc>
                <w:tcPr>
                  <w:tcW w:w="901"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0C310CE0">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17</w:t>
                  </w:r>
                </w:p>
              </w:tc>
              <w:tc>
                <w:tcPr>
                  <w:tcW w:w="885"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69E716D5">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18</w:t>
                  </w:r>
                </w:p>
              </w:tc>
              <w:tc>
                <w:tcPr>
                  <w:tcW w:w="921"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6CFF2867">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19</w:t>
                  </w:r>
                </w:p>
              </w:tc>
              <w:tc>
                <w:tcPr>
                  <w:tcW w:w="864"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3DE5E9BE">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20</w:t>
                  </w:r>
                </w:p>
              </w:tc>
              <w:tc>
                <w:tcPr>
                  <w:tcW w:w="854"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1D9F4120">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21</w:t>
                  </w:r>
                </w:p>
              </w:tc>
            </w:tr>
            <w:tr w14:paraId="02029A12">
              <w:tblPrEx>
                <w:tblCellMar>
                  <w:top w:w="0" w:type="dxa"/>
                  <w:left w:w="108" w:type="dxa"/>
                  <w:bottom w:w="0" w:type="dxa"/>
                  <w:right w:w="108" w:type="dxa"/>
                </w:tblCellMar>
              </w:tblPrEx>
              <w:trPr>
                <w:trHeight w:val="340" w:hRule="exact"/>
                <w:jc w:val="center"/>
              </w:trPr>
              <w:tc>
                <w:tcPr>
                  <w:tcW w:w="1818" w:type="dxa"/>
                  <w:tcBorders>
                    <w:top w:val="single" w:color="000000" w:sz="4" w:space="0"/>
                    <w:left w:val="single" w:color="000000" w:sz="4" w:space="0"/>
                    <w:bottom w:val="single" w:color="000000" w:sz="4" w:space="0"/>
                    <w:right w:val="single" w:color="000000" w:sz="4" w:space="0"/>
                  </w:tcBorders>
                  <w:noWrap w:val="0"/>
                  <w:vAlign w:val="center"/>
                </w:tcPr>
                <w:p w14:paraId="7CFEE0DC">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下浮系数（%）</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14:paraId="377BCE3E">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2.4</w:t>
                  </w:r>
                </w:p>
              </w:tc>
              <w:tc>
                <w:tcPr>
                  <w:tcW w:w="865" w:type="dxa"/>
                  <w:tcBorders>
                    <w:top w:val="single" w:color="000000" w:sz="4" w:space="0"/>
                    <w:left w:val="single" w:color="000000" w:sz="4" w:space="0"/>
                    <w:bottom w:val="single" w:color="000000" w:sz="4" w:space="0"/>
                    <w:right w:val="single" w:color="000000" w:sz="4" w:space="0"/>
                  </w:tcBorders>
                  <w:noWrap w:val="0"/>
                  <w:vAlign w:val="center"/>
                </w:tcPr>
                <w:p w14:paraId="1F593121">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2.5</w:t>
                  </w:r>
                </w:p>
              </w:tc>
              <w:tc>
                <w:tcPr>
                  <w:tcW w:w="901" w:type="dxa"/>
                  <w:tcBorders>
                    <w:top w:val="single" w:color="000000" w:sz="4" w:space="0"/>
                    <w:left w:val="single" w:color="000000" w:sz="4" w:space="0"/>
                    <w:bottom w:val="single" w:color="000000" w:sz="4" w:space="0"/>
                    <w:right w:val="single" w:color="000000" w:sz="4" w:space="0"/>
                  </w:tcBorders>
                  <w:noWrap w:val="0"/>
                  <w:vAlign w:val="center"/>
                </w:tcPr>
                <w:p w14:paraId="070B76A2">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2.6</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14:paraId="33457362">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2.7</w:t>
                  </w:r>
                </w:p>
              </w:tc>
              <w:tc>
                <w:tcPr>
                  <w:tcW w:w="921" w:type="dxa"/>
                  <w:tcBorders>
                    <w:top w:val="single" w:color="000000" w:sz="4" w:space="0"/>
                    <w:left w:val="single" w:color="000000" w:sz="4" w:space="0"/>
                    <w:bottom w:val="single" w:color="000000" w:sz="4" w:space="0"/>
                    <w:right w:val="single" w:color="000000" w:sz="4" w:space="0"/>
                  </w:tcBorders>
                  <w:noWrap w:val="0"/>
                  <w:vAlign w:val="center"/>
                </w:tcPr>
                <w:p w14:paraId="0E8D7128">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2.8</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45B498BE">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2.9</w:t>
                  </w:r>
                </w:p>
              </w:tc>
              <w:tc>
                <w:tcPr>
                  <w:tcW w:w="854" w:type="dxa"/>
                  <w:tcBorders>
                    <w:top w:val="single" w:color="000000" w:sz="4" w:space="0"/>
                    <w:left w:val="single" w:color="000000" w:sz="4" w:space="0"/>
                    <w:bottom w:val="single" w:color="000000" w:sz="4" w:space="0"/>
                    <w:right w:val="single" w:color="000000" w:sz="4" w:space="0"/>
                  </w:tcBorders>
                  <w:noWrap w:val="0"/>
                  <w:vAlign w:val="center"/>
                </w:tcPr>
                <w:p w14:paraId="741E8E76">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3.0</w:t>
                  </w:r>
                </w:p>
              </w:tc>
            </w:tr>
          </w:tbl>
          <w:p w14:paraId="2BB8D307">
            <w:pPr>
              <w:widowControl w:val="0"/>
              <w:wordWrap w:val="0"/>
              <w:adjustRightInd w:val="0"/>
              <w:snapToGrid w:val="0"/>
              <w:spacing w:line="360" w:lineRule="exact"/>
              <w:ind w:firstLine="480" w:firstLineChars="200"/>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（2）评标基准价D＝招标控制价×（1－n）</w:t>
            </w:r>
          </w:p>
        </w:tc>
      </w:tr>
      <w:tr w14:paraId="538B2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3" w:type="dxa"/>
            <w:shd w:val="clear" w:color="auto" w:fill="auto"/>
            <w:vAlign w:val="center"/>
          </w:tcPr>
          <w:p w14:paraId="67E23FD4">
            <w:pPr>
              <w:pStyle w:val="35"/>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投标报价</w:t>
            </w:r>
          </w:p>
          <w:p w14:paraId="5215C3F5">
            <w:pPr>
              <w:pStyle w:val="35"/>
              <w:wordWrap w:val="0"/>
              <w:adjustRightInd w:val="0"/>
              <w:snapToGrid w:val="0"/>
              <w:spacing w:line="36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得分N</w:t>
            </w:r>
          </w:p>
        </w:tc>
        <w:tc>
          <w:tcPr>
            <w:tcW w:w="8641" w:type="dxa"/>
            <w:gridSpan w:val="3"/>
            <w:shd w:val="clear" w:color="auto" w:fill="auto"/>
            <w:vAlign w:val="center"/>
          </w:tcPr>
          <w:p w14:paraId="0922947F">
            <w:pPr>
              <w:widowControl w:val="0"/>
              <w:wordWrap w:val="0"/>
              <w:adjustRightInd w:val="0"/>
              <w:snapToGrid w:val="0"/>
              <w:spacing w:line="360" w:lineRule="exact"/>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采用内插法计算某投标人的投标报价得分N，即当投标人的投标总价等于评标基准价时得100分，每高于评标基准价一个百分点扣1分，每低于评标基准价一个百分点扣0.5分，扣完为止。公式如下：</w:t>
            </w:r>
          </w:p>
          <w:p w14:paraId="027C8612">
            <w:pPr>
              <w:widowControl w:val="0"/>
              <w:wordWrap w:val="0"/>
              <w:adjustRightInd w:val="0"/>
              <w:snapToGrid w:val="0"/>
              <w:spacing w:line="360" w:lineRule="exact"/>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N＝100－（| Di－D | ÷D）×100×E</w:t>
            </w:r>
          </w:p>
          <w:p w14:paraId="1AC37A3D">
            <w:pPr>
              <w:widowControl w:val="0"/>
              <w:wordWrap w:val="0"/>
              <w:adjustRightInd w:val="0"/>
              <w:snapToGrid w:val="0"/>
              <w:spacing w:line="360" w:lineRule="exact"/>
              <w:ind w:firstLine="480" w:firstLineChars="200"/>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式中：D为评标基准价；Di为某投标人的投标总价；E为扣分因子，当Di＞D时，E＝1；当Di＜D时，E＝0.5。</w:t>
            </w:r>
          </w:p>
        </w:tc>
      </w:tr>
    </w:tbl>
    <w:p w14:paraId="418D5172">
      <w:pPr>
        <w:spacing w:before="38" w:line="360" w:lineRule="auto"/>
        <w:rPr>
          <w:rFonts w:hint="eastAsia" w:ascii="宋体" w:hAnsi="宋体" w:eastAsia="宋体" w:cs="宋体"/>
          <w:b w:val="0"/>
          <w:bCs w:val="0"/>
          <w:color w:val="auto"/>
          <w:spacing w:val="-2"/>
          <w:sz w:val="24"/>
          <w:szCs w:val="24"/>
          <w:highlight w:val="none"/>
        </w:rPr>
      </w:pPr>
      <w:bookmarkStart w:id="133" w:name="_Toc31744"/>
      <w:bookmarkStart w:id="134" w:name="_Toc5769"/>
      <w:bookmarkStart w:id="135" w:name="_Toc9725"/>
      <w:bookmarkStart w:id="136" w:name="_Toc178"/>
      <w:r>
        <w:rPr>
          <w:rFonts w:hint="eastAsia" w:ascii="宋体" w:hAnsi="宋体" w:eastAsia="宋体" w:cs="宋体"/>
          <w:b/>
          <w:bCs/>
          <w:color w:val="auto"/>
          <w:spacing w:val="-2"/>
          <w:sz w:val="24"/>
          <w:szCs w:val="24"/>
          <w:highlight w:val="none"/>
        </w:rPr>
        <w:t xml:space="preserve">15.5.2  </w:t>
      </w:r>
      <w:r>
        <w:rPr>
          <w:rFonts w:hint="eastAsia" w:ascii="宋体" w:hAnsi="宋体" w:eastAsia="宋体" w:cs="宋体"/>
          <w:b w:val="0"/>
          <w:bCs w:val="0"/>
          <w:color w:val="auto"/>
          <w:spacing w:val="-2"/>
          <w:sz w:val="24"/>
          <w:szCs w:val="24"/>
          <w:highlight w:val="none"/>
        </w:rPr>
        <w:t>否决投标说明</w:t>
      </w:r>
      <w:bookmarkEnd w:id="133"/>
      <w:bookmarkEnd w:id="134"/>
      <w:bookmarkEnd w:id="135"/>
      <w:bookmarkEnd w:id="136"/>
    </w:p>
    <w:p w14:paraId="4FE43509">
      <w:pPr>
        <w:spacing w:before="150" w:line="360" w:lineRule="auto"/>
        <w:ind w:right="195" w:firstLine="460"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详细评审阶段否决投标的全部条件，在本章第四节“否决投标条件</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5"/>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5"/>
          <w:sz w:val="24"/>
          <w:szCs w:val="24"/>
          <w:highlight w:val="none"/>
        </w:rPr>
        <w:t xml:space="preserve">4 </w:t>
      </w:r>
      <w:r>
        <w:rPr>
          <w:rFonts w:hint="eastAsia" w:ascii="宋体" w:hAnsi="宋体" w:eastAsia="宋体" w:cs="宋体"/>
          <w:color w:val="auto"/>
          <w:spacing w:val="-5"/>
          <w:sz w:val="24"/>
          <w:szCs w:val="24"/>
          <w:highlight w:val="none"/>
        </w:rPr>
        <w:t>条中集</w:t>
      </w:r>
      <w:r>
        <w:rPr>
          <w:rFonts w:hint="eastAsia" w:ascii="宋体" w:hAnsi="宋体" w:eastAsia="宋体" w:cs="宋体"/>
          <w:color w:val="auto"/>
          <w:spacing w:val="-1"/>
          <w:sz w:val="24"/>
          <w:szCs w:val="24"/>
          <w:highlight w:val="none"/>
        </w:rPr>
        <w:t>中列示。投标人有其中所列任何一种情形的，由评标委员会</w:t>
      </w:r>
      <w:r>
        <w:rPr>
          <w:rFonts w:hint="eastAsia" w:ascii="宋体" w:hAnsi="宋体" w:eastAsia="宋体" w:cs="宋体"/>
          <w:color w:val="auto"/>
          <w:spacing w:val="-5"/>
          <w:sz w:val="24"/>
          <w:szCs w:val="24"/>
          <w:highlight w:val="none"/>
        </w:rPr>
        <w:t>否决其投标。评标委员会经评审，认为所有投标都不符合招标文件要求的，可否决所有投标，项目的所有投标被否决的，招标人应依法重新组织招标。</w:t>
      </w:r>
    </w:p>
    <w:p w14:paraId="2B7FCCB7">
      <w:pPr>
        <w:spacing w:before="59" w:line="360" w:lineRule="auto"/>
        <w:ind w:left="10" w:right="195" w:firstLine="48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注：投标人在详细评审阶段根据评分方法提供的佐证材料，其合法性、有效性和准确性不符合要求的，有关量化因素（或评分因素）的折算、调整（或评分）按相应</w:t>
      </w:r>
      <w:r>
        <w:rPr>
          <w:rFonts w:hint="eastAsia" w:ascii="宋体" w:hAnsi="宋体" w:eastAsia="宋体" w:cs="宋体"/>
          <w:b/>
          <w:bCs/>
          <w:color w:val="auto"/>
          <w:spacing w:val="-3"/>
          <w:sz w:val="24"/>
          <w:szCs w:val="24"/>
          <w:highlight w:val="none"/>
        </w:rPr>
        <w:t>量化标准（或评分标准）处理，但不否决投标。</w:t>
      </w:r>
    </w:p>
    <w:p w14:paraId="2A888BCA">
      <w:pPr>
        <w:spacing w:before="78" w:line="360" w:lineRule="auto"/>
        <w:ind w:left="496"/>
        <w:outlineLvl w:val="2"/>
        <w:rPr>
          <w:rFonts w:hint="eastAsia" w:ascii="宋体" w:hAnsi="宋体" w:eastAsia="宋体" w:cs="宋体"/>
          <w:color w:val="auto"/>
          <w:sz w:val="24"/>
          <w:szCs w:val="24"/>
          <w:highlight w:val="none"/>
        </w:rPr>
      </w:pPr>
      <w:bookmarkStart w:id="137" w:name="bookmark137"/>
      <w:bookmarkEnd w:id="137"/>
      <w:bookmarkStart w:id="138" w:name="_Toc269"/>
      <w:bookmarkStart w:id="139" w:name="_Toc29518"/>
      <w:r>
        <w:rPr>
          <w:rFonts w:hint="eastAsia" w:ascii="宋体" w:hAnsi="宋体" w:eastAsia="宋体" w:cs="宋体"/>
          <w:b/>
          <w:bCs/>
          <w:color w:val="auto"/>
          <w:spacing w:val="-7"/>
          <w:sz w:val="24"/>
          <w:szCs w:val="24"/>
          <w:highlight w:val="none"/>
        </w:rPr>
        <w:t>16</w:t>
      </w:r>
      <w:r>
        <w:rPr>
          <w:rFonts w:hint="eastAsia" w:ascii="宋体" w:hAnsi="宋体" w:eastAsia="宋体" w:cs="宋体"/>
          <w:b/>
          <w:bCs/>
          <w:color w:val="auto"/>
          <w:spacing w:val="-20"/>
          <w:sz w:val="24"/>
          <w:szCs w:val="24"/>
          <w:highlight w:val="none"/>
          <w:lang w:eastAsia="zh-CN"/>
        </w:rPr>
        <w:t>.</w:t>
      </w:r>
      <w:r>
        <w:rPr>
          <w:rFonts w:hint="eastAsia" w:ascii="宋体" w:hAnsi="宋体" w:eastAsia="宋体" w:cs="宋体"/>
          <w:b/>
          <w:bCs/>
          <w:color w:val="auto"/>
          <w:spacing w:val="-7"/>
          <w:sz w:val="24"/>
          <w:szCs w:val="24"/>
          <w:highlight w:val="none"/>
        </w:rPr>
        <w:t>中标候选人公示</w:t>
      </w:r>
      <w:bookmarkEnd w:id="138"/>
      <w:bookmarkEnd w:id="139"/>
    </w:p>
    <w:p w14:paraId="14D4EA81">
      <w:pPr>
        <w:spacing w:before="135" w:line="360" w:lineRule="auto"/>
        <w:ind w:left="2" w:right="105" w:firstLine="494"/>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16.1  </w:t>
      </w:r>
      <w:r>
        <w:rPr>
          <w:rFonts w:hint="eastAsia" w:ascii="宋体" w:hAnsi="宋体" w:eastAsia="宋体" w:cs="宋体"/>
          <w:color w:val="auto"/>
          <w:spacing w:val="1"/>
          <w:sz w:val="24"/>
          <w:szCs w:val="24"/>
          <w:highlight w:val="none"/>
        </w:rPr>
        <w:t>招标人自收到评标委员会提交的书面评标报告和中标候选人名单之日起3日</w:t>
      </w:r>
      <w:r>
        <w:rPr>
          <w:rFonts w:hint="eastAsia" w:ascii="宋体" w:hAnsi="宋体" w:eastAsia="宋体" w:cs="宋体"/>
          <w:color w:val="auto"/>
          <w:spacing w:val="-1"/>
          <w:sz w:val="24"/>
          <w:szCs w:val="24"/>
          <w:highlight w:val="none"/>
        </w:rPr>
        <w:t>内，将评标结果（即中标候选人名单）、中标候选人投标</w:t>
      </w:r>
      <w:r>
        <w:rPr>
          <w:rFonts w:hint="eastAsia" w:ascii="宋体" w:hAnsi="宋体" w:eastAsia="宋体" w:cs="宋体"/>
          <w:color w:val="auto"/>
          <w:spacing w:val="-2"/>
          <w:sz w:val="24"/>
          <w:szCs w:val="24"/>
          <w:highlight w:val="none"/>
        </w:rPr>
        <w:t>文件（指商务标书分册）、评</w:t>
      </w:r>
      <w:r>
        <w:rPr>
          <w:rFonts w:hint="eastAsia" w:ascii="宋体" w:hAnsi="宋体" w:eastAsia="宋体" w:cs="宋体"/>
          <w:color w:val="auto"/>
          <w:sz w:val="24"/>
          <w:szCs w:val="24"/>
          <w:highlight w:val="none"/>
        </w:rPr>
        <w:t>标过程（评标专家姓名用代码标记）一并在广东省招标投标监管网（http://zbtb.gd</w:t>
      </w:r>
      <w:r>
        <w:rPr>
          <w:rFonts w:hint="eastAsia" w:ascii="宋体" w:hAnsi="宋体" w:eastAsia="宋体" w:cs="宋体"/>
          <w:color w:val="auto"/>
          <w:spacing w:val="-1"/>
          <w:sz w:val="24"/>
          <w:szCs w:val="24"/>
          <w:highlight w:val="none"/>
        </w:rPr>
        <w:t>.gov.cn）、全国公共资源交易平台（广东省·韶关市</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1"/>
          <w:sz w:val="24"/>
          <w:szCs w:val="24"/>
          <w:highlight w:val="none"/>
        </w:rPr>
        <w:t>https://ygp.gdzwfw.gov.cn/ggzy-po</w:t>
      </w:r>
      <w:r>
        <w:rPr>
          <w:rFonts w:hint="eastAsia" w:ascii="宋体" w:hAnsi="宋体" w:eastAsia="宋体" w:cs="宋体"/>
          <w:color w:val="auto"/>
          <w:spacing w:val="-2"/>
          <w:sz w:val="24"/>
          <w:szCs w:val="24"/>
          <w:highlight w:val="none"/>
        </w:rPr>
        <w:t>rta</w:t>
      </w:r>
      <w:r>
        <w:rPr>
          <w:rFonts w:hint="eastAsia" w:ascii="宋体" w:hAnsi="宋体" w:eastAsia="宋体" w:cs="宋体"/>
          <w:color w:val="auto"/>
          <w:sz w:val="24"/>
          <w:szCs w:val="24"/>
          <w:highlight w:val="none"/>
        </w:rPr>
        <w:t>l/#/440200/index）进行</w:t>
      </w:r>
      <w:r>
        <w:rPr>
          <w:rFonts w:hint="eastAsia" w:ascii="宋体" w:hAnsi="宋体" w:eastAsia="宋体" w:cs="宋体"/>
          <w:color w:val="auto"/>
          <w:spacing w:val="-1"/>
          <w:sz w:val="24"/>
          <w:szCs w:val="24"/>
          <w:highlight w:val="none"/>
        </w:rPr>
        <w:t>公示，公示期不得少于3天。</w:t>
      </w:r>
    </w:p>
    <w:p w14:paraId="32B26EFF">
      <w:pPr>
        <w:spacing w:before="78" w:line="360" w:lineRule="auto"/>
        <w:ind w:left="11" w:firstLine="485"/>
        <w:rPr>
          <w:rFonts w:hint="eastAsia" w:ascii="宋体" w:hAnsi="宋体" w:eastAsia="宋体" w:cs="宋体"/>
          <w:color w:val="auto"/>
          <w:highlight w:val="none"/>
        </w:rPr>
      </w:pPr>
      <w:r>
        <w:rPr>
          <w:rFonts w:hint="eastAsia" w:ascii="宋体" w:hAnsi="宋体" w:eastAsia="宋体" w:cs="宋体"/>
          <w:b/>
          <w:bCs/>
          <w:color w:val="auto"/>
          <w:spacing w:val="-2"/>
          <w:sz w:val="24"/>
          <w:szCs w:val="24"/>
          <w:highlight w:val="none"/>
        </w:rPr>
        <w:t xml:space="preserve">16.2 </w:t>
      </w:r>
      <w:r>
        <w:rPr>
          <w:rFonts w:hint="eastAsia" w:ascii="宋体" w:hAnsi="宋体" w:eastAsia="宋体" w:cs="宋体"/>
          <w:color w:val="auto"/>
          <w:spacing w:val="-2"/>
          <w:sz w:val="24"/>
          <w:szCs w:val="24"/>
          <w:highlight w:val="none"/>
        </w:rPr>
        <w:t>投标人对评标结果、中标候选人投标文件、评标过程有异议的，必须在以上内容公示期间向招标人提出</w:t>
      </w:r>
      <w:r>
        <w:rPr>
          <w:rFonts w:hint="eastAsia" w:ascii="宋体" w:hAnsi="宋体" w:eastAsia="宋体" w:cs="宋体"/>
          <w:b/>
          <w:bCs/>
          <w:color w:val="auto"/>
          <w:spacing w:val="-2"/>
          <w:sz w:val="24"/>
          <w:szCs w:val="24"/>
          <w:highlight w:val="none"/>
        </w:rPr>
        <w:t>书面异议</w:t>
      </w:r>
      <w:r>
        <w:rPr>
          <w:rFonts w:hint="eastAsia" w:ascii="宋体" w:hAnsi="宋体" w:eastAsia="宋体" w:cs="宋体"/>
          <w:color w:val="auto"/>
          <w:spacing w:val="-2"/>
          <w:sz w:val="24"/>
          <w:szCs w:val="24"/>
          <w:highlight w:val="none"/>
        </w:rPr>
        <w:t>，否则招标人不予受理。经招标人书面答复，异议人仍不满意的，可在法律规定的时限内向行政监督部门提出书面投诉。异议（投诉）提出、处理的具体办法和要求，按照</w:t>
      </w:r>
      <w:r>
        <w:rPr>
          <w:rFonts w:hint="eastAsia" w:ascii="宋体" w:hAnsi="宋体" w:eastAsia="宋体" w:cs="宋体"/>
          <w:color w:val="auto"/>
          <w:spacing w:val="-2"/>
          <w:sz w:val="24"/>
          <w:szCs w:val="24"/>
          <w:highlight w:val="none"/>
          <w:lang w:val="en-US" w:eastAsia="zh-CN"/>
        </w:rPr>
        <w:t>韶关市发展和改革局关于发布《韶关市工程建设项目招标投标活动异议和投诉处理办法》的通告（韶发改〔2021〕44号）</w:t>
      </w:r>
      <w:r>
        <w:rPr>
          <w:rFonts w:hint="eastAsia" w:ascii="宋体" w:hAnsi="宋体" w:eastAsia="宋体" w:cs="宋体"/>
          <w:color w:val="auto"/>
          <w:spacing w:val="-2"/>
          <w:sz w:val="24"/>
          <w:szCs w:val="24"/>
          <w:highlight w:val="none"/>
        </w:rPr>
        <w:t>执行。</w:t>
      </w:r>
    </w:p>
    <w:p w14:paraId="15623CD0">
      <w:pPr>
        <w:spacing w:before="79" w:line="360" w:lineRule="auto"/>
        <w:ind w:left="12" w:right="42" w:firstLine="483"/>
        <w:rPr>
          <w:rFonts w:hint="eastAsia" w:ascii="宋体" w:hAnsi="宋体" w:eastAsia="宋体" w:cs="宋体"/>
          <w:color w:val="auto"/>
          <w:spacing w:val="-4"/>
          <w:sz w:val="24"/>
          <w:szCs w:val="24"/>
          <w:highlight w:val="none"/>
        </w:rPr>
      </w:pPr>
      <w:r>
        <w:rPr>
          <w:rFonts w:hint="eastAsia" w:ascii="宋体" w:hAnsi="宋体" w:eastAsia="宋体" w:cs="宋体"/>
          <w:b/>
          <w:bCs/>
          <w:color w:val="auto"/>
          <w:spacing w:val="-9"/>
          <w:sz w:val="24"/>
          <w:szCs w:val="24"/>
          <w:highlight w:val="none"/>
        </w:rPr>
        <w:t>16.3</w:t>
      </w:r>
      <w:r>
        <w:rPr>
          <w:rFonts w:hint="eastAsia" w:ascii="宋体" w:hAnsi="宋体" w:eastAsia="宋体" w:cs="宋体"/>
          <w:b/>
          <w:bCs/>
          <w:color w:val="auto"/>
          <w:spacing w:val="24"/>
          <w:w w:val="101"/>
          <w:sz w:val="24"/>
          <w:szCs w:val="24"/>
          <w:highlight w:val="none"/>
        </w:rPr>
        <w:t xml:space="preserve">  </w:t>
      </w:r>
      <w:r>
        <w:rPr>
          <w:rFonts w:hint="eastAsia" w:ascii="宋体" w:hAnsi="宋体" w:eastAsia="宋体" w:cs="宋体"/>
          <w:color w:val="auto"/>
          <w:spacing w:val="-9"/>
          <w:sz w:val="24"/>
          <w:szCs w:val="24"/>
          <w:highlight w:val="none"/>
        </w:rPr>
        <w:t>中标候选人公示期满无异议（投诉）后，招标人确定第一中标候选人为中标人，</w:t>
      </w:r>
      <w:r>
        <w:rPr>
          <w:rFonts w:hint="eastAsia" w:ascii="宋体" w:hAnsi="宋体" w:eastAsia="宋体" w:cs="宋体"/>
          <w:color w:val="auto"/>
          <w:spacing w:val="-2"/>
          <w:sz w:val="24"/>
          <w:szCs w:val="24"/>
          <w:highlight w:val="none"/>
        </w:rPr>
        <w:t>并在中标人确定之日起7日内向中标人发出中标通知书。在中标通知书发出后5个工作日内，韶关市公共资源交易中心将投标保证金（或银行保函）退还给中标候选人以外的</w:t>
      </w:r>
      <w:r>
        <w:rPr>
          <w:rFonts w:hint="eastAsia" w:ascii="宋体" w:hAnsi="宋体" w:eastAsia="宋体" w:cs="宋体"/>
          <w:color w:val="auto"/>
          <w:spacing w:val="-4"/>
          <w:sz w:val="24"/>
          <w:szCs w:val="24"/>
          <w:highlight w:val="none"/>
        </w:rPr>
        <w:t>投标人。</w:t>
      </w:r>
    </w:p>
    <w:p w14:paraId="6D2AF74B">
      <w:pPr>
        <w:rPr>
          <w:rFonts w:hint="eastAsia" w:ascii="宋体" w:hAnsi="宋体" w:eastAsia="宋体" w:cs="宋体"/>
        </w:rPr>
      </w:pPr>
    </w:p>
    <w:p w14:paraId="1DDF265E">
      <w:pPr>
        <w:rPr>
          <w:rFonts w:hint="eastAsia" w:ascii="宋体" w:hAnsi="宋体" w:eastAsia="宋体" w:cs="宋体"/>
        </w:rPr>
      </w:pPr>
    </w:p>
    <w:p w14:paraId="7DF90950">
      <w:pPr>
        <w:rPr>
          <w:rFonts w:hint="eastAsia" w:ascii="宋体" w:hAnsi="宋体" w:eastAsia="宋体" w:cs="宋体"/>
        </w:rPr>
      </w:pPr>
    </w:p>
    <w:p w14:paraId="35E9739C">
      <w:pPr>
        <w:rPr>
          <w:rFonts w:hint="eastAsia" w:ascii="宋体" w:hAnsi="宋体" w:eastAsia="宋体" w:cs="宋体"/>
        </w:rPr>
      </w:pPr>
    </w:p>
    <w:p w14:paraId="4FCD4E13">
      <w:pPr>
        <w:rPr>
          <w:rFonts w:hint="eastAsia" w:ascii="宋体" w:hAnsi="宋体" w:eastAsia="宋体" w:cs="宋体"/>
        </w:rPr>
      </w:pPr>
    </w:p>
    <w:p w14:paraId="404D8B87">
      <w:pPr>
        <w:pStyle w:val="2"/>
        <w:rPr>
          <w:rFonts w:hint="eastAsia" w:ascii="宋体" w:hAnsi="宋体" w:eastAsia="宋体" w:cs="宋体"/>
        </w:rPr>
      </w:pPr>
    </w:p>
    <w:p w14:paraId="47324E53">
      <w:pPr>
        <w:pStyle w:val="3"/>
        <w:rPr>
          <w:rFonts w:hint="eastAsia"/>
        </w:rPr>
      </w:pPr>
    </w:p>
    <w:p w14:paraId="2F85B030">
      <w:pPr>
        <w:rPr>
          <w:rFonts w:hint="eastAsia" w:ascii="宋体" w:hAnsi="宋体" w:eastAsia="宋体" w:cs="宋体"/>
        </w:rPr>
      </w:pPr>
    </w:p>
    <w:p w14:paraId="6F6EFB76">
      <w:pPr>
        <w:rPr>
          <w:rFonts w:hint="eastAsia" w:ascii="宋体" w:hAnsi="宋体" w:eastAsia="宋体" w:cs="宋体"/>
        </w:rPr>
      </w:pPr>
    </w:p>
    <w:p w14:paraId="60460445">
      <w:pPr>
        <w:rPr>
          <w:rFonts w:hint="eastAsia" w:ascii="宋体" w:hAnsi="宋体" w:eastAsia="宋体" w:cs="宋体"/>
        </w:rPr>
      </w:pPr>
    </w:p>
    <w:p w14:paraId="3735C937">
      <w:pPr>
        <w:rPr>
          <w:rFonts w:hint="eastAsia" w:ascii="宋体" w:hAnsi="宋体" w:eastAsia="宋体" w:cs="宋体"/>
        </w:rPr>
      </w:pPr>
    </w:p>
    <w:p w14:paraId="59C70264">
      <w:pPr>
        <w:rPr>
          <w:rFonts w:hint="eastAsia" w:ascii="宋体" w:hAnsi="宋体" w:eastAsia="宋体" w:cs="宋体"/>
        </w:rPr>
      </w:pPr>
    </w:p>
    <w:p w14:paraId="47493DA1">
      <w:pPr>
        <w:rPr>
          <w:rFonts w:hint="eastAsia" w:ascii="宋体" w:hAnsi="宋体" w:eastAsia="宋体" w:cs="宋体"/>
        </w:rPr>
      </w:pPr>
    </w:p>
    <w:p w14:paraId="4F7FAF64">
      <w:pPr>
        <w:pStyle w:val="2"/>
        <w:rPr>
          <w:rFonts w:hint="eastAsia" w:ascii="宋体" w:hAnsi="宋体" w:eastAsia="宋体" w:cs="宋体"/>
        </w:rPr>
      </w:pPr>
    </w:p>
    <w:p w14:paraId="08089855">
      <w:pPr>
        <w:pStyle w:val="3"/>
        <w:rPr>
          <w:rFonts w:hint="eastAsia" w:ascii="宋体" w:hAnsi="宋体" w:eastAsia="宋体" w:cs="宋体"/>
        </w:rPr>
      </w:pPr>
    </w:p>
    <w:p w14:paraId="102EF571">
      <w:pPr>
        <w:pStyle w:val="3"/>
        <w:rPr>
          <w:rFonts w:hint="eastAsia" w:ascii="宋体" w:hAnsi="宋体" w:eastAsia="宋体" w:cs="宋体"/>
        </w:rPr>
      </w:pPr>
    </w:p>
    <w:p w14:paraId="203B0DA9">
      <w:pPr>
        <w:pStyle w:val="3"/>
        <w:rPr>
          <w:rFonts w:hint="eastAsia" w:ascii="宋体" w:hAnsi="宋体" w:eastAsia="宋体" w:cs="宋体"/>
        </w:rPr>
      </w:pPr>
    </w:p>
    <w:p w14:paraId="7296DECC">
      <w:pPr>
        <w:pStyle w:val="3"/>
        <w:rPr>
          <w:rFonts w:hint="eastAsia" w:ascii="宋体" w:hAnsi="宋体" w:eastAsia="宋体" w:cs="宋体"/>
        </w:rPr>
      </w:pPr>
    </w:p>
    <w:p w14:paraId="5B4D429D">
      <w:pPr>
        <w:pStyle w:val="3"/>
        <w:rPr>
          <w:rFonts w:hint="eastAsia" w:ascii="宋体" w:hAnsi="宋体" w:eastAsia="宋体" w:cs="宋体"/>
        </w:rPr>
      </w:pPr>
    </w:p>
    <w:p w14:paraId="2C221923">
      <w:pPr>
        <w:pStyle w:val="3"/>
        <w:rPr>
          <w:rFonts w:hint="eastAsia" w:ascii="宋体" w:hAnsi="宋体" w:eastAsia="宋体" w:cs="宋体"/>
        </w:rPr>
      </w:pPr>
    </w:p>
    <w:p w14:paraId="79EED929">
      <w:pPr>
        <w:spacing w:before="156" w:line="360" w:lineRule="auto"/>
        <w:outlineLvl w:val="1"/>
        <w:rPr>
          <w:rFonts w:hint="eastAsia" w:ascii="宋体" w:hAnsi="宋体" w:eastAsia="宋体" w:cs="宋体"/>
          <w:b/>
          <w:bCs/>
          <w:color w:val="auto"/>
          <w:spacing w:val="-3"/>
          <w:sz w:val="24"/>
          <w:szCs w:val="24"/>
          <w:highlight w:val="none"/>
        </w:rPr>
      </w:pPr>
      <w:bookmarkStart w:id="140" w:name="bookmark138"/>
      <w:bookmarkEnd w:id="140"/>
      <w:bookmarkStart w:id="141" w:name="_Toc28455"/>
      <w:bookmarkStart w:id="142" w:name="_Toc1593"/>
      <w:r>
        <w:rPr>
          <w:rFonts w:hint="eastAsia" w:ascii="宋体" w:hAnsi="宋体" w:eastAsia="宋体" w:cs="宋体"/>
          <w:b/>
          <w:bCs/>
          <w:color w:val="auto"/>
          <w:spacing w:val="-3"/>
          <w:sz w:val="24"/>
          <w:szCs w:val="24"/>
          <w:highlight w:val="none"/>
        </w:rPr>
        <w:t>第四节</w:t>
      </w:r>
      <w:r>
        <w:rPr>
          <w:rFonts w:hint="eastAsia" w:ascii="宋体" w:hAnsi="宋体" w:eastAsia="宋体" w:cs="宋体"/>
          <w:b/>
          <w:bCs/>
          <w:color w:val="auto"/>
          <w:spacing w:val="-3"/>
          <w:sz w:val="24"/>
          <w:szCs w:val="24"/>
          <w:highlight w:val="none"/>
          <w:lang w:val="en-US" w:eastAsia="zh-CN"/>
        </w:rPr>
        <w:t xml:space="preserve">   </w:t>
      </w:r>
      <w:r>
        <w:rPr>
          <w:rFonts w:hint="eastAsia" w:ascii="宋体" w:hAnsi="宋体" w:eastAsia="宋体" w:cs="宋体"/>
          <w:b/>
          <w:bCs/>
          <w:color w:val="auto"/>
          <w:spacing w:val="-3"/>
          <w:sz w:val="24"/>
          <w:szCs w:val="24"/>
          <w:highlight w:val="none"/>
        </w:rPr>
        <w:t>否决投标条件</w:t>
      </w:r>
      <w:bookmarkEnd w:id="141"/>
      <w:bookmarkEnd w:id="142"/>
    </w:p>
    <w:p w14:paraId="02741B16">
      <w:pPr>
        <w:spacing w:before="78" w:line="360" w:lineRule="auto"/>
        <w:ind w:left="10" w:right="65" w:firstLine="4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本节所集中列示的否决投标条件，是本章第三节“投标人须知正文</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3"/>
          <w:sz w:val="24"/>
          <w:szCs w:val="24"/>
          <w:highlight w:val="none"/>
        </w:rPr>
        <w:t>”的组成部分，</w:t>
      </w:r>
      <w:r>
        <w:rPr>
          <w:rFonts w:hint="eastAsia" w:ascii="宋体" w:hAnsi="宋体" w:eastAsia="宋体" w:cs="宋体"/>
          <w:color w:val="auto"/>
          <w:spacing w:val="-2"/>
          <w:sz w:val="24"/>
          <w:szCs w:val="24"/>
          <w:highlight w:val="none"/>
        </w:rPr>
        <w:t>是对本章第三节所规定的否决投标条件的总</w:t>
      </w:r>
      <w:r>
        <w:rPr>
          <w:rFonts w:hint="eastAsia" w:ascii="宋体" w:hAnsi="宋体" w:eastAsia="宋体" w:cs="宋体"/>
          <w:color w:val="auto"/>
          <w:spacing w:val="-3"/>
          <w:sz w:val="24"/>
          <w:szCs w:val="24"/>
          <w:highlight w:val="none"/>
        </w:rPr>
        <w:t>结和补充。</w:t>
      </w:r>
      <w:r>
        <w:rPr>
          <w:rFonts w:hint="eastAsia" w:ascii="宋体" w:hAnsi="宋体" w:eastAsia="宋体" w:cs="宋体"/>
          <w:b/>
          <w:bCs/>
          <w:color w:val="auto"/>
          <w:spacing w:val="-3"/>
          <w:sz w:val="24"/>
          <w:szCs w:val="24"/>
          <w:highlight w:val="none"/>
        </w:rPr>
        <w:t>投标人未有列入本节情形的，评</w:t>
      </w:r>
      <w:r>
        <w:rPr>
          <w:rFonts w:hint="eastAsia" w:ascii="宋体" w:hAnsi="宋体" w:eastAsia="宋体" w:cs="宋体"/>
          <w:b/>
          <w:bCs/>
          <w:color w:val="auto"/>
          <w:spacing w:val="-2"/>
          <w:sz w:val="24"/>
          <w:szCs w:val="24"/>
          <w:highlight w:val="none"/>
        </w:rPr>
        <w:t>标时一律不得否决其投标。</w:t>
      </w:r>
      <w:r>
        <w:rPr>
          <w:rFonts w:hint="eastAsia" w:ascii="宋体" w:hAnsi="宋体" w:eastAsia="宋体" w:cs="宋体"/>
          <w:color w:val="auto"/>
          <w:spacing w:val="-2"/>
          <w:sz w:val="24"/>
          <w:szCs w:val="24"/>
          <w:highlight w:val="none"/>
        </w:rPr>
        <w:t>本节所称“规定</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”均指招标文件的规</w:t>
      </w:r>
      <w:r>
        <w:rPr>
          <w:rFonts w:hint="eastAsia" w:ascii="宋体" w:hAnsi="宋体" w:eastAsia="宋体" w:cs="宋体"/>
          <w:color w:val="auto"/>
          <w:spacing w:val="-3"/>
          <w:sz w:val="24"/>
          <w:szCs w:val="24"/>
          <w:highlight w:val="none"/>
        </w:rPr>
        <w:t>定。</w:t>
      </w:r>
    </w:p>
    <w:p w14:paraId="5898CA3C">
      <w:pPr>
        <w:spacing w:before="34" w:line="360" w:lineRule="auto"/>
        <w:ind w:left="495"/>
        <w:outlineLvl w:val="2"/>
        <w:rPr>
          <w:rFonts w:hint="eastAsia" w:ascii="宋体" w:hAnsi="宋体" w:eastAsia="宋体" w:cs="宋体"/>
          <w:color w:val="auto"/>
          <w:sz w:val="24"/>
          <w:szCs w:val="24"/>
          <w:highlight w:val="none"/>
        </w:rPr>
      </w:pPr>
      <w:bookmarkStart w:id="143" w:name="_Toc14475"/>
      <w:bookmarkStart w:id="144" w:name="_Toc8173"/>
      <w:bookmarkStart w:id="145" w:name="_Toc9553"/>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26"/>
          <w:sz w:val="24"/>
          <w:szCs w:val="24"/>
          <w:highlight w:val="none"/>
          <w:lang w:eastAsia="zh-CN"/>
        </w:rPr>
        <w:t>.</w:t>
      </w:r>
      <w:r>
        <w:rPr>
          <w:rFonts w:hint="eastAsia" w:ascii="宋体" w:hAnsi="宋体" w:eastAsia="宋体" w:cs="宋体"/>
          <w:b/>
          <w:bCs/>
          <w:color w:val="auto"/>
          <w:spacing w:val="-8"/>
          <w:sz w:val="24"/>
          <w:szCs w:val="24"/>
          <w:highlight w:val="none"/>
        </w:rPr>
        <w:t>资格评审环节</w:t>
      </w:r>
      <w:bookmarkEnd w:id="143"/>
      <w:bookmarkEnd w:id="144"/>
      <w:bookmarkEnd w:id="145"/>
    </w:p>
    <w:p w14:paraId="2CDF8C7C">
      <w:pPr>
        <w:spacing w:before="152" w:line="360" w:lineRule="auto"/>
        <w:ind w:left="13" w:right="65" w:firstLine="47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投标人有下列情形之一的，评标委员会应否决其投标。被否决的投标人，不进入形</w:t>
      </w:r>
      <w:r>
        <w:rPr>
          <w:rFonts w:hint="eastAsia" w:ascii="宋体" w:hAnsi="宋体" w:eastAsia="宋体" w:cs="宋体"/>
          <w:color w:val="auto"/>
          <w:spacing w:val="-3"/>
          <w:sz w:val="24"/>
          <w:szCs w:val="24"/>
          <w:highlight w:val="none"/>
        </w:rPr>
        <w:t>式评审环节。</w:t>
      </w:r>
    </w:p>
    <w:p w14:paraId="5B415A91">
      <w:pPr>
        <w:spacing w:before="32" w:line="360" w:lineRule="auto"/>
        <w:ind w:left="5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（1）有本章第三节第</w:t>
      </w:r>
      <w:r>
        <w:rPr>
          <w:rFonts w:hint="eastAsia" w:ascii="宋体" w:hAnsi="宋体" w:eastAsia="宋体" w:cs="宋体"/>
          <w:color w:val="auto"/>
          <w:spacing w:val="-48"/>
          <w:sz w:val="24"/>
          <w:szCs w:val="24"/>
          <w:highlight w:val="none"/>
        </w:rPr>
        <w:t xml:space="preserve"> </w:t>
      </w:r>
      <w:r>
        <w:rPr>
          <w:rFonts w:hint="eastAsia" w:ascii="宋体" w:hAnsi="宋体" w:eastAsia="宋体" w:cs="宋体"/>
          <w:b/>
          <w:bCs/>
          <w:color w:val="auto"/>
          <w:spacing w:val="-2"/>
          <w:sz w:val="24"/>
          <w:szCs w:val="24"/>
          <w:highlight w:val="none"/>
        </w:rPr>
        <w:t xml:space="preserve">2.4 </w:t>
      </w:r>
      <w:r>
        <w:rPr>
          <w:rFonts w:hint="eastAsia" w:ascii="宋体" w:hAnsi="宋体" w:eastAsia="宋体" w:cs="宋体"/>
          <w:color w:val="auto"/>
          <w:spacing w:val="-2"/>
          <w:sz w:val="24"/>
          <w:szCs w:val="24"/>
          <w:highlight w:val="none"/>
        </w:rPr>
        <w:t>条“禁止投标条款</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”规定的任何一种情形；</w:t>
      </w:r>
    </w:p>
    <w:p w14:paraId="6E8AB7C8">
      <w:pPr>
        <w:spacing w:before="154" w:line="360" w:lineRule="auto"/>
        <w:ind w:left="5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（2）投标人资质不符合规定的；</w:t>
      </w:r>
    </w:p>
    <w:p w14:paraId="2E25D147">
      <w:pPr>
        <w:keepNext w:val="0"/>
        <w:keepLines w:val="0"/>
        <w:pageBreakBefore w:val="0"/>
        <w:widowControl/>
        <w:kinsoku w:val="0"/>
        <w:wordWrap w:val="0"/>
        <w:overflowPunct/>
        <w:topLinePunct w:val="0"/>
        <w:autoSpaceDE w:val="0"/>
        <w:autoSpaceDN w:val="0"/>
        <w:bidi w:val="0"/>
        <w:adjustRightInd w:val="0"/>
        <w:snapToGrid w:val="0"/>
        <w:spacing w:before="153" w:line="360" w:lineRule="auto"/>
        <w:ind w:right="57" w:firstLine="49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（3）投标人名称与营业执照、资质证书、安全生产许可证上的企业名称相互不一</w:t>
      </w:r>
      <w:r>
        <w:rPr>
          <w:rFonts w:hint="eastAsia" w:ascii="宋体" w:hAnsi="宋体" w:eastAsia="宋体" w:cs="宋体"/>
          <w:color w:val="auto"/>
          <w:spacing w:val="-1"/>
          <w:sz w:val="24"/>
          <w:szCs w:val="24"/>
          <w:highlight w:val="none"/>
        </w:rPr>
        <w:t>致的；其资质证书、安全生产许可证不是由住房城乡建设主管部门颁发的；营业执照、资质证书、安全生产许可证（含实时网页查询页，可参考网址https://zlaq.mohurd.gov.cnfwmh/bjxcjgl/fwmh/pages/construction_safety/qyaqscxkz/qyaqscxk）被吊销、暂扣或不在有效期内的；</w:t>
      </w:r>
    </w:p>
    <w:p w14:paraId="4D64198E">
      <w:pPr>
        <w:spacing w:before="153" w:line="360" w:lineRule="auto"/>
        <w:ind w:left="9" w:right="66" w:firstLine="48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注：投标人已经工商变更，但其企业资质证书、安全生产许可证</w:t>
      </w:r>
      <w:r>
        <w:rPr>
          <w:rFonts w:hint="eastAsia" w:ascii="宋体" w:hAnsi="宋体" w:eastAsia="宋体" w:cs="宋体"/>
          <w:b/>
          <w:bCs/>
          <w:color w:val="auto"/>
          <w:spacing w:val="-5"/>
          <w:sz w:val="24"/>
          <w:szCs w:val="24"/>
          <w:highlight w:val="none"/>
        </w:rPr>
        <w:t>的企业名称未完成</w:t>
      </w:r>
      <w:r>
        <w:rPr>
          <w:rFonts w:hint="eastAsia" w:ascii="宋体" w:hAnsi="宋体" w:eastAsia="宋体" w:cs="宋体"/>
          <w:b/>
          <w:bCs/>
          <w:color w:val="auto"/>
          <w:spacing w:val="-4"/>
          <w:sz w:val="24"/>
          <w:szCs w:val="24"/>
          <w:highlight w:val="none"/>
        </w:rPr>
        <w:t>变更的，不得否决其投标；投标人营业执照、资质证书、安全生产许可证之间登</w:t>
      </w:r>
      <w:r>
        <w:rPr>
          <w:rFonts w:hint="eastAsia" w:ascii="宋体" w:hAnsi="宋体" w:eastAsia="宋体" w:cs="宋体"/>
          <w:b/>
          <w:bCs/>
          <w:color w:val="auto"/>
          <w:spacing w:val="-5"/>
          <w:sz w:val="24"/>
          <w:szCs w:val="24"/>
          <w:highlight w:val="none"/>
        </w:rPr>
        <w:t>记的信</w:t>
      </w:r>
      <w:r>
        <w:rPr>
          <w:rFonts w:hint="eastAsia" w:ascii="宋体" w:hAnsi="宋体" w:eastAsia="宋体" w:cs="宋体"/>
          <w:b/>
          <w:bCs/>
          <w:color w:val="auto"/>
          <w:spacing w:val="-2"/>
          <w:sz w:val="24"/>
          <w:szCs w:val="24"/>
          <w:highlight w:val="none"/>
        </w:rPr>
        <w:t>息不一致，应当允许投标人澄清，不得直接否决其投</w:t>
      </w:r>
      <w:r>
        <w:rPr>
          <w:rFonts w:hint="eastAsia" w:ascii="宋体" w:hAnsi="宋体" w:eastAsia="宋体" w:cs="宋体"/>
          <w:b/>
          <w:bCs/>
          <w:color w:val="auto"/>
          <w:spacing w:val="-3"/>
          <w:sz w:val="24"/>
          <w:szCs w:val="24"/>
          <w:highlight w:val="none"/>
        </w:rPr>
        <w:t>标。</w:t>
      </w:r>
    </w:p>
    <w:p w14:paraId="1E0C4F2F">
      <w:pPr>
        <w:spacing w:before="32" w:line="360" w:lineRule="auto"/>
        <w:ind w:left="10" w:right="65" w:firstLine="490"/>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rPr>
        <w:t>（4）拟派项目经理、项目技术负责人、专职安全员的条件不符合规定的；拟派专</w:t>
      </w:r>
      <w:r>
        <w:rPr>
          <w:rFonts w:hint="eastAsia" w:ascii="宋体" w:hAnsi="宋体" w:eastAsia="宋体" w:cs="宋体"/>
          <w:color w:val="auto"/>
          <w:spacing w:val="-2"/>
          <w:sz w:val="24"/>
          <w:szCs w:val="24"/>
          <w:highlight w:val="none"/>
        </w:rPr>
        <w:t>职安全员数量不符合规</w:t>
      </w:r>
      <w:r>
        <w:rPr>
          <w:rFonts w:hint="eastAsia" w:ascii="宋体" w:hAnsi="宋体" w:eastAsia="宋体" w:cs="宋体"/>
          <w:color w:val="auto"/>
          <w:spacing w:val="1"/>
          <w:sz w:val="24"/>
          <w:szCs w:val="24"/>
          <w:highlight w:val="none"/>
        </w:rPr>
        <w:t>定的；技术负责人未在投标文件《项目技术负责人简历表》中签</w:t>
      </w:r>
      <w:r>
        <w:rPr>
          <w:rFonts w:hint="eastAsia" w:ascii="宋体" w:hAnsi="宋体" w:eastAsia="宋体" w:cs="宋体"/>
          <w:color w:val="auto"/>
          <w:spacing w:val="1"/>
          <w:sz w:val="24"/>
          <w:szCs w:val="24"/>
          <w:highlight w:val="none"/>
          <w:lang w:eastAsia="zh-CN"/>
        </w:rPr>
        <w:t>字确认。</w:t>
      </w:r>
    </w:p>
    <w:p w14:paraId="0EC64185">
      <w:pPr>
        <w:spacing w:before="34" w:line="360" w:lineRule="auto"/>
        <w:ind w:left="8" w:right="65" w:firstLine="492"/>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（5）《项目经理简历表》中拟派项目经理与</w:t>
      </w:r>
      <w:r>
        <w:rPr>
          <w:rFonts w:hint="eastAsia" w:ascii="宋体" w:hAnsi="宋体" w:eastAsia="宋体" w:cs="宋体"/>
          <w:color w:val="auto"/>
          <w:spacing w:val="-2"/>
          <w:sz w:val="24"/>
          <w:szCs w:val="24"/>
          <w:highlight w:val="none"/>
        </w:rPr>
        <w:t>《开标一览表》不一致的；拟派的项目经理未在投标文件《项目经理简历表》中签字确认；一级建造师的注册证书不是国家住建部颁发的；二级建造师的电子注册证书不是省级住建厅颁发的；建造师的注册单位</w:t>
      </w:r>
      <w:r>
        <w:rPr>
          <w:rFonts w:hint="eastAsia" w:ascii="宋体" w:hAnsi="宋体" w:eastAsia="宋体" w:cs="宋体"/>
          <w:color w:val="auto"/>
          <w:spacing w:val="-8"/>
          <w:sz w:val="24"/>
          <w:szCs w:val="24"/>
          <w:highlight w:val="none"/>
        </w:rPr>
        <w:t>与投标人不一致的；项目管理班子组成人员的各类证书、证件、证明不在有效期内的（建造师注册证书不在使用有效期内的）；擅</w:t>
      </w:r>
      <w:r>
        <w:rPr>
          <w:rFonts w:hint="eastAsia" w:ascii="宋体" w:hAnsi="宋体" w:eastAsia="宋体" w:cs="宋体"/>
          <w:color w:val="auto"/>
          <w:spacing w:val="-2"/>
          <w:sz w:val="24"/>
          <w:szCs w:val="24"/>
          <w:highlight w:val="none"/>
        </w:rPr>
        <w:t>自修改、遗漏《项</w:t>
      </w:r>
      <w:r>
        <w:rPr>
          <w:rFonts w:hint="eastAsia" w:ascii="宋体" w:hAnsi="宋体" w:eastAsia="宋体" w:cs="宋体"/>
          <w:color w:val="auto"/>
          <w:spacing w:val="-3"/>
          <w:sz w:val="24"/>
          <w:szCs w:val="24"/>
          <w:highlight w:val="none"/>
        </w:rPr>
        <w:t>目经理任职声明》实质性内容的；</w:t>
      </w:r>
    </w:p>
    <w:p w14:paraId="5184D12E">
      <w:pPr>
        <w:spacing w:before="1" w:line="360" w:lineRule="auto"/>
        <w:ind w:left="28" w:right="66" w:firstLine="462"/>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注：投标人已经工商变更，但其员工执业资格注册证书的注册单</w:t>
      </w:r>
      <w:r>
        <w:rPr>
          <w:rFonts w:hint="eastAsia" w:ascii="宋体" w:hAnsi="宋体" w:eastAsia="宋体" w:cs="宋体"/>
          <w:b/>
          <w:bCs/>
          <w:color w:val="auto"/>
          <w:spacing w:val="-5"/>
          <w:sz w:val="24"/>
          <w:szCs w:val="24"/>
          <w:highlight w:val="none"/>
        </w:rPr>
        <w:t>位名称未完成变更的，不得否决其投标。</w:t>
      </w:r>
    </w:p>
    <w:p w14:paraId="3ED90A44">
      <w:pPr>
        <w:spacing w:before="1" w:line="360" w:lineRule="auto"/>
        <w:ind w:left="28" w:right="66" w:firstLine="462"/>
        <w:rPr>
          <w:rFonts w:hint="eastAsia" w:ascii="宋体" w:hAnsi="宋体" w:eastAsia="宋体" w:cs="宋体"/>
          <w:b/>
          <w:bCs/>
          <w:color w:val="auto"/>
          <w:spacing w:val="-4"/>
          <w:sz w:val="24"/>
          <w:szCs w:val="24"/>
          <w:highlight w:val="none"/>
        </w:rPr>
      </w:pPr>
      <w:r>
        <w:rPr>
          <w:rFonts w:hint="eastAsia" w:ascii="宋体" w:hAnsi="宋体" w:eastAsia="宋体" w:cs="宋体"/>
          <w:b/>
          <w:bCs/>
          <w:color w:val="auto"/>
          <w:spacing w:val="-4"/>
          <w:sz w:val="24"/>
          <w:szCs w:val="24"/>
          <w:highlight w:val="none"/>
        </w:rPr>
        <w:t>鉴于目前继续教育开展的实际情况，建筑和市政工程施工现场专业人员（例如：施</w:t>
      </w:r>
      <w:bookmarkStart w:id="146" w:name="bookmark139"/>
      <w:bookmarkEnd w:id="146"/>
      <w:r>
        <w:rPr>
          <w:rFonts w:hint="eastAsia" w:ascii="宋体" w:hAnsi="宋体" w:eastAsia="宋体" w:cs="宋体"/>
          <w:b/>
          <w:bCs/>
          <w:color w:val="auto"/>
          <w:spacing w:val="-4"/>
          <w:sz w:val="24"/>
          <w:szCs w:val="24"/>
          <w:highlight w:val="none"/>
        </w:rPr>
        <w:t>工员、质量员、材料员、资料员）的岗位证书或培训证书不审查其证书的有效期。</w:t>
      </w:r>
    </w:p>
    <w:p w14:paraId="2B29F3F6">
      <w:pPr>
        <w:spacing w:before="146" w:line="360" w:lineRule="auto"/>
        <w:ind w:left="49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（6）招标文件规定不接受联合体投标，但以联合体投标的；</w:t>
      </w:r>
    </w:p>
    <w:p w14:paraId="3741F56B">
      <w:pPr>
        <w:spacing w:before="154" w:line="360" w:lineRule="auto"/>
        <w:ind w:right="94" w:firstLine="49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pacing w:val="-2"/>
          <w:sz w:val="24"/>
          <w:szCs w:val="24"/>
          <w:highlight w:val="none"/>
        </w:rPr>
        <w:t>（7）联合体投标，未提交《联合体协议书》的；擅自修改</w:t>
      </w:r>
      <w:r>
        <w:rPr>
          <w:rFonts w:hint="eastAsia" w:ascii="宋体" w:hAnsi="宋体" w:eastAsia="宋体" w:cs="宋体"/>
          <w:color w:val="auto"/>
          <w:spacing w:val="-3"/>
          <w:sz w:val="24"/>
          <w:szCs w:val="24"/>
          <w:highlight w:val="none"/>
        </w:rPr>
        <w:t>、遗漏《联合体协议书》</w:t>
      </w:r>
      <w:r>
        <w:rPr>
          <w:rFonts w:hint="eastAsia" w:ascii="宋体" w:hAnsi="宋体" w:eastAsia="宋体" w:cs="宋体"/>
          <w:color w:val="auto"/>
          <w:spacing w:val="-2"/>
          <w:sz w:val="24"/>
          <w:szCs w:val="24"/>
          <w:highlight w:val="none"/>
        </w:rPr>
        <w:t>实质性内容的；联合体成员的数量、资质不符合规定的；联合体成员同时以自己名义单</w:t>
      </w:r>
      <w:r>
        <w:rPr>
          <w:rFonts w:hint="eastAsia" w:ascii="宋体" w:hAnsi="宋体" w:eastAsia="宋体" w:cs="宋体"/>
          <w:color w:val="auto"/>
          <w:spacing w:val="-1"/>
          <w:sz w:val="24"/>
          <w:szCs w:val="24"/>
          <w:highlight w:val="none"/>
        </w:rPr>
        <w:t>独投标或者参加其他联合体投标的</w:t>
      </w:r>
      <w:r>
        <w:rPr>
          <w:rFonts w:hint="eastAsia" w:ascii="宋体" w:hAnsi="宋体" w:eastAsia="宋体" w:cs="宋体"/>
          <w:color w:val="auto"/>
          <w:spacing w:val="-1"/>
          <w:sz w:val="24"/>
          <w:szCs w:val="24"/>
          <w:highlight w:val="none"/>
          <w:lang w:eastAsia="zh-CN"/>
        </w:rPr>
        <w:t>。</w:t>
      </w:r>
    </w:p>
    <w:p w14:paraId="16A42CB0">
      <w:pPr>
        <w:spacing w:before="150" w:line="360" w:lineRule="auto"/>
        <w:ind w:right="200" w:firstLine="4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（8）投标人为外省建筑企业，但未提供“进粤企业和人员诚信信息登记平台</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z w:val="24"/>
          <w:szCs w:val="24"/>
          <w:highlight w:val="none"/>
        </w:rPr>
        <w:t>”企</w:t>
      </w:r>
      <w:r>
        <w:rPr>
          <w:rFonts w:hint="eastAsia" w:ascii="宋体" w:hAnsi="宋体" w:eastAsia="宋体" w:cs="宋体"/>
          <w:color w:val="auto"/>
          <w:spacing w:val="-1"/>
          <w:sz w:val="24"/>
          <w:szCs w:val="24"/>
          <w:highlight w:val="none"/>
        </w:rPr>
        <w:t>业和拟派人员信息情况打印页或网页截图的。</w:t>
      </w:r>
    </w:p>
    <w:p w14:paraId="46F2E778">
      <w:pPr>
        <w:spacing w:before="154" w:line="360" w:lineRule="auto"/>
        <w:ind w:left="477"/>
        <w:outlineLvl w:val="2"/>
        <w:rPr>
          <w:rFonts w:hint="eastAsia" w:ascii="宋体" w:hAnsi="宋体" w:eastAsia="宋体" w:cs="宋体"/>
          <w:color w:val="auto"/>
          <w:sz w:val="24"/>
          <w:szCs w:val="24"/>
          <w:highlight w:val="none"/>
        </w:rPr>
      </w:pPr>
      <w:bookmarkStart w:id="147" w:name="_Toc29071"/>
      <w:bookmarkStart w:id="148" w:name="_Toc17711"/>
      <w:bookmarkStart w:id="149" w:name="_Toc12644"/>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lang w:eastAsia="zh-CN"/>
        </w:rPr>
        <w:t>.</w:t>
      </w:r>
      <w:r>
        <w:rPr>
          <w:rFonts w:hint="eastAsia" w:ascii="宋体" w:hAnsi="宋体" w:eastAsia="宋体" w:cs="宋体"/>
          <w:b/>
          <w:bCs/>
          <w:color w:val="auto"/>
          <w:spacing w:val="-7"/>
          <w:sz w:val="24"/>
          <w:szCs w:val="24"/>
          <w:highlight w:val="none"/>
        </w:rPr>
        <w:t>形式评审环节</w:t>
      </w:r>
      <w:bookmarkEnd w:id="147"/>
      <w:bookmarkEnd w:id="148"/>
      <w:bookmarkEnd w:id="149"/>
    </w:p>
    <w:p w14:paraId="17FA0E7B">
      <w:pPr>
        <w:spacing w:before="151" w:line="360" w:lineRule="auto"/>
        <w:ind w:right="200" w:firstLine="48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投标人有下列情形之一的，评标委员会应否决其投标。被否决的投标人，不进入响应性评审环节。</w:t>
      </w:r>
    </w:p>
    <w:p w14:paraId="1488D5B8">
      <w:pPr>
        <w:spacing w:before="32" w:line="360" w:lineRule="auto"/>
        <w:ind w:left="49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（1）各分册没按招标文件规定加盖电子印章；</w:t>
      </w:r>
    </w:p>
    <w:p w14:paraId="01C21B1D">
      <w:pPr>
        <w:spacing w:before="153" w:line="360" w:lineRule="auto"/>
        <w:ind w:left="1" w:right="200" w:firstLine="49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（2）本章第三节第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10.2.2</w:t>
      </w:r>
      <w:r>
        <w:rPr>
          <w:rFonts w:hint="eastAsia" w:ascii="宋体" w:hAnsi="宋体" w:eastAsia="宋体" w:cs="宋体"/>
          <w:color w:val="auto"/>
          <w:spacing w:val="-8"/>
          <w:sz w:val="24"/>
          <w:szCs w:val="24"/>
          <w:highlight w:val="none"/>
        </w:rPr>
        <w:t xml:space="preserve"> 目、第</w:t>
      </w:r>
      <w:r>
        <w:rPr>
          <w:rFonts w:hint="eastAsia" w:ascii="宋体" w:hAnsi="宋体" w:eastAsia="宋体" w:cs="宋体"/>
          <w:b/>
          <w:bCs/>
          <w:color w:val="auto"/>
          <w:spacing w:val="-8"/>
          <w:sz w:val="24"/>
          <w:szCs w:val="24"/>
          <w:highlight w:val="none"/>
        </w:rPr>
        <w:t>10.3.2</w:t>
      </w:r>
      <w:r>
        <w:rPr>
          <w:rFonts w:hint="eastAsia" w:ascii="宋体" w:hAnsi="宋体" w:eastAsia="宋体" w:cs="宋体"/>
          <w:color w:val="auto"/>
          <w:spacing w:val="-8"/>
          <w:sz w:val="24"/>
          <w:szCs w:val="24"/>
          <w:highlight w:val="none"/>
        </w:rPr>
        <w:t xml:space="preserve"> 目、第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10.4.3</w:t>
      </w:r>
      <w:r>
        <w:rPr>
          <w:rFonts w:hint="eastAsia" w:ascii="宋体" w:hAnsi="宋体" w:eastAsia="宋体" w:cs="宋体"/>
          <w:color w:val="auto"/>
          <w:spacing w:val="-8"/>
          <w:sz w:val="24"/>
          <w:szCs w:val="24"/>
          <w:highlight w:val="none"/>
        </w:rPr>
        <w:t xml:space="preserve"> 目中规定的“所有投标人</w:t>
      </w:r>
      <w:r>
        <w:rPr>
          <w:rFonts w:hint="eastAsia" w:ascii="宋体" w:hAnsi="宋体" w:eastAsia="宋体" w:cs="宋体"/>
          <w:color w:val="auto"/>
          <w:spacing w:val="-1"/>
          <w:sz w:val="24"/>
          <w:szCs w:val="24"/>
          <w:highlight w:val="none"/>
        </w:rPr>
        <w:t>均应提供</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”的组成内容（包括该组成内容的所附资料）中，</w:t>
      </w:r>
      <w:r>
        <w:rPr>
          <w:rFonts w:hint="eastAsia" w:ascii="宋体" w:hAnsi="宋体" w:eastAsia="宋体" w:cs="宋体"/>
          <w:color w:val="auto"/>
          <w:spacing w:val="-2"/>
          <w:sz w:val="24"/>
          <w:szCs w:val="24"/>
          <w:highlight w:val="none"/>
        </w:rPr>
        <w:t>任何一项有缺漏的；</w:t>
      </w:r>
    </w:p>
    <w:p w14:paraId="7C87715B">
      <w:pPr>
        <w:spacing w:before="136" w:line="360" w:lineRule="auto"/>
        <w:ind w:left="8" w:right="200" w:firstLine="426"/>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（3）关键字迹模糊、无法辨认，且该种过错将导致评标委员会无法判断投标文件是</w:t>
      </w:r>
      <w:r>
        <w:rPr>
          <w:rFonts w:hint="eastAsia" w:ascii="宋体" w:hAnsi="宋体" w:eastAsia="宋体" w:cs="宋体"/>
          <w:color w:val="auto"/>
          <w:spacing w:val="-2"/>
          <w:sz w:val="24"/>
          <w:szCs w:val="24"/>
          <w:highlight w:val="none"/>
        </w:rPr>
        <w:t>否响应招标文件实质性要求的；有涂改、行间插字或删除，但未加盖单位章或由投标人</w:t>
      </w:r>
      <w:r>
        <w:rPr>
          <w:rFonts w:hint="eastAsia" w:ascii="宋体" w:hAnsi="宋体" w:eastAsia="宋体" w:cs="宋体"/>
          <w:color w:val="auto"/>
          <w:spacing w:val="-1"/>
          <w:sz w:val="24"/>
          <w:szCs w:val="24"/>
          <w:highlight w:val="none"/>
        </w:rPr>
        <w:t>的法定代表人或其委托代理人签字确认的；</w:t>
      </w:r>
    </w:p>
    <w:p w14:paraId="64A608C1">
      <w:pPr>
        <w:spacing w:before="209" w:line="360" w:lineRule="auto"/>
        <w:ind w:left="43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（4）投标文件未按规定签字、盖章的。</w:t>
      </w:r>
    </w:p>
    <w:p w14:paraId="5001A17B">
      <w:pPr>
        <w:spacing w:before="206" w:line="360" w:lineRule="auto"/>
        <w:ind w:left="1" w:firstLine="49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（5）招标文件规定施工组织设计采用“暗标</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z w:val="24"/>
          <w:szCs w:val="24"/>
          <w:highlight w:val="none"/>
        </w:rPr>
        <w:t>”方式进行评审，但施工组织设计的</w:t>
      </w:r>
      <w:r>
        <w:rPr>
          <w:rFonts w:hint="eastAsia" w:ascii="宋体" w:hAnsi="宋体" w:eastAsia="宋体" w:cs="宋体"/>
          <w:color w:val="auto"/>
          <w:spacing w:val="-4"/>
          <w:sz w:val="24"/>
          <w:szCs w:val="24"/>
          <w:highlight w:val="none"/>
        </w:rPr>
        <w:t>规格颜色、文字排版、正文篇幅（若有）不符合规定的；其任何部位出现手写以及涂改、</w:t>
      </w:r>
      <w:r>
        <w:rPr>
          <w:rFonts w:hint="eastAsia" w:ascii="宋体" w:hAnsi="宋体" w:eastAsia="宋体" w:cs="宋体"/>
          <w:color w:val="auto"/>
          <w:spacing w:val="-3"/>
          <w:sz w:val="24"/>
          <w:szCs w:val="24"/>
          <w:highlight w:val="none"/>
        </w:rPr>
        <w:t>行间插字或删除痕迹的；其任何部位出现投标人的名称和其它可识别投标人身份的字符、</w:t>
      </w:r>
      <w:r>
        <w:rPr>
          <w:rFonts w:hint="eastAsia" w:ascii="宋体" w:hAnsi="宋体" w:eastAsia="宋体" w:cs="宋体"/>
          <w:color w:val="auto"/>
          <w:spacing w:val="-1"/>
          <w:sz w:val="24"/>
          <w:szCs w:val="24"/>
          <w:highlight w:val="none"/>
        </w:rPr>
        <w:t>徽标、人员名称以及其他特殊标记的。</w:t>
      </w:r>
    </w:p>
    <w:p w14:paraId="7F1D1627">
      <w:pPr>
        <w:spacing w:before="227" w:line="360" w:lineRule="auto"/>
        <w:ind w:left="475"/>
        <w:outlineLvl w:val="2"/>
        <w:rPr>
          <w:rFonts w:hint="eastAsia" w:ascii="宋体" w:hAnsi="宋体" w:eastAsia="宋体" w:cs="宋体"/>
          <w:color w:val="auto"/>
          <w:sz w:val="24"/>
          <w:szCs w:val="24"/>
          <w:highlight w:val="none"/>
        </w:rPr>
      </w:pPr>
      <w:bookmarkStart w:id="150" w:name="_Toc26522"/>
      <w:bookmarkStart w:id="151" w:name="_Toc8217"/>
      <w:bookmarkStart w:id="152" w:name="_Toc4409"/>
      <w:r>
        <w:rPr>
          <w:rFonts w:hint="eastAsia" w:ascii="宋体" w:hAnsi="宋体" w:eastAsia="宋体" w:cs="宋体"/>
          <w:b/>
          <w:bCs/>
          <w:color w:val="auto"/>
          <w:spacing w:val="-6"/>
          <w:sz w:val="24"/>
          <w:szCs w:val="24"/>
          <w:highlight w:val="none"/>
        </w:rPr>
        <w:t>3</w:t>
      </w:r>
      <w:r>
        <w:rPr>
          <w:rFonts w:hint="eastAsia" w:ascii="宋体" w:hAnsi="宋体" w:eastAsia="宋体" w:cs="宋体"/>
          <w:b/>
          <w:bCs/>
          <w:color w:val="auto"/>
          <w:spacing w:val="-24"/>
          <w:sz w:val="24"/>
          <w:szCs w:val="24"/>
          <w:highlight w:val="none"/>
          <w:lang w:eastAsia="zh-CN"/>
        </w:rPr>
        <w:t>.</w:t>
      </w:r>
      <w:r>
        <w:rPr>
          <w:rFonts w:hint="eastAsia" w:ascii="宋体" w:hAnsi="宋体" w:eastAsia="宋体" w:cs="宋体"/>
          <w:b/>
          <w:bCs/>
          <w:color w:val="auto"/>
          <w:spacing w:val="-6"/>
          <w:sz w:val="24"/>
          <w:szCs w:val="24"/>
          <w:highlight w:val="none"/>
        </w:rPr>
        <w:t>响应性评审环节</w:t>
      </w:r>
      <w:bookmarkEnd w:id="150"/>
      <w:bookmarkEnd w:id="151"/>
      <w:bookmarkEnd w:id="152"/>
    </w:p>
    <w:p w14:paraId="54C4FB24">
      <w:pPr>
        <w:keepNext w:val="0"/>
        <w:keepLines w:val="0"/>
        <w:pageBreakBefore w:val="0"/>
        <w:widowControl w:val="0"/>
        <w:kinsoku w:val="0"/>
        <w:wordWrap/>
        <w:overflowPunct/>
        <w:topLinePunct w:val="0"/>
        <w:autoSpaceDE w:val="0"/>
        <w:autoSpaceDN w:val="0"/>
        <w:bidi w:val="0"/>
        <w:adjustRightInd w:val="0"/>
        <w:snapToGrid w:val="0"/>
        <w:spacing w:before="151" w:line="360" w:lineRule="auto"/>
        <w:ind w:left="1" w:right="198" w:firstLine="48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投标人有下列情形之一的，评标委员会应否决其投标。被否决的投标人，不进入详细评审阶段。</w:t>
      </w:r>
    </w:p>
    <w:p w14:paraId="2E235325">
      <w:pPr>
        <w:keepNext w:val="0"/>
        <w:keepLines w:val="0"/>
        <w:pageBreakBefore w:val="0"/>
        <w:widowControl w:val="0"/>
        <w:kinsoku w:val="0"/>
        <w:wordWrap/>
        <w:overflowPunct/>
        <w:topLinePunct w:val="0"/>
        <w:autoSpaceDE w:val="0"/>
        <w:autoSpaceDN w:val="0"/>
        <w:bidi w:val="0"/>
        <w:adjustRightInd w:val="0"/>
        <w:snapToGrid w:val="0"/>
        <w:spacing w:before="31" w:line="360" w:lineRule="auto"/>
        <w:ind w:left="40" w:right="198" w:firstLine="45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（1）承诺的投标有效期短于规定的；质量标准低于规定的；工期超出规定的；擅</w:t>
      </w:r>
      <w:r>
        <w:rPr>
          <w:rFonts w:hint="eastAsia" w:ascii="宋体" w:hAnsi="宋体" w:eastAsia="宋体" w:cs="宋体"/>
          <w:color w:val="auto"/>
          <w:spacing w:val="-2"/>
          <w:sz w:val="24"/>
          <w:szCs w:val="24"/>
          <w:highlight w:val="none"/>
        </w:rPr>
        <w:t>自修改、遗漏《投标函》《各项承诺一览表》实质性内容的；</w:t>
      </w:r>
    </w:p>
    <w:p w14:paraId="4086BFDC">
      <w:pPr>
        <w:keepNext w:val="0"/>
        <w:keepLines w:val="0"/>
        <w:pageBreakBefore w:val="0"/>
        <w:widowControl w:val="0"/>
        <w:kinsoku w:val="0"/>
        <w:wordWrap/>
        <w:overflowPunct/>
        <w:topLinePunct w:val="0"/>
        <w:autoSpaceDE w:val="0"/>
        <w:autoSpaceDN w:val="0"/>
        <w:bidi w:val="0"/>
        <w:adjustRightInd w:val="0"/>
        <w:snapToGrid w:val="0"/>
        <w:spacing w:before="157" w:line="360" w:lineRule="auto"/>
        <w:ind w:left="2" w:right="198" w:firstLine="48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（2）编制《投标总价》的造价工程师，其注册证书不是住建部门颁发的；其注册</w:t>
      </w:r>
      <w:r>
        <w:rPr>
          <w:rFonts w:hint="eastAsia" w:ascii="宋体" w:hAnsi="宋体" w:eastAsia="宋体" w:cs="宋体"/>
          <w:color w:val="auto"/>
          <w:sz w:val="24"/>
          <w:szCs w:val="24"/>
          <w:highlight w:val="none"/>
        </w:rPr>
        <w:t>单位与投标人（或造价咨询人）不一致的；</w:t>
      </w:r>
      <w:r>
        <w:rPr>
          <w:rFonts w:hint="eastAsia" w:ascii="宋体" w:hAnsi="宋体" w:eastAsia="宋体" w:cs="宋体"/>
          <w:color w:val="auto"/>
          <w:spacing w:val="-1"/>
          <w:sz w:val="24"/>
          <w:szCs w:val="24"/>
          <w:highlight w:val="none"/>
        </w:rPr>
        <w:t>其注册证书不在有效期内的。</w:t>
      </w:r>
    </w:p>
    <w:p w14:paraId="2434B2FC">
      <w:pPr>
        <w:keepNext w:val="0"/>
        <w:keepLines w:val="0"/>
        <w:pageBreakBefore w:val="0"/>
        <w:widowControl w:val="0"/>
        <w:kinsoku w:val="0"/>
        <w:wordWrap/>
        <w:overflowPunct/>
        <w:topLinePunct w:val="0"/>
        <w:autoSpaceDE w:val="0"/>
        <w:autoSpaceDN w:val="0"/>
        <w:bidi w:val="0"/>
        <w:adjustRightInd w:val="0"/>
        <w:snapToGrid w:val="0"/>
        <w:spacing w:before="156" w:line="360" w:lineRule="auto"/>
        <w:ind w:right="200" w:firstLine="480"/>
        <w:jc w:val="both"/>
        <w:textAlignment w:val="baseline"/>
        <w:rPr>
          <w:rFonts w:hint="eastAsia" w:ascii="宋体" w:hAnsi="宋体" w:eastAsia="宋体" w:cs="宋体"/>
          <w:color w:val="auto"/>
          <w:highlight w:val="none"/>
        </w:rPr>
      </w:pPr>
      <w:r>
        <w:rPr>
          <w:rFonts w:hint="eastAsia" w:ascii="宋体" w:hAnsi="宋体" w:eastAsia="宋体" w:cs="宋体"/>
          <w:b/>
          <w:bCs/>
          <w:color w:val="auto"/>
          <w:spacing w:val="-4"/>
          <w:sz w:val="24"/>
          <w:szCs w:val="24"/>
          <w:highlight w:val="none"/>
        </w:rPr>
        <w:t>注：投标人（或造价咨询人）已经工商变更，但其员工的执业资格注</w:t>
      </w:r>
      <w:r>
        <w:rPr>
          <w:rFonts w:hint="eastAsia" w:ascii="宋体" w:hAnsi="宋体" w:eastAsia="宋体" w:cs="宋体"/>
          <w:b/>
          <w:bCs/>
          <w:color w:val="auto"/>
          <w:spacing w:val="-5"/>
          <w:sz w:val="24"/>
          <w:szCs w:val="24"/>
          <w:highlight w:val="none"/>
        </w:rPr>
        <w:t>册证书的注册单位名称未完成变更的，不得否决其投标。此条与 10.3.1 中的造价工程师执业（含二级造价工程师）指引相一致。</w:t>
      </w:r>
    </w:p>
    <w:p w14:paraId="10D18E62">
      <w:pPr>
        <w:keepNext w:val="0"/>
        <w:keepLines w:val="0"/>
        <w:pageBreakBefore w:val="0"/>
        <w:widowControl w:val="0"/>
        <w:kinsoku w:val="0"/>
        <w:wordWrap/>
        <w:overflowPunct/>
        <w:topLinePunct w:val="0"/>
        <w:autoSpaceDE w:val="0"/>
        <w:autoSpaceDN w:val="0"/>
        <w:bidi w:val="0"/>
        <w:adjustRightInd w:val="0"/>
        <w:snapToGrid w:val="0"/>
        <w:spacing w:before="78" w:line="360" w:lineRule="auto"/>
        <w:ind w:left="2" w:right="81" w:firstLine="48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（3）投标人委托造价咨询单位编制《投标总价》，但未在《投标总价扉页》（即扉—3）“投标人</w:t>
      </w:r>
      <w:r>
        <w:rPr>
          <w:rFonts w:hint="eastAsia" w:ascii="宋体" w:hAnsi="宋体" w:eastAsia="宋体" w:cs="宋体"/>
          <w:color w:val="auto"/>
          <w:spacing w:val="-86"/>
          <w:sz w:val="24"/>
          <w:szCs w:val="24"/>
          <w:highlight w:val="none"/>
        </w:rPr>
        <w:t xml:space="preserve"> </w:t>
      </w:r>
      <w:r>
        <w:rPr>
          <w:rFonts w:hint="eastAsia" w:ascii="宋体" w:hAnsi="宋体" w:eastAsia="宋体" w:cs="宋体"/>
          <w:color w:val="auto"/>
          <w:spacing w:val="1"/>
          <w:sz w:val="24"/>
          <w:szCs w:val="24"/>
          <w:highlight w:val="none"/>
        </w:rPr>
        <w:t>”栏目加盖造价咨询人公章的；未提</w:t>
      </w:r>
      <w:r>
        <w:rPr>
          <w:rFonts w:hint="eastAsia" w:ascii="宋体" w:hAnsi="宋体" w:eastAsia="宋体" w:cs="宋体"/>
          <w:color w:val="auto"/>
          <w:sz w:val="24"/>
          <w:szCs w:val="24"/>
          <w:highlight w:val="none"/>
        </w:rPr>
        <w:t>供造价咨询人的营业执照副本彩</w:t>
      </w:r>
      <w:r>
        <w:rPr>
          <w:rFonts w:hint="eastAsia" w:ascii="宋体" w:hAnsi="宋体" w:eastAsia="宋体" w:cs="宋体"/>
          <w:color w:val="auto"/>
          <w:spacing w:val="-3"/>
          <w:sz w:val="24"/>
          <w:szCs w:val="24"/>
          <w:highlight w:val="none"/>
        </w:rPr>
        <w:t>色扫描件；</w:t>
      </w:r>
    </w:p>
    <w:p w14:paraId="63FE82E3">
      <w:pPr>
        <w:keepNext w:val="0"/>
        <w:keepLines w:val="0"/>
        <w:pageBreakBefore w:val="0"/>
        <w:widowControl w:val="0"/>
        <w:kinsoku w:val="0"/>
        <w:wordWrap/>
        <w:overflowPunct/>
        <w:topLinePunct w:val="0"/>
        <w:autoSpaceDE w:val="0"/>
        <w:autoSpaceDN w:val="0"/>
        <w:bidi w:val="0"/>
        <w:adjustRightInd w:val="0"/>
        <w:snapToGrid w:val="0"/>
        <w:spacing w:before="151" w:line="360" w:lineRule="auto"/>
        <w:ind w:right="21" w:firstLine="49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（4）出现两个或两个以上投标总价的（同一个投标总价大、小写不一致的除外</w:t>
      </w:r>
      <w:r>
        <w:rPr>
          <w:rFonts w:hint="eastAsia" w:ascii="宋体" w:hAnsi="宋体" w:eastAsia="宋体" w:cs="宋体"/>
          <w:color w:val="auto"/>
          <w:spacing w:val="-31"/>
          <w:sz w:val="24"/>
          <w:szCs w:val="24"/>
          <w:highlight w:val="none"/>
        </w:rPr>
        <w:t>）；</w:t>
      </w:r>
      <w:r>
        <w:rPr>
          <w:rFonts w:hint="eastAsia" w:ascii="宋体" w:hAnsi="宋体" w:eastAsia="宋体" w:cs="宋体"/>
          <w:color w:val="auto"/>
          <w:spacing w:val="-2"/>
          <w:sz w:val="24"/>
          <w:szCs w:val="24"/>
          <w:highlight w:val="none"/>
        </w:rPr>
        <w:t>投标总价超出</w:t>
      </w:r>
      <w:r>
        <w:rPr>
          <w:rFonts w:hint="eastAsia" w:ascii="宋体" w:hAnsi="宋体" w:eastAsia="宋体" w:cs="宋体"/>
          <w:b/>
          <w:bCs/>
          <w:color w:val="auto"/>
          <w:spacing w:val="-2"/>
          <w:sz w:val="24"/>
          <w:szCs w:val="24"/>
          <w:highlight w:val="none"/>
        </w:rPr>
        <w:t>最高投标限价</w:t>
      </w:r>
      <w:r>
        <w:rPr>
          <w:rFonts w:hint="eastAsia" w:ascii="宋体" w:hAnsi="宋体" w:eastAsia="宋体" w:cs="宋体"/>
          <w:color w:val="auto"/>
          <w:spacing w:val="-2"/>
          <w:sz w:val="24"/>
          <w:szCs w:val="24"/>
          <w:highlight w:val="none"/>
        </w:rPr>
        <w:t>的；绿色施工安全防护措施费少于规定的；暂列金额、暂估</w:t>
      </w:r>
      <w:r>
        <w:rPr>
          <w:rFonts w:hint="eastAsia" w:ascii="宋体" w:hAnsi="宋体" w:eastAsia="宋体" w:cs="宋体"/>
          <w:color w:val="auto"/>
          <w:spacing w:val="-3"/>
          <w:sz w:val="24"/>
          <w:szCs w:val="24"/>
          <w:highlight w:val="none"/>
        </w:rPr>
        <w:t>价未按照招标工程量清单统一报价的；投标总价下浮率超过15%，又未提供相应书面说</w:t>
      </w:r>
      <w:r>
        <w:rPr>
          <w:rFonts w:hint="eastAsia" w:ascii="宋体" w:hAnsi="宋体" w:eastAsia="宋体" w:cs="宋体"/>
          <w:color w:val="auto"/>
          <w:spacing w:val="-2"/>
          <w:sz w:val="24"/>
          <w:szCs w:val="24"/>
          <w:highlight w:val="none"/>
        </w:rPr>
        <w:t>明和佐证材料或提供的书面说明和佐证材料不能令人信服，被评标委员会认定以低于成</w:t>
      </w:r>
      <w:r>
        <w:rPr>
          <w:rFonts w:hint="eastAsia" w:ascii="宋体" w:hAnsi="宋体" w:eastAsia="宋体" w:cs="宋体"/>
          <w:color w:val="auto"/>
          <w:sz w:val="24"/>
          <w:szCs w:val="24"/>
          <w:highlight w:val="none"/>
        </w:rPr>
        <w:t>本报价竞标的；擅自修改、增减招标工程量清单</w:t>
      </w:r>
      <w:r>
        <w:rPr>
          <w:rFonts w:hint="eastAsia" w:ascii="宋体" w:hAnsi="宋体" w:eastAsia="宋体" w:cs="宋体"/>
          <w:color w:val="auto"/>
          <w:spacing w:val="-1"/>
          <w:sz w:val="24"/>
          <w:szCs w:val="24"/>
          <w:highlight w:val="none"/>
        </w:rPr>
        <w:t>项目（包括措施项目）的；</w:t>
      </w:r>
    </w:p>
    <w:p w14:paraId="7A4B5CD1">
      <w:pPr>
        <w:keepNext w:val="0"/>
        <w:keepLines w:val="0"/>
        <w:pageBreakBefore w:val="0"/>
        <w:widowControl w:val="0"/>
        <w:kinsoku w:val="0"/>
        <w:wordWrap/>
        <w:overflowPunct/>
        <w:topLinePunct w:val="0"/>
        <w:autoSpaceDE w:val="0"/>
        <w:autoSpaceDN w:val="0"/>
        <w:bidi w:val="0"/>
        <w:adjustRightInd w:val="0"/>
        <w:snapToGrid w:val="0"/>
        <w:spacing w:before="156" w:line="360" w:lineRule="auto"/>
        <w:ind w:right="81" w:firstLine="49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（5）在施工组织设计评审中，评标委员会认定质量、进度保障措施与国家和省市</w:t>
      </w:r>
      <w:r>
        <w:rPr>
          <w:rFonts w:hint="eastAsia" w:ascii="宋体" w:hAnsi="宋体" w:eastAsia="宋体" w:cs="宋体"/>
          <w:color w:val="auto"/>
          <w:spacing w:val="-3"/>
          <w:sz w:val="24"/>
          <w:szCs w:val="24"/>
          <w:highlight w:val="none"/>
        </w:rPr>
        <w:t>现行有关规范、规定、标准有重大偏差，</w:t>
      </w:r>
      <w:r>
        <w:rPr>
          <w:rFonts w:hint="eastAsia" w:ascii="宋体" w:hAnsi="宋体" w:eastAsia="宋体" w:cs="宋体"/>
          <w:b/>
          <w:bCs/>
          <w:color w:val="auto"/>
          <w:spacing w:val="-3"/>
          <w:sz w:val="24"/>
          <w:szCs w:val="24"/>
          <w:highlight w:val="none"/>
        </w:rPr>
        <w:t>且该种过错将导致工程质量、进度管理目标无</w:t>
      </w:r>
      <w:r>
        <w:rPr>
          <w:rFonts w:hint="eastAsia" w:ascii="宋体" w:hAnsi="宋体" w:eastAsia="宋体" w:cs="宋体"/>
          <w:b/>
          <w:bCs/>
          <w:color w:val="auto"/>
          <w:spacing w:val="-4"/>
          <w:sz w:val="24"/>
          <w:szCs w:val="24"/>
          <w:highlight w:val="none"/>
        </w:rPr>
        <w:t>法实现的</w:t>
      </w:r>
      <w:r>
        <w:rPr>
          <w:rFonts w:hint="eastAsia" w:ascii="宋体" w:hAnsi="宋体" w:eastAsia="宋体" w:cs="宋体"/>
          <w:color w:val="auto"/>
          <w:spacing w:val="-4"/>
          <w:sz w:val="24"/>
          <w:szCs w:val="24"/>
          <w:highlight w:val="none"/>
        </w:rPr>
        <w:t>。</w:t>
      </w:r>
    </w:p>
    <w:p w14:paraId="11590734">
      <w:pPr>
        <w:spacing w:before="151" w:line="360" w:lineRule="auto"/>
        <w:ind w:left="476"/>
        <w:outlineLvl w:val="2"/>
        <w:rPr>
          <w:rFonts w:hint="eastAsia" w:ascii="宋体" w:hAnsi="宋体" w:eastAsia="宋体" w:cs="宋体"/>
          <w:color w:val="auto"/>
          <w:sz w:val="24"/>
          <w:szCs w:val="24"/>
          <w:highlight w:val="none"/>
        </w:rPr>
      </w:pPr>
      <w:bookmarkStart w:id="153" w:name="_Toc29500"/>
      <w:bookmarkStart w:id="154" w:name="_Toc2557"/>
      <w:bookmarkStart w:id="155" w:name="_Toc21929"/>
      <w:r>
        <w:rPr>
          <w:rFonts w:hint="eastAsia" w:ascii="宋体" w:hAnsi="宋体" w:eastAsia="宋体" w:cs="宋体"/>
          <w:b/>
          <w:bCs/>
          <w:color w:val="auto"/>
          <w:spacing w:val="-11"/>
          <w:sz w:val="24"/>
          <w:szCs w:val="24"/>
          <w:highlight w:val="none"/>
        </w:rPr>
        <w:t>4</w:t>
      </w:r>
      <w:r>
        <w:rPr>
          <w:rFonts w:hint="eastAsia" w:ascii="宋体" w:hAnsi="宋体" w:eastAsia="宋体" w:cs="宋体"/>
          <w:b/>
          <w:bCs/>
          <w:color w:val="auto"/>
          <w:spacing w:val="-29"/>
          <w:sz w:val="24"/>
          <w:szCs w:val="24"/>
          <w:highlight w:val="none"/>
          <w:lang w:eastAsia="zh-CN"/>
        </w:rPr>
        <w:t>.</w:t>
      </w:r>
      <w:r>
        <w:rPr>
          <w:rFonts w:hint="eastAsia" w:ascii="宋体" w:hAnsi="宋体" w:eastAsia="宋体" w:cs="宋体"/>
          <w:b/>
          <w:bCs/>
          <w:color w:val="auto"/>
          <w:spacing w:val="-11"/>
          <w:sz w:val="24"/>
          <w:szCs w:val="24"/>
          <w:highlight w:val="none"/>
        </w:rPr>
        <w:t>其他</w:t>
      </w:r>
      <w:bookmarkEnd w:id="153"/>
      <w:bookmarkEnd w:id="154"/>
      <w:bookmarkEnd w:id="155"/>
    </w:p>
    <w:p w14:paraId="46C8107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在任何评标环节（或阶段），投标人有下列情形之一的，评标委员会应否决其投标。被否决的投标人，不进入下一环节（或阶段）。</w:t>
      </w:r>
    </w:p>
    <w:p w14:paraId="6A70F2F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（1）不按评标委员会要求澄清、说明或补正的；</w:t>
      </w:r>
    </w:p>
    <w:p w14:paraId="4CBBCC9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（2）有下列情形之一，被评标委员会认定属于串通投标的：</w:t>
      </w:r>
    </w:p>
    <w:p w14:paraId="271141C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①不同投标人的投标文件两处以上（含两处）错、漏一致；</w:t>
      </w:r>
    </w:p>
    <w:p w14:paraId="55C46FE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②不同投标人的投标总价相近且各分项报价、综合单价分析表内容混乱不能相互对应、乱调乱压或乱抬的，而在询标时没有合理的解释或者不能提供计算依据和报价依据；</w:t>
      </w:r>
    </w:p>
    <w:p w14:paraId="087B172A">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③不同投标人的投标各项报价存在异常一致或者呈规律性变化；</w:t>
      </w:r>
    </w:p>
    <w:p w14:paraId="2919038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④不同投标人的投标文件由同一单位或者同一个人编制；</w:t>
      </w:r>
    </w:p>
    <w:p w14:paraId="724112B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⑤不同投标人的投标文件中投标资料（包括电子资料）相互混装或项目班子成员出现同一人；</w:t>
      </w:r>
    </w:p>
    <w:p w14:paraId="2E9AD51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⑥不同投标人的投标文件由同一电脑编制或同一台附属设备打印，或投标报价用同一个预算编制软件密码锁制作或出自同一电子文档；</w:t>
      </w:r>
    </w:p>
    <w:p w14:paraId="6E160A6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⑦不同投标人的投标保证由同一企业或同一账户资金缴纳；</w:t>
      </w:r>
    </w:p>
    <w:p w14:paraId="60106AC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⑧不同投标人委托同一个人或注册在同一家企业的注册人员或同一家企业为其投标提供投标咨询、商务报价、技术咨询（招标项目本身要求采用专有技术的除外）等服务。</w:t>
      </w:r>
    </w:p>
    <w:p w14:paraId="53EB2D8B">
      <w:pPr>
        <w:spacing w:before="78" w:line="360" w:lineRule="auto"/>
        <w:jc w:val="center"/>
        <w:outlineLvl w:val="0"/>
        <w:rPr>
          <w:rFonts w:hint="eastAsia" w:ascii="宋体" w:hAnsi="宋体" w:eastAsia="宋体" w:cs="宋体"/>
          <w:b/>
          <w:bCs/>
          <w:color w:val="auto"/>
          <w:spacing w:val="-3"/>
          <w:sz w:val="24"/>
          <w:szCs w:val="24"/>
          <w:highlight w:val="none"/>
        </w:rPr>
      </w:pPr>
      <w:bookmarkStart w:id="156" w:name="bookmark57"/>
      <w:bookmarkEnd w:id="156"/>
      <w:bookmarkStart w:id="157" w:name="_Toc7642"/>
      <w:bookmarkStart w:id="158" w:name="_Toc20000"/>
      <w:r>
        <w:rPr>
          <w:rFonts w:hint="eastAsia" w:ascii="宋体" w:hAnsi="宋体" w:eastAsia="宋体" w:cs="宋体"/>
          <w:b/>
          <w:bCs/>
          <w:color w:val="auto"/>
          <w:spacing w:val="-3"/>
          <w:sz w:val="24"/>
          <w:szCs w:val="24"/>
          <w:highlight w:val="none"/>
        </w:rPr>
        <w:t>第二章</w:t>
      </w:r>
      <w:r>
        <w:rPr>
          <w:rFonts w:hint="eastAsia" w:ascii="宋体" w:hAnsi="宋体" w:eastAsia="宋体" w:cs="宋体"/>
          <w:b/>
          <w:bCs/>
          <w:color w:val="auto"/>
          <w:spacing w:val="-3"/>
          <w:sz w:val="24"/>
          <w:szCs w:val="24"/>
          <w:highlight w:val="none"/>
          <w:lang w:val="en-US" w:eastAsia="zh-CN"/>
        </w:rPr>
        <w:t xml:space="preserve">   </w:t>
      </w:r>
      <w:r>
        <w:rPr>
          <w:rFonts w:hint="eastAsia" w:ascii="宋体" w:hAnsi="宋体" w:eastAsia="宋体" w:cs="宋体"/>
          <w:b/>
          <w:bCs/>
          <w:color w:val="auto"/>
          <w:spacing w:val="-3"/>
          <w:sz w:val="24"/>
          <w:szCs w:val="24"/>
          <w:highlight w:val="none"/>
        </w:rPr>
        <w:t>中标人须知</w:t>
      </w:r>
      <w:bookmarkEnd w:id="157"/>
      <w:bookmarkEnd w:id="158"/>
    </w:p>
    <w:p w14:paraId="33D1480D">
      <w:pPr>
        <w:spacing w:before="151" w:line="360" w:lineRule="auto"/>
        <w:ind w:left="476"/>
        <w:outlineLvl w:val="2"/>
        <w:rPr>
          <w:rFonts w:hint="eastAsia" w:ascii="宋体" w:hAnsi="宋体" w:eastAsia="宋体" w:cs="宋体"/>
          <w:b/>
          <w:bCs/>
          <w:color w:val="auto"/>
          <w:spacing w:val="-11"/>
          <w:sz w:val="24"/>
          <w:szCs w:val="24"/>
          <w:highlight w:val="none"/>
        </w:rPr>
      </w:pPr>
      <w:bookmarkStart w:id="159" w:name="_Toc11992"/>
      <w:bookmarkStart w:id="160" w:name="_Toc26962"/>
      <w:r>
        <w:rPr>
          <w:rFonts w:hint="eastAsia" w:ascii="宋体" w:hAnsi="宋体" w:eastAsia="宋体" w:cs="宋体"/>
          <w:b/>
          <w:bCs/>
          <w:color w:val="auto"/>
          <w:spacing w:val="-11"/>
          <w:sz w:val="24"/>
          <w:szCs w:val="24"/>
          <w:highlight w:val="none"/>
        </w:rPr>
        <w:t>1</w:t>
      </w:r>
      <w:r>
        <w:rPr>
          <w:rFonts w:hint="eastAsia" w:ascii="宋体" w:hAnsi="宋体" w:eastAsia="宋体" w:cs="宋体"/>
          <w:b/>
          <w:bCs/>
          <w:color w:val="auto"/>
          <w:spacing w:val="-11"/>
          <w:sz w:val="24"/>
          <w:szCs w:val="24"/>
          <w:highlight w:val="none"/>
          <w:lang w:eastAsia="zh-CN"/>
        </w:rPr>
        <w:t>.</w:t>
      </w:r>
      <w:r>
        <w:rPr>
          <w:rFonts w:hint="eastAsia" w:ascii="宋体" w:hAnsi="宋体" w:eastAsia="宋体" w:cs="宋体"/>
          <w:b/>
          <w:bCs/>
          <w:color w:val="auto"/>
          <w:spacing w:val="-11"/>
          <w:sz w:val="24"/>
          <w:szCs w:val="24"/>
          <w:highlight w:val="none"/>
        </w:rPr>
        <w:t>中标通知书</w:t>
      </w:r>
      <w:bookmarkEnd w:id="159"/>
      <w:bookmarkEnd w:id="160"/>
    </w:p>
    <w:p w14:paraId="51329CD9">
      <w:pPr>
        <w:spacing w:before="152" w:line="360" w:lineRule="auto"/>
        <w:ind w:left="17" w:firstLine="559"/>
        <w:jc w:val="both"/>
        <w:rPr>
          <w:rFonts w:hint="eastAsia" w:ascii="宋体" w:hAnsi="宋体" w:eastAsia="宋体" w:cs="宋体"/>
          <w:color w:val="auto"/>
          <w:highlight w:val="none"/>
        </w:rPr>
      </w:pPr>
      <w:r>
        <w:rPr>
          <w:rFonts w:hint="eastAsia" w:ascii="宋体" w:hAnsi="宋体" w:eastAsia="宋体" w:cs="宋体"/>
          <w:color w:val="auto"/>
          <w:spacing w:val="1"/>
          <w:sz w:val="24"/>
          <w:szCs w:val="24"/>
          <w:highlight w:val="none"/>
        </w:rPr>
        <w:t>招标人确定第一中标候选人为中标人，并在中标人确定之日起7日内向中</w:t>
      </w:r>
      <w:r>
        <w:rPr>
          <w:rFonts w:hint="eastAsia" w:ascii="宋体" w:hAnsi="宋体" w:eastAsia="宋体" w:cs="宋体"/>
          <w:color w:val="auto"/>
          <w:sz w:val="24"/>
          <w:szCs w:val="24"/>
          <w:highlight w:val="none"/>
        </w:rPr>
        <w:t>标人发</w:t>
      </w:r>
      <w:r>
        <w:rPr>
          <w:rFonts w:hint="eastAsia" w:ascii="宋体" w:hAnsi="宋体" w:eastAsia="宋体" w:cs="宋体"/>
          <w:color w:val="auto"/>
          <w:spacing w:val="-3"/>
          <w:sz w:val="24"/>
          <w:szCs w:val="24"/>
          <w:highlight w:val="none"/>
        </w:rPr>
        <w:t>出中标通知书，中标人必须按韶关市公共资源交易中心的规定办理相关手续后方可领取。</w:t>
      </w:r>
      <w:r>
        <w:rPr>
          <w:rFonts w:hint="eastAsia" w:ascii="宋体" w:hAnsi="宋体" w:eastAsia="宋体" w:cs="宋体"/>
          <w:color w:val="auto"/>
          <w:spacing w:val="-2"/>
          <w:sz w:val="24"/>
          <w:szCs w:val="24"/>
          <w:highlight w:val="none"/>
        </w:rPr>
        <w:t>中标通知书对招标人和中标人均具有法律约束力。中标通知书发出后，招标人改变中标</w:t>
      </w:r>
      <w:r>
        <w:rPr>
          <w:rFonts w:hint="eastAsia" w:ascii="宋体" w:hAnsi="宋体" w:eastAsia="宋体" w:cs="宋体"/>
          <w:color w:val="auto"/>
          <w:spacing w:val="-1"/>
          <w:sz w:val="24"/>
          <w:szCs w:val="24"/>
          <w:highlight w:val="none"/>
        </w:rPr>
        <w:t>结果和中标人放弃中标的，应当承担法律责任。</w:t>
      </w:r>
    </w:p>
    <w:p w14:paraId="6832A809">
      <w:pPr>
        <w:spacing w:before="151" w:line="360" w:lineRule="auto"/>
        <w:ind w:left="476"/>
        <w:outlineLvl w:val="2"/>
        <w:rPr>
          <w:rFonts w:hint="eastAsia" w:ascii="宋体" w:hAnsi="宋体" w:eastAsia="宋体" w:cs="宋体"/>
          <w:b/>
          <w:bCs/>
          <w:color w:val="auto"/>
          <w:spacing w:val="-11"/>
          <w:sz w:val="24"/>
          <w:szCs w:val="24"/>
          <w:highlight w:val="none"/>
        </w:rPr>
      </w:pPr>
      <w:bookmarkStart w:id="161" w:name="_Toc16049"/>
      <w:bookmarkStart w:id="162" w:name="_Toc7161"/>
      <w:r>
        <w:rPr>
          <w:rFonts w:hint="eastAsia" w:ascii="宋体" w:hAnsi="宋体" w:eastAsia="宋体" w:cs="宋体"/>
          <w:b/>
          <w:bCs/>
          <w:color w:val="auto"/>
          <w:spacing w:val="-11"/>
          <w:sz w:val="24"/>
          <w:szCs w:val="24"/>
          <w:highlight w:val="none"/>
        </w:rPr>
        <w:t>2</w:t>
      </w:r>
      <w:r>
        <w:rPr>
          <w:rFonts w:hint="eastAsia" w:ascii="宋体" w:hAnsi="宋体" w:eastAsia="宋体" w:cs="宋体"/>
          <w:b/>
          <w:bCs/>
          <w:color w:val="auto"/>
          <w:spacing w:val="-11"/>
          <w:sz w:val="24"/>
          <w:szCs w:val="24"/>
          <w:highlight w:val="none"/>
          <w:lang w:eastAsia="zh-CN"/>
        </w:rPr>
        <w:t>.</w:t>
      </w:r>
      <w:r>
        <w:rPr>
          <w:rFonts w:hint="eastAsia" w:ascii="宋体" w:hAnsi="宋体" w:eastAsia="宋体" w:cs="宋体"/>
          <w:b/>
          <w:bCs/>
          <w:color w:val="auto"/>
          <w:spacing w:val="-11"/>
          <w:sz w:val="24"/>
          <w:szCs w:val="24"/>
          <w:highlight w:val="none"/>
        </w:rPr>
        <w:t>中标结果公示</w:t>
      </w:r>
      <w:bookmarkEnd w:id="161"/>
      <w:bookmarkEnd w:id="162"/>
    </w:p>
    <w:p w14:paraId="5173095A">
      <w:pPr>
        <w:spacing w:before="115" w:line="360" w:lineRule="auto"/>
        <w:ind w:left="2" w:right="203" w:firstLine="595"/>
        <w:jc w:val="both"/>
        <w:rPr>
          <w:rFonts w:hint="eastAsia" w:ascii="宋体" w:hAnsi="宋体" w:eastAsia="宋体" w:cs="宋体"/>
          <w:color w:val="auto"/>
          <w:highlight w:val="none"/>
        </w:rPr>
      </w:pPr>
      <w:r>
        <w:rPr>
          <w:rFonts w:hint="eastAsia" w:ascii="宋体" w:hAnsi="宋体" w:eastAsia="宋体" w:cs="宋体"/>
          <w:color w:val="auto"/>
          <w:spacing w:val="-2"/>
          <w:sz w:val="24"/>
          <w:szCs w:val="24"/>
          <w:highlight w:val="none"/>
        </w:rPr>
        <w:t>中标通知书发出后</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2"/>
          <w:sz w:val="24"/>
          <w:szCs w:val="24"/>
          <w:highlight w:val="none"/>
        </w:rPr>
        <w:t>15</w:t>
      </w:r>
      <w:r>
        <w:rPr>
          <w:rFonts w:hint="eastAsia" w:ascii="宋体" w:hAnsi="宋体" w:eastAsia="宋体" w:cs="宋体"/>
          <w:color w:val="auto"/>
          <w:spacing w:val="50"/>
          <w:w w:val="101"/>
          <w:sz w:val="24"/>
          <w:szCs w:val="24"/>
          <w:highlight w:val="none"/>
        </w:rPr>
        <w:t xml:space="preserve"> </w:t>
      </w:r>
      <w:r>
        <w:rPr>
          <w:rFonts w:hint="eastAsia" w:ascii="宋体" w:hAnsi="宋体" w:eastAsia="宋体" w:cs="宋体"/>
          <w:color w:val="auto"/>
          <w:spacing w:val="-2"/>
          <w:sz w:val="24"/>
          <w:szCs w:val="24"/>
          <w:highlight w:val="none"/>
        </w:rPr>
        <w:t>日内，招标人应将中标结果在广东省招标投标</w:t>
      </w:r>
      <w:r>
        <w:rPr>
          <w:rFonts w:hint="eastAsia" w:ascii="宋体" w:hAnsi="宋体" w:eastAsia="宋体" w:cs="宋体"/>
          <w:color w:val="auto"/>
          <w:spacing w:val="-3"/>
          <w:sz w:val="24"/>
          <w:szCs w:val="24"/>
          <w:highlight w:val="none"/>
        </w:rPr>
        <w:t>监管网（http:</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//zbtb.gd.gov.cn）、全国公共资源交易平台（广东省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·韶关市</w:t>
      </w:r>
      <w:r>
        <w:rPr>
          <w:rFonts w:hint="eastAsia" w:ascii="宋体" w:hAnsi="宋体" w:eastAsia="宋体" w:cs="宋体"/>
          <w:color w:val="auto"/>
          <w:spacing w:val="-34"/>
          <w:sz w:val="24"/>
          <w:szCs w:val="24"/>
          <w:highlight w:val="none"/>
        </w:rPr>
        <w:t>）（</w:t>
      </w:r>
      <w:r>
        <w:rPr>
          <w:rFonts w:hint="eastAsia" w:ascii="宋体" w:hAnsi="宋体" w:eastAsia="宋体" w:cs="宋体"/>
          <w:color w:val="auto"/>
          <w:spacing w:val="-2"/>
          <w:sz w:val="24"/>
          <w:szCs w:val="24"/>
          <w:highlight w:val="none"/>
        </w:rPr>
        <w:t>https://ygp.</w:t>
      </w:r>
      <w:r>
        <w:rPr>
          <w:rFonts w:hint="eastAsia" w:ascii="宋体" w:hAnsi="宋体" w:eastAsia="宋体" w:cs="宋体"/>
          <w:color w:val="auto"/>
          <w:spacing w:val="-3"/>
          <w:sz w:val="24"/>
          <w:szCs w:val="24"/>
          <w:highlight w:val="none"/>
        </w:rPr>
        <w:t>gdzwfw.gov.</w:t>
      </w:r>
      <w:r>
        <w:rPr>
          <w:rFonts w:hint="eastAsia" w:ascii="宋体" w:hAnsi="宋体" w:eastAsia="宋体" w:cs="宋体"/>
          <w:color w:val="auto"/>
          <w:sz w:val="24"/>
          <w:szCs w:val="24"/>
          <w:highlight w:val="none"/>
        </w:rPr>
        <w:t xml:space="preserve"> cn/ggzy-portal/#/440200/index）进行公示。</w:t>
      </w:r>
    </w:p>
    <w:p w14:paraId="4AC0E276">
      <w:pPr>
        <w:spacing w:before="151" w:line="360" w:lineRule="auto"/>
        <w:ind w:left="476"/>
        <w:outlineLvl w:val="2"/>
        <w:rPr>
          <w:rFonts w:hint="eastAsia" w:ascii="宋体" w:hAnsi="宋体" w:eastAsia="宋体" w:cs="宋体"/>
          <w:b/>
          <w:bCs/>
          <w:color w:val="auto"/>
          <w:spacing w:val="-11"/>
          <w:sz w:val="24"/>
          <w:szCs w:val="24"/>
          <w:highlight w:val="none"/>
        </w:rPr>
      </w:pPr>
      <w:bookmarkStart w:id="163" w:name="_Toc15464"/>
      <w:bookmarkStart w:id="164" w:name="_Toc28790"/>
      <w:r>
        <w:rPr>
          <w:rFonts w:hint="eastAsia" w:ascii="宋体" w:hAnsi="宋体" w:eastAsia="宋体" w:cs="宋体"/>
          <w:b/>
          <w:bCs/>
          <w:color w:val="auto"/>
          <w:spacing w:val="-11"/>
          <w:sz w:val="24"/>
          <w:szCs w:val="24"/>
          <w:highlight w:val="none"/>
        </w:rPr>
        <w:t>3</w:t>
      </w:r>
      <w:r>
        <w:rPr>
          <w:rFonts w:hint="eastAsia" w:ascii="宋体" w:hAnsi="宋体" w:eastAsia="宋体" w:cs="宋体"/>
          <w:b/>
          <w:bCs/>
          <w:color w:val="auto"/>
          <w:spacing w:val="-11"/>
          <w:sz w:val="24"/>
          <w:szCs w:val="24"/>
          <w:highlight w:val="none"/>
          <w:lang w:eastAsia="zh-CN"/>
        </w:rPr>
        <w:t>.</w:t>
      </w:r>
      <w:r>
        <w:rPr>
          <w:rFonts w:hint="eastAsia" w:ascii="宋体" w:hAnsi="宋体" w:eastAsia="宋体" w:cs="宋体"/>
          <w:b/>
          <w:bCs/>
          <w:color w:val="auto"/>
          <w:spacing w:val="-11"/>
          <w:sz w:val="24"/>
          <w:szCs w:val="24"/>
          <w:highlight w:val="none"/>
        </w:rPr>
        <w:t>履约保证</w:t>
      </w:r>
      <w:bookmarkEnd w:id="163"/>
      <w:bookmarkEnd w:id="164"/>
    </w:p>
    <w:p w14:paraId="6B965CAC">
      <w:pPr>
        <w:keepNext w:val="0"/>
        <w:keepLines w:val="0"/>
        <w:pageBreakBefore w:val="0"/>
        <w:widowControl/>
        <w:kinsoku w:val="0"/>
        <w:wordWrap/>
        <w:overflowPunct/>
        <w:topLinePunct w:val="0"/>
        <w:autoSpaceDE w:val="0"/>
        <w:autoSpaceDN w:val="0"/>
        <w:bidi w:val="0"/>
        <w:adjustRightInd w:val="0"/>
        <w:snapToGrid w:val="0"/>
        <w:spacing w:before="153" w:line="360" w:lineRule="auto"/>
        <w:ind w:firstLine="47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3.1</w:t>
      </w:r>
      <w:r>
        <w:rPr>
          <w:rFonts w:hint="eastAsia" w:ascii="宋体" w:hAnsi="宋体" w:eastAsia="宋体" w:cs="宋体"/>
          <w:b/>
          <w:bCs/>
          <w:color w:val="auto"/>
          <w:spacing w:val="17"/>
          <w:sz w:val="24"/>
          <w:szCs w:val="24"/>
          <w:highlight w:val="none"/>
        </w:rPr>
        <w:t xml:space="preserve">  </w:t>
      </w:r>
      <w:r>
        <w:rPr>
          <w:rFonts w:hint="eastAsia" w:ascii="宋体" w:hAnsi="宋体" w:eastAsia="宋体" w:cs="宋体"/>
          <w:color w:val="auto"/>
          <w:spacing w:val="-3"/>
          <w:sz w:val="24"/>
          <w:szCs w:val="24"/>
          <w:highlight w:val="none"/>
        </w:rPr>
        <w:t>中标人须在领取中标通知书之日起</w:t>
      </w:r>
      <w:r>
        <w:rPr>
          <w:rFonts w:hint="eastAsia" w:ascii="宋体" w:hAnsi="宋体" w:eastAsia="宋体" w:cs="宋体"/>
          <w:color w:val="auto"/>
          <w:spacing w:val="-3"/>
          <w:sz w:val="24"/>
          <w:szCs w:val="24"/>
          <w:highlight w:val="none"/>
          <w:u w:val="single"/>
          <w:lang w:val="en-US" w:eastAsia="zh-CN"/>
        </w:rPr>
        <w:t>10</w:t>
      </w:r>
      <w:r>
        <w:rPr>
          <w:rFonts w:hint="eastAsia" w:ascii="宋体" w:hAnsi="宋体" w:eastAsia="宋体" w:cs="宋体"/>
          <w:color w:val="auto"/>
          <w:spacing w:val="-3"/>
          <w:sz w:val="24"/>
          <w:szCs w:val="24"/>
          <w:highlight w:val="none"/>
        </w:rPr>
        <w:t>个工作日内、签订合同前向招标人提交金额</w:t>
      </w:r>
      <w:r>
        <w:rPr>
          <w:rFonts w:hint="eastAsia" w:ascii="宋体" w:hAnsi="宋体" w:eastAsia="宋体" w:cs="宋体"/>
          <w:color w:val="auto"/>
          <w:spacing w:val="-1"/>
          <w:position w:val="2"/>
          <w:sz w:val="24"/>
          <w:szCs w:val="24"/>
          <w:highlight w:val="none"/>
        </w:rPr>
        <w:t>为中标价</w:t>
      </w:r>
      <w:r>
        <w:rPr>
          <w:rFonts w:hint="eastAsia" w:ascii="宋体" w:hAnsi="宋体" w:eastAsia="宋体" w:cs="宋体"/>
          <w:color w:val="auto"/>
          <w:spacing w:val="-1"/>
          <w:position w:val="2"/>
          <w:sz w:val="24"/>
          <w:szCs w:val="24"/>
          <w:highlight w:val="none"/>
          <w:u w:val="single"/>
          <w:lang w:val="en-US" w:eastAsia="zh-CN"/>
        </w:rPr>
        <w:t>5</w:t>
      </w:r>
      <w:r>
        <w:rPr>
          <w:rFonts w:hint="eastAsia" w:ascii="宋体" w:hAnsi="宋体" w:eastAsia="宋体" w:cs="宋体"/>
          <w:color w:val="auto"/>
          <w:spacing w:val="-1"/>
          <w:position w:val="2"/>
          <w:sz w:val="24"/>
          <w:szCs w:val="24"/>
          <w:highlight w:val="none"/>
          <w:u w:val="single"/>
        </w:rPr>
        <w:t>%</w:t>
      </w:r>
      <w:r>
        <w:rPr>
          <w:rFonts w:hint="eastAsia" w:ascii="宋体" w:hAnsi="宋体" w:eastAsia="宋体" w:cs="宋体"/>
          <w:color w:val="auto"/>
          <w:spacing w:val="-1"/>
          <w:position w:val="2"/>
          <w:sz w:val="24"/>
          <w:szCs w:val="24"/>
          <w:highlight w:val="none"/>
        </w:rPr>
        <w:t>的履约保证。联合体中标的，由联合体牵头人提交。</w:t>
      </w:r>
    </w:p>
    <w:p w14:paraId="419293D0">
      <w:pPr>
        <w:keepNext w:val="0"/>
        <w:keepLines w:val="0"/>
        <w:pageBreakBefore w:val="0"/>
        <w:widowControl w:val="0"/>
        <w:kinsoku w:val="0"/>
        <w:overflowPunct/>
        <w:topLinePunct w:val="0"/>
        <w:autoSpaceDE w:val="0"/>
        <w:autoSpaceDN w:val="0"/>
        <w:bidi w:val="0"/>
        <w:adjustRightInd w:val="0"/>
        <w:snapToGrid w:val="0"/>
        <w:spacing w:before="89" w:line="360" w:lineRule="auto"/>
        <w:ind w:left="12" w:right="108" w:firstLine="473"/>
        <w:textAlignment w:val="baseline"/>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3.2</w:t>
      </w:r>
      <w:r>
        <w:rPr>
          <w:rFonts w:hint="eastAsia" w:ascii="宋体" w:hAnsi="宋体" w:eastAsia="宋体" w:cs="宋体"/>
          <w:b/>
          <w:bCs/>
          <w:color w:val="auto"/>
          <w:spacing w:val="1"/>
          <w:sz w:val="24"/>
          <w:szCs w:val="24"/>
          <w:highlight w:val="none"/>
          <w:lang w:val="en-US" w:eastAsia="zh-CN"/>
        </w:rPr>
        <w:t xml:space="preserve"> </w:t>
      </w:r>
      <w:r>
        <w:rPr>
          <w:rFonts w:hint="eastAsia" w:ascii="宋体" w:hAnsi="宋体" w:eastAsia="宋体" w:cs="宋体"/>
          <w:b/>
          <w:bCs/>
          <w:color w:val="auto"/>
          <w:spacing w:val="34"/>
          <w:w w:val="101"/>
          <w:sz w:val="24"/>
          <w:szCs w:val="24"/>
          <w:highlight w:val="none"/>
        </w:rPr>
        <w:t xml:space="preserve"> </w:t>
      </w:r>
      <w:r>
        <w:rPr>
          <w:rFonts w:hint="eastAsia" w:ascii="宋体" w:hAnsi="宋体" w:eastAsia="宋体" w:cs="宋体"/>
          <w:color w:val="auto"/>
          <w:spacing w:val="-1"/>
          <w:position w:val="2"/>
          <w:sz w:val="24"/>
          <w:szCs w:val="24"/>
          <w:highlight w:val="none"/>
        </w:rPr>
        <w:t>中标人根据《关于统一在市公共资源交易一体化服务平台缴退工程建设项目履约保证金的通知》办理相关手续，履约保证的形式包括履约保证金、履约保证担保、履约保证保险三种，由中标人自主选择</w:t>
      </w:r>
      <w:r>
        <w:rPr>
          <w:rFonts w:hint="eastAsia" w:ascii="宋体" w:hAnsi="宋体" w:eastAsia="宋体" w:cs="宋体"/>
          <w:color w:val="auto"/>
          <w:spacing w:val="-2"/>
          <w:sz w:val="24"/>
          <w:szCs w:val="24"/>
          <w:highlight w:val="none"/>
        </w:rPr>
        <w:t>。商业保函、银行保函或保险合同（或保险单）的</w:t>
      </w:r>
      <w:r>
        <w:rPr>
          <w:rFonts w:hint="eastAsia" w:ascii="宋体" w:hAnsi="宋体" w:eastAsia="宋体" w:cs="宋体"/>
          <w:color w:val="auto"/>
          <w:spacing w:val="-1"/>
          <w:sz w:val="24"/>
          <w:szCs w:val="24"/>
          <w:highlight w:val="none"/>
        </w:rPr>
        <w:t>有效期应当自合同生效之日起至项目通过竣工验收之日后</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1"/>
          <w:sz w:val="24"/>
          <w:szCs w:val="24"/>
          <w:highlight w:val="none"/>
        </w:rPr>
        <w:t>28 天止。</w:t>
      </w:r>
    </w:p>
    <w:p w14:paraId="29CA7BCE">
      <w:pPr>
        <w:keepNext w:val="0"/>
        <w:keepLines w:val="0"/>
        <w:pageBreakBefore w:val="0"/>
        <w:widowControl w:val="0"/>
        <w:kinsoku w:val="0"/>
        <w:wordWrap w:val="0"/>
        <w:overflowPunct/>
        <w:topLinePunct w:val="0"/>
        <w:autoSpaceDE w:val="0"/>
        <w:autoSpaceDN w:val="0"/>
        <w:bidi w:val="0"/>
        <w:adjustRightInd w:val="0"/>
        <w:snapToGrid w:val="0"/>
        <w:spacing w:line="360" w:lineRule="auto"/>
        <w:ind w:firstLine="562"/>
        <w:textAlignment w:val="baseline"/>
        <w:rPr>
          <w:rFonts w:hint="eastAsia" w:ascii="宋体" w:hAnsi="宋体" w:eastAsia="宋体" w:cs="宋体"/>
          <w:color w:val="auto"/>
          <w:highlight w:val="none"/>
          <w:lang w:eastAsia="zh-CN"/>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position w:val="2"/>
          <w:sz w:val="24"/>
          <w:szCs w:val="24"/>
          <w:highlight w:val="none"/>
          <w:lang w:eastAsia="zh-CN"/>
        </w:rPr>
        <w:t>注：中标通知书发出时，招标人发起收缴履约保证金并填写保证金金额、缴交时限和项目工期；由中标人在建设工程交易系统中自主选择一种进行缴交。项目竣工后，由招标人发起退保。）</w:t>
      </w:r>
    </w:p>
    <w:p w14:paraId="0C149FC0">
      <w:pPr>
        <w:keepNext w:val="0"/>
        <w:keepLines w:val="0"/>
        <w:pageBreakBefore w:val="0"/>
        <w:widowControl w:val="0"/>
        <w:kinsoku w:val="0"/>
        <w:overflowPunct/>
        <w:topLinePunct w:val="0"/>
        <w:autoSpaceDE w:val="0"/>
        <w:autoSpaceDN w:val="0"/>
        <w:bidi w:val="0"/>
        <w:adjustRightInd w:val="0"/>
        <w:snapToGrid w:val="0"/>
        <w:spacing w:before="145" w:line="360" w:lineRule="auto"/>
        <w:ind w:left="12" w:right="108" w:firstLine="473"/>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3.3</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4"/>
          <w:sz w:val="24"/>
          <w:szCs w:val="24"/>
          <w:highlight w:val="none"/>
        </w:rPr>
        <w:t>中标人在领取中标通知书之日起10个工</w:t>
      </w:r>
      <w:r>
        <w:rPr>
          <w:rFonts w:hint="eastAsia" w:ascii="宋体" w:hAnsi="宋体" w:eastAsia="宋体" w:cs="宋体"/>
          <w:color w:val="auto"/>
          <w:spacing w:val="-5"/>
          <w:sz w:val="24"/>
          <w:szCs w:val="24"/>
          <w:highlight w:val="none"/>
        </w:rPr>
        <w:t>作日内仍未提交履约保证的，招标人发</w:t>
      </w:r>
      <w:r>
        <w:rPr>
          <w:rFonts w:hint="eastAsia" w:ascii="宋体" w:hAnsi="宋体" w:eastAsia="宋体" w:cs="宋体"/>
          <w:color w:val="auto"/>
          <w:spacing w:val="1"/>
          <w:sz w:val="24"/>
          <w:szCs w:val="24"/>
          <w:highlight w:val="none"/>
        </w:rPr>
        <w:t>出第一次提醒函；在领取中标通知书之日起15个工作日内仍未提交的</w:t>
      </w:r>
      <w:r>
        <w:rPr>
          <w:rFonts w:hint="eastAsia" w:ascii="宋体" w:hAnsi="宋体" w:eastAsia="宋体" w:cs="宋体"/>
          <w:color w:val="auto"/>
          <w:sz w:val="24"/>
          <w:szCs w:val="24"/>
          <w:highlight w:val="none"/>
        </w:rPr>
        <w:t>，招标人发出第</w:t>
      </w:r>
      <w:r>
        <w:rPr>
          <w:rFonts w:hint="eastAsia" w:ascii="宋体" w:hAnsi="宋体" w:eastAsia="宋体" w:cs="宋体"/>
          <w:color w:val="auto"/>
          <w:spacing w:val="1"/>
          <w:sz w:val="24"/>
          <w:szCs w:val="24"/>
          <w:highlight w:val="none"/>
        </w:rPr>
        <w:t>二次提醒函；在领取中标通知书之日起20个工作日内仍未提交的，视其放弃中标。并</w:t>
      </w:r>
      <w:r>
        <w:rPr>
          <w:rFonts w:hint="eastAsia" w:ascii="宋体" w:hAnsi="宋体" w:eastAsia="宋体" w:cs="宋体"/>
          <w:color w:val="auto"/>
          <w:spacing w:val="-2"/>
          <w:sz w:val="24"/>
          <w:szCs w:val="24"/>
          <w:highlight w:val="none"/>
        </w:rPr>
        <w:t>由招标人通报建设行政管理部门。如采用商业保函、银行保函或保险合同方式缴纳履约保证金，在保函或保险合同到期前一个月，中标人须主动办理续期手续或提交新的商业</w:t>
      </w:r>
      <w:r>
        <w:rPr>
          <w:rFonts w:hint="eastAsia" w:ascii="宋体" w:hAnsi="宋体" w:eastAsia="宋体" w:cs="宋体"/>
          <w:color w:val="auto"/>
          <w:spacing w:val="-1"/>
          <w:sz w:val="24"/>
          <w:szCs w:val="24"/>
          <w:highlight w:val="none"/>
        </w:rPr>
        <w:t>保函、银行保函或保险合同。</w:t>
      </w:r>
    </w:p>
    <w:p w14:paraId="03CC3AE0">
      <w:pPr>
        <w:keepNext w:val="0"/>
        <w:keepLines w:val="0"/>
        <w:pageBreakBefore w:val="0"/>
        <w:widowControl w:val="0"/>
        <w:kinsoku w:val="0"/>
        <w:overflowPunct/>
        <w:topLinePunct w:val="0"/>
        <w:autoSpaceDE w:val="0"/>
        <w:autoSpaceDN w:val="0"/>
        <w:bidi w:val="0"/>
        <w:adjustRightInd w:val="0"/>
        <w:snapToGrid w:val="0"/>
        <w:spacing w:before="152" w:line="360" w:lineRule="auto"/>
        <w:ind w:left="12" w:right="108" w:firstLine="474"/>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3.4  </w:t>
      </w:r>
      <w:r>
        <w:rPr>
          <w:rFonts w:hint="eastAsia" w:ascii="宋体" w:hAnsi="宋体" w:eastAsia="宋体" w:cs="宋体"/>
          <w:color w:val="auto"/>
          <w:sz w:val="24"/>
          <w:szCs w:val="24"/>
          <w:highlight w:val="none"/>
        </w:rPr>
        <w:t>在工程实施过程中，如果承包人（即招标阶段的中标人，下同）由于自身的资</w:t>
      </w:r>
      <w:r>
        <w:rPr>
          <w:rFonts w:hint="eastAsia" w:ascii="宋体" w:hAnsi="宋体" w:eastAsia="宋体" w:cs="宋体"/>
          <w:color w:val="auto"/>
          <w:spacing w:val="-2"/>
          <w:sz w:val="24"/>
          <w:szCs w:val="24"/>
          <w:highlight w:val="none"/>
        </w:rPr>
        <w:t>金、技术、质量、非不可抗力等原因给发包人（即招标阶段的招标人，下同）造成经济</w:t>
      </w:r>
      <w:r>
        <w:rPr>
          <w:rFonts w:hint="eastAsia" w:ascii="宋体" w:hAnsi="宋体" w:eastAsia="宋体" w:cs="宋体"/>
          <w:color w:val="auto"/>
          <w:spacing w:val="-1"/>
          <w:sz w:val="24"/>
          <w:szCs w:val="24"/>
          <w:highlight w:val="none"/>
        </w:rPr>
        <w:t>损失，发包人有权扣划相应金额的履约保证。</w:t>
      </w:r>
    </w:p>
    <w:p w14:paraId="3E738746">
      <w:pPr>
        <w:keepNext w:val="0"/>
        <w:keepLines w:val="0"/>
        <w:pageBreakBefore w:val="0"/>
        <w:widowControl w:val="0"/>
        <w:kinsoku w:val="0"/>
        <w:overflowPunct/>
        <w:topLinePunct w:val="0"/>
        <w:autoSpaceDE w:val="0"/>
        <w:autoSpaceDN w:val="0"/>
        <w:bidi w:val="0"/>
        <w:adjustRightInd w:val="0"/>
        <w:snapToGrid w:val="0"/>
        <w:spacing w:before="154" w:line="360" w:lineRule="auto"/>
        <w:ind w:left="486"/>
        <w:textAlignment w:val="baseline"/>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 xml:space="preserve">3.5  </w:t>
      </w:r>
      <w:r>
        <w:rPr>
          <w:rFonts w:hint="eastAsia" w:ascii="宋体" w:hAnsi="宋体" w:eastAsia="宋体" w:cs="宋体"/>
          <w:color w:val="auto"/>
          <w:sz w:val="24"/>
          <w:szCs w:val="24"/>
          <w:highlight w:val="none"/>
        </w:rPr>
        <w:t>项目通过竣工验收之日后</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z w:val="24"/>
          <w:szCs w:val="24"/>
          <w:highlight w:val="none"/>
        </w:rPr>
        <w:t>28 天内，发包人将履</w:t>
      </w:r>
      <w:r>
        <w:rPr>
          <w:rFonts w:hint="eastAsia" w:ascii="宋体" w:hAnsi="宋体" w:eastAsia="宋体" w:cs="宋体"/>
          <w:color w:val="auto"/>
          <w:spacing w:val="-1"/>
          <w:sz w:val="24"/>
          <w:szCs w:val="24"/>
          <w:highlight w:val="none"/>
        </w:rPr>
        <w:t>约保证退还给承包人。</w:t>
      </w:r>
    </w:p>
    <w:p w14:paraId="2AC22F1D">
      <w:pPr>
        <w:spacing w:before="151" w:line="360" w:lineRule="auto"/>
        <w:ind w:left="476"/>
        <w:outlineLvl w:val="2"/>
        <w:rPr>
          <w:rFonts w:hint="eastAsia" w:ascii="宋体" w:hAnsi="宋体" w:eastAsia="宋体" w:cs="宋体"/>
          <w:b/>
          <w:bCs/>
          <w:color w:val="auto"/>
          <w:spacing w:val="-11"/>
          <w:sz w:val="24"/>
          <w:szCs w:val="24"/>
          <w:highlight w:val="none"/>
        </w:rPr>
      </w:pPr>
      <w:bookmarkStart w:id="165" w:name="_Toc31215"/>
      <w:bookmarkStart w:id="166" w:name="_Toc8851"/>
      <w:r>
        <w:rPr>
          <w:rFonts w:hint="eastAsia" w:ascii="宋体" w:hAnsi="宋体" w:eastAsia="宋体" w:cs="宋体"/>
          <w:b/>
          <w:bCs/>
          <w:color w:val="auto"/>
          <w:spacing w:val="-11"/>
          <w:sz w:val="24"/>
          <w:szCs w:val="24"/>
          <w:highlight w:val="none"/>
        </w:rPr>
        <w:t>4</w:t>
      </w:r>
      <w:r>
        <w:rPr>
          <w:rFonts w:hint="eastAsia" w:ascii="宋体" w:hAnsi="宋体" w:eastAsia="宋体" w:cs="宋体"/>
          <w:b/>
          <w:bCs/>
          <w:color w:val="auto"/>
          <w:spacing w:val="-11"/>
          <w:sz w:val="24"/>
          <w:szCs w:val="24"/>
          <w:highlight w:val="none"/>
          <w:lang w:eastAsia="zh-CN"/>
        </w:rPr>
        <w:t>.</w:t>
      </w:r>
      <w:r>
        <w:rPr>
          <w:rFonts w:hint="eastAsia" w:ascii="宋体" w:hAnsi="宋体" w:eastAsia="宋体" w:cs="宋体"/>
          <w:b/>
          <w:bCs/>
          <w:color w:val="auto"/>
          <w:spacing w:val="-11"/>
          <w:sz w:val="24"/>
          <w:szCs w:val="24"/>
          <w:highlight w:val="none"/>
        </w:rPr>
        <w:t>合同订立</w:t>
      </w:r>
      <w:bookmarkEnd w:id="165"/>
      <w:bookmarkEnd w:id="166"/>
    </w:p>
    <w:p w14:paraId="7ECD82C0">
      <w:pPr>
        <w:spacing w:before="150" w:line="360" w:lineRule="auto"/>
        <w:ind w:left="13" w:right="108"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4.1  </w:t>
      </w:r>
      <w:r>
        <w:rPr>
          <w:rFonts w:hint="eastAsia" w:ascii="宋体" w:hAnsi="宋体" w:eastAsia="宋体" w:cs="宋体"/>
          <w:color w:val="auto"/>
          <w:sz w:val="24"/>
          <w:szCs w:val="24"/>
          <w:highlight w:val="none"/>
        </w:rPr>
        <w:t>招标人应当自中标通知书发出之日起</w:t>
      </w:r>
      <w:r>
        <w:rPr>
          <w:rFonts w:hint="eastAsia" w:ascii="宋体" w:hAnsi="宋体" w:eastAsia="宋体" w:cs="宋体"/>
          <w:color w:val="auto"/>
          <w:sz w:val="24"/>
          <w:szCs w:val="24"/>
          <w:highlight w:val="none"/>
          <w:u w:val="single"/>
          <w:lang w:val="en-US" w:eastAsia="zh-CN"/>
        </w:rPr>
        <w:t>30</w:t>
      </w:r>
      <w:r>
        <w:rPr>
          <w:rFonts w:hint="eastAsia" w:ascii="宋体" w:hAnsi="宋体" w:eastAsia="宋体" w:cs="宋体"/>
          <w:color w:val="auto"/>
          <w:sz w:val="24"/>
          <w:szCs w:val="24"/>
          <w:highlight w:val="none"/>
        </w:rPr>
        <w:t>日内，按照招标文件、中标人的投标</w:t>
      </w:r>
      <w:r>
        <w:rPr>
          <w:rFonts w:hint="eastAsia" w:ascii="宋体" w:hAnsi="宋体" w:eastAsia="宋体" w:cs="宋体"/>
          <w:color w:val="auto"/>
          <w:spacing w:val="-1"/>
          <w:sz w:val="24"/>
          <w:szCs w:val="24"/>
          <w:highlight w:val="none"/>
        </w:rPr>
        <w:t>文件与中标人订立书面合同。</w:t>
      </w:r>
    </w:p>
    <w:p w14:paraId="6CC66F44">
      <w:pPr>
        <w:spacing w:before="150" w:line="360" w:lineRule="auto"/>
        <w:ind w:left="13" w:right="108" w:firstLine="474"/>
        <w:rPr>
          <w:rFonts w:hint="eastAsia" w:ascii="宋体" w:hAnsi="宋体" w:eastAsia="宋体" w:cs="宋体"/>
          <w:b w:val="0"/>
          <w:bCs w:val="0"/>
          <w:color w:val="auto"/>
          <w:sz w:val="24"/>
          <w:szCs w:val="24"/>
          <w:highlight w:val="none"/>
        </w:rPr>
      </w:pPr>
      <w:bookmarkStart w:id="167" w:name="_Toc24043"/>
      <w:r>
        <w:rPr>
          <w:rFonts w:hint="eastAsia" w:ascii="宋体" w:hAnsi="宋体" w:eastAsia="宋体" w:cs="宋体"/>
          <w:b/>
          <w:bCs/>
          <w:color w:val="auto"/>
          <w:sz w:val="24"/>
          <w:szCs w:val="24"/>
          <w:highlight w:val="none"/>
        </w:rPr>
        <w:t xml:space="preserve">4.2  </w:t>
      </w:r>
      <w:r>
        <w:rPr>
          <w:rFonts w:hint="eastAsia" w:ascii="宋体" w:hAnsi="宋体" w:eastAsia="宋体" w:cs="宋体"/>
          <w:b w:val="0"/>
          <w:bCs w:val="0"/>
          <w:color w:val="auto"/>
          <w:sz w:val="24"/>
          <w:szCs w:val="24"/>
          <w:highlight w:val="none"/>
        </w:rPr>
        <w:t>不正常报价的梳理和确认</w:t>
      </w:r>
      <w:bookmarkEnd w:id="167"/>
    </w:p>
    <w:p w14:paraId="0F0E66BC">
      <w:pPr>
        <w:spacing w:before="154" w:line="360" w:lineRule="auto"/>
        <w:ind w:left="14" w:right="64" w:firstLine="473"/>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4.2.1 合同订立期间，在不改变中标人的投标总价的前提下，招标人应对中标人的</w:t>
      </w:r>
      <w:r>
        <w:rPr>
          <w:rFonts w:hint="eastAsia" w:ascii="宋体" w:hAnsi="宋体" w:eastAsia="宋体" w:cs="宋体"/>
          <w:b/>
          <w:bCs/>
          <w:color w:val="auto"/>
          <w:spacing w:val="-3"/>
          <w:sz w:val="24"/>
          <w:szCs w:val="24"/>
          <w:highlight w:val="none"/>
        </w:rPr>
        <w:t>投标报价进行全面分析和整理，从而发现并提取其中可能存在的算术性错误、错漏项、不平衡报价等不正常报价，并修正其中的算术性错误。</w:t>
      </w:r>
      <w:r>
        <w:rPr>
          <w:rFonts w:hint="eastAsia" w:ascii="宋体" w:hAnsi="宋体" w:eastAsia="宋体" w:cs="宋体"/>
          <w:color w:val="auto"/>
          <w:spacing w:val="-3"/>
          <w:sz w:val="24"/>
          <w:szCs w:val="24"/>
          <w:highlight w:val="none"/>
        </w:rPr>
        <w:t>招标人不具备</w:t>
      </w:r>
      <w:r>
        <w:rPr>
          <w:rFonts w:hint="eastAsia" w:ascii="宋体" w:hAnsi="宋体" w:eastAsia="宋体" w:cs="宋体"/>
          <w:color w:val="auto"/>
          <w:spacing w:val="-4"/>
          <w:sz w:val="24"/>
          <w:szCs w:val="24"/>
          <w:highlight w:val="none"/>
        </w:rPr>
        <w:t>以上能力的，可授</w:t>
      </w:r>
      <w:r>
        <w:rPr>
          <w:rFonts w:hint="eastAsia" w:ascii="宋体" w:hAnsi="宋体" w:eastAsia="宋体" w:cs="宋体"/>
          <w:color w:val="auto"/>
          <w:spacing w:val="-1"/>
          <w:sz w:val="24"/>
          <w:szCs w:val="24"/>
          <w:highlight w:val="none"/>
        </w:rPr>
        <w:t>权编制本项目招标控制价的造价咨询单位实施。</w:t>
      </w:r>
    </w:p>
    <w:p w14:paraId="60493062">
      <w:pPr>
        <w:spacing w:before="121" w:line="360" w:lineRule="auto"/>
        <w:ind w:left="14" w:right="65" w:firstLine="473"/>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4.2.2  </w:t>
      </w:r>
      <w:r>
        <w:rPr>
          <w:rFonts w:hint="eastAsia" w:ascii="宋体" w:hAnsi="宋体" w:eastAsia="宋体" w:cs="宋体"/>
          <w:color w:val="auto"/>
          <w:spacing w:val="2"/>
          <w:sz w:val="24"/>
          <w:szCs w:val="24"/>
          <w:highlight w:val="none"/>
        </w:rPr>
        <w:t>算术性错误的分析和修正。投标报价汇</w:t>
      </w:r>
      <w:r>
        <w:rPr>
          <w:rFonts w:hint="eastAsia" w:ascii="宋体" w:hAnsi="宋体" w:eastAsia="宋体" w:cs="宋体"/>
          <w:color w:val="auto"/>
          <w:spacing w:val="1"/>
          <w:sz w:val="24"/>
          <w:szCs w:val="24"/>
          <w:highlight w:val="none"/>
        </w:rPr>
        <w:t>总表中，投标总价与各分项费用之和</w:t>
      </w:r>
      <w:r>
        <w:rPr>
          <w:rFonts w:hint="eastAsia" w:ascii="宋体" w:hAnsi="宋体" w:eastAsia="宋体" w:cs="宋体"/>
          <w:color w:val="auto"/>
          <w:spacing w:val="-2"/>
          <w:sz w:val="24"/>
          <w:szCs w:val="24"/>
          <w:highlight w:val="none"/>
        </w:rPr>
        <w:t>不一致的，以投标总价为准修正分项费用；投标报价汇总表的各分项费用与对应分项表中的费用不一致的，以投标报价汇总表中的分项费用为准修正对应分项表中的费用；各</w:t>
      </w:r>
      <w:r>
        <w:rPr>
          <w:rFonts w:hint="eastAsia" w:ascii="宋体" w:hAnsi="宋体" w:eastAsia="宋体" w:cs="宋体"/>
          <w:color w:val="auto"/>
          <w:sz w:val="24"/>
          <w:szCs w:val="24"/>
          <w:highlight w:val="none"/>
        </w:rPr>
        <w:t>分项表中总价金额与依据单价计算出的结果不</w:t>
      </w:r>
      <w:r>
        <w:rPr>
          <w:rFonts w:hint="eastAsia" w:ascii="宋体" w:hAnsi="宋体" w:eastAsia="宋体" w:cs="宋体"/>
          <w:color w:val="auto"/>
          <w:spacing w:val="-1"/>
          <w:sz w:val="24"/>
          <w:szCs w:val="24"/>
          <w:highlight w:val="none"/>
        </w:rPr>
        <w:t>一致的，以总价为准修正单价。</w:t>
      </w:r>
    </w:p>
    <w:p w14:paraId="7BB0AF98">
      <w:pPr>
        <w:spacing w:before="157" w:line="360" w:lineRule="auto"/>
        <w:ind w:left="12" w:right="66"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4.2.3  </w:t>
      </w:r>
      <w:r>
        <w:rPr>
          <w:rFonts w:hint="eastAsia" w:ascii="宋体" w:hAnsi="宋体" w:eastAsia="宋体" w:cs="宋体"/>
          <w:color w:val="auto"/>
          <w:spacing w:val="2"/>
          <w:sz w:val="24"/>
          <w:szCs w:val="24"/>
          <w:highlight w:val="none"/>
        </w:rPr>
        <w:t>错漏项的认定。中标人已标价工程量清</w:t>
      </w:r>
      <w:r>
        <w:rPr>
          <w:rFonts w:hint="eastAsia" w:ascii="宋体" w:hAnsi="宋体" w:eastAsia="宋体" w:cs="宋体"/>
          <w:color w:val="auto"/>
          <w:spacing w:val="1"/>
          <w:sz w:val="24"/>
          <w:szCs w:val="24"/>
          <w:highlight w:val="none"/>
        </w:rPr>
        <w:t>单中，任一清单项目未填报价格或价</w:t>
      </w:r>
      <w:r>
        <w:rPr>
          <w:rFonts w:hint="eastAsia" w:ascii="宋体" w:hAnsi="宋体" w:eastAsia="宋体" w:cs="宋体"/>
          <w:color w:val="auto"/>
          <w:spacing w:val="-1"/>
          <w:sz w:val="24"/>
          <w:szCs w:val="24"/>
          <w:highlight w:val="none"/>
        </w:rPr>
        <w:t>格为零的，视为错漏项。</w:t>
      </w:r>
    </w:p>
    <w:p w14:paraId="1AF8E3BC">
      <w:pPr>
        <w:spacing w:before="121" w:line="360" w:lineRule="auto"/>
        <w:ind w:firstLine="490"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4.2.4  </w:t>
      </w:r>
      <w:r>
        <w:rPr>
          <w:rFonts w:hint="eastAsia" w:ascii="宋体" w:hAnsi="宋体" w:eastAsia="宋体" w:cs="宋体"/>
          <w:color w:val="auto"/>
          <w:spacing w:val="2"/>
          <w:sz w:val="24"/>
          <w:szCs w:val="24"/>
          <w:highlight w:val="none"/>
        </w:rPr>
        <w:t>不平衡报价的认定。经修正算术性错误后的中标人已标价工程量清单中，对于投标报价中综合单价相对招标控制价《分部分项工程和单价措施项目清单与计价表》中对应综合单价的偏差大于±15%的清</w:t>
      </w:r>
      <w:r>
        <w:rPr>
          <w:rFonts w:hint="eastAsia" w:ascii="宋体" w:hAnsi="宋体" w:eastAsia="宋体" w:cs="宋体"/>
          <w:color w:val="auto"/>
          <w:spacing w:val="-3"/>
          <w:sz w:val="24"/>
          <w:szCs w:val="24"/>
          <w:highlight w:val="none"/>
        </w:rPr>
        <w:t>单项目，视为不平衡报价项目。</w:t>
      </w:r>
    </w:p>
    <w:p w14:paraId="48F72EBF">
      <w:pPr>
        <w:spacing w:before="146" w:line="360" w:lineRule="auto"/>
        <w:ind w:left="10" w:right="65" w:firstLine="478"/>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4.2.5 </w:t>
      </w:r>
      <w:r>
        <w:rPr>
          <w:rFonts w:hint="eastAsia" w:ascii="宋体" w:hAnsi="宋体" w:eastAsia="宋体" w:cs="宋体"/>
          <w:color w:val="auto"/>
          <w:spacing w:val="-3"/>
          <w:sz w:val="24"/>
          <w:szCs w:val="24"/>
          <w:highlight w:val="none"/>
        </w:rPr>
        <w:t>施工合同签订前，招标人或其授权的造价咨询单位应就发现的以上所有不平衡报价进行修正，形成《不平衡报价修正报告》，并由招标人和中标人共同签章确认，构成施工合同的组成部分。</w:t>
      </w:r>
    </w:p>
    <w:p w14:paraId="489EB373">
      <w:pPr>
        <w:spacing w:before="34" w:line="360" w:lineRule="auto"/>
        <w:ind w:left="12" w:right="65" w:firstLine="47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4.2.6 合同履行过程中，被认定为错漏项的清单项目，结算时按照第三章“拟签订</w:t>
      </w:r>
      <w:r>
        <w:rPr>
          <w:rFonts w:hint="eastAsia" w:ascii="宋体" w:hAnsi="宋体" w:eastAsia="宋体" w:cs="宋体"/>
          <w:b/>
          <w:bCs/>
          <w:color w:val="auto"/>
          <w:spacing w:val="-6"/>
          <w:sz w:val="24"/>
          <w:szCs w:val="24"/>
          <w:highlight w:val="none"/>
        </w:rPr>
        <w:t>合同的主要条款</w:t>
      </w:r>
      <w:r>
        <w:rPr>
          <w:rFonts w:hint="eastAsia" w:ascii="宋体" w:hAnsi="宋体" w:eastAsia="宋体" w:cs="宋体"/>
          <w:color w:val="auto"/>
          <w:spacing w:val="-77"/>
          <w:sz w:val="24"/>
          <w:szCs w:val="24"/>
          <w:highlight w:val="none"/>
        </w:rPr>
        <w:t xml:space="preserve"> </w:t>
      </w:r>
      <w:r>
        <w:rPr>
          <w:rFonts w:hint="eastAsia" w:ascii="宋体" w:hAnsi="宋体" w:eastAsia="宋体" w:cs="宋体"/>
          <w:b/>
          <w:bCs/>
          <w:color w:val="auto"/>
          <w:spacing w:val="-6"/>
          <w:sz w:val="24"/>
          <w:szCs w:val="24"/>
          <w:highlight w:val="none"/>
        </w:rPr>
        <w:t>”规定处理。</w:t>
      </w:r>
    </w:p>
    <w:p w14:paraId="46FD6D81">
      <w:pPr>
        <w:spacing w:before="33" w:line="360" w:lineRule="auto"/>
        <w:ind w:left="12" w:right="38" w:firstLine="476"/>
        <w:jc w:val="both"/>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4.2.7  合同履行过程中，合同约定的调</w:t>
      </w:r>
      <w:r>
        <w:rPr>
          <w:rFonts w:hint="eastAsia" w:ascii="宋体" w:hAnsi="宋体" w:eastAsia="宋体" w:cs="宋体"/>
          <w:b/>
          <w:bCs/>
          <w:color w:val="auto"/>
          <w:spacing w:val="-1"/>
          <w:sz w:val="24"/>
          <w:szCs w:val="24"/>
          <w:highlight w:val="none"/>
        </w:rPr>
        <w:t>整因素（如工程量偏差、工程变更、项目特</w:t>
      </w:r>
      <w:r>
        <w:rPr>
          <w:rFonts w:hint="eastAsia" w:ascii="宋体" w:hAnsi="宋体" w:eastAsia="宋体" w:cs="宋体"/>
          <w:b/>
          <w:bCs/>
          <w:color w:val="auto"/>
          <w:spacing w:val="-4"/>
          <w:sz w:val="24"/>
          <w:szCs w:val="24"/>
          <w:highlight w:val="none"/>
        </w:rPr>
        <w:t>征不符、招标工程量清单缺项等）出现时，被认定为不平衡报价的清单项目以及</w:t>
      </w:r>
      <w:r>
        <w:rPr>
          <w:rFonts w:hint="eastAsia" w:ascii="宋体" w:hAnsi="宋体" w:eastAsia="宋体" w:cs="宋体"/>
          <w:b/>
          <w:bCs/>
          <w:color w:val="auto"/>
          <w:spacing w:val="-5"/>
          <w:sz w:val="24"/>
          <w:szCs w:val="24"/>
          <w:highlight w:val="none"/>
        </w:rPr>
        <w:t>采用被</w:t>
      </w:r>
      <w:r>
        <w:rPr>
          <w:rFonts w:hint="eastAsia" w:ascii="宋体" w:hAnsi="宋体" w:eastAsia="宋体" w:cs="宋体"/>
          <w:b/>
          <w:bCs/>
          <w:color w:val="auto"/>
          <w:spacing w:val="-3"/>
          <w:sz w:val="24"/>
          <w:szCs w:val="24"/>
          <w:highlight w:val="none"/>
        </w:rPr>
        <w:t>认定为不平衡报价的清单项目的价格作为取价（或参照取</w:t>
      </w:r>
      <w:r>
        <w:rPr>
          <w:rFonts w:hint="eastAsia" w:ascii="宋体" w:hAnsi="宋体" w:eastAsia="宋体" w:cs="宋体"/>
          <w:b/>
          <w:bCs/>
          <w:color w:val="auto"/>
          <w:spacing w:val="-4"/>
          <w:sz w:val="24"/>
          <w:szCs w:val="24"/>
          <w:highlight w:val="none"/>
        </w:rPr>
        <w:t>价）依据的变更、新增项目，</w:t>
      </w: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spacing w:val="-3"/>
          <w:sz w:val="24"/>
          <w:szCs w:val="24"/>
          <w:highlight w:val="none"/>
        </w:rPr>
        <w:t>按照第三章“拟签订合同的主要条款</w:t>
      </w:r>
      <w:r>
        <w:rPr>
          <w:rFonts w:hint="eastAsia" w:ascii="宋体" w:hAnsi="宋体" w:eastAsia="宋体" w:cs="宋体"/>
          <w:color w:val="auto"/>
          <w:spacing w:val="-86"/>
          <w:sz w:val="24"/>
          <w:szCs w:val="24"/>
          <w:highlight w:val="none"/>
        </w:rPr>
        <w:t xml:space="preserve"> </w:t>
      </w:r>
      <w:r>
        <w:rPr>
          <w:rFonts w:hint="eastAsia" w:ascii="宋体" w:hAnsi="宋体" w:eastAsia="宋体" w:cs="宋体"/>
          <w:b/>
          <w:bCs/>
          <w:color w:val="auto"/>
          <w:spacing w:val="-3"/>
          <w:sz w:val="24"/>
          <w:szCs w:val="24"/>
          <w:highlight w:val="none"/>
        </w:rPr>
        <w:t>”有关规定调整</w:t>
      </w:r>
      <w:r>
        <w:rPr>
          <w:rFonts w:hint="eastAsia" w:ascii="宋体" w:hAnsi="宋体" w:eastAsia="宋体" w:cs="宋体"/>
          <w:b/>
          <w:bCs/>
          <w:color w:val="auto"/>
          <w:spacing w:val="-4"/>
          <w:sz w:val="24"/>
          <w:szCs w:val="24"/>
          <w:highlight w:val="none"/>
        </w:rPr>
        <w:t>合同价款。</w:t>
      </w:r>
    </w:p>
    <w:p w14:paraId="3442E2E5">
      <w:pPr>
        <w:spacing w:before="120" w:line="360" w:lineRule="auto"/>
        <w:ind w:left="11" w:right="28" w:firstLine="476"/>
        <w:rPr>
          <w:rFonts w:hint="eastAsia" w:ascii="宋体" w:hAnsi="宋体" w:eastAsia="宋体" w:cs="宋体"/>
          <w:b/>
          <w:bCs/>
          <w:color w:val="auto"/>
          <w:spacing w:val="-4"/>
          <w:sz w:val="24"/>
          <w:szCs w:val="24"/>
          <w:highlight w:val="none"/>
        </w:rPr>
      </w:pPr>
      <w:bookmarkStart w:id="168" w:name="_Toc17784"/>
      <w:r>
        <w:rPr>
          <w:rFonts w:hint="eastAsia" w:ascii="宋体" w:hAnsi="宋体" w:eastAsia="宋体" w:cs="宋体"/>
          <w:b/>
          <w:bCs/>
          <w:color w:val="auto"/>
          <w:spacing w:val="-4"/>
          <w:sz w:val="24"/>
          <w:szCs w:val="24"/>
          <w:highlight w:val="none"/>
        </w:rPr>
        <w:t xml:space="preserve">4.3  </w:t>
      </w:r>
      <w:r>
        <w:rPr>
          <w:rFonts w:hint="eastAsia" w:ascii="宋体" w:hAnsi="宋体" w:eastAsia="宋体" w:cs="宋体"/>
          <w:b w:val="0"/>
          <w:bCs w:val="0"/>
          <w:color w:val="auto"/>
          <w:spacing w:val="-4"/>
          <w:sz w:val="24"/>
          <w:szCs w:val="24"/>
          <w:highlight w:val="none"/>
        </w:rPr>
        <w:t>本招标项目合同计价方式为：</w:t>
      </w:r>
      <w:r>
        <w:rPr>
          <w:rFonts w:hint="eastAsia" w:ascii="宋体" w:hAnsi="宋体" w:eastAsia="宋体" w:cs="宋体"/>
          <w:b w:val="0"/>
          <w:bCs w:val="0"/>
          <w:color w:val="auto"/>
          <w:spacing w:val="-4"/>
          <w:sz w:val="24"/>
          <w:szCs w:val="24"/>
          <w:highlight w:val="none"/>
          <w:u w:val="single"/>
          <w:lang w:eastAsia="zh-CN"/>
        </w:rPr>
        <w:t>单</w:t>
      </w:r>
      <w:r>
        <w:rPr>
          <w:rFonts w:hint="eastAsia" w:ascii="宋体" w:hAnsi="宋体" w:eastAsia="宋体" w:cs="宋体"/>
          <w:b w:val="0"/>
          <w:bCs w:val="0"/>
          <w:color w:val="auto"/>
          <w:spacing w:val="-4"/>
          <w:sz w:val="24"/>
          <w:szCs w:val="24"/>
          <w:highlight w:val="none"/>
          <w:u w:val="single"/>
        </w:rPr>
        <w:t>价</w:t>
      </w:r>
      <w:r>
        <w:rPr>
          <w:rFonts w:hint="eastAsia" w:ascii="宋体" w:hAnsi="宋体" w:eastAsia="宋体" w:cs="宋体"/>
          <w:b w:val="0"/>
          <w:bCs w:val="0"/>
          <w:color w:val="auto"/>
          <w:spacing w:val="-4"/>
          <w:sz w:val="24"/>
          <w:szCs w:val="24"/>
          <w:highlight w:val="none"/>
        </w:rPr>
        <w:t>合同。</w:t>
      </w:r>
      <w:bookmarkEnd w:id="168"/>
    </w:p>
    <w:p w14:paraId="2F349CEC">
      <w:pPr>
        <w:spacing w:before="120" w:line="360" w:lineRule="auto"/>
        <w:ind w:left="11" w:right="28"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 xml:space="preserve">4.4  </w:t>
      </w:r>
      <w:r>
        <w:rPr>
          <w:rFonts w:hint="eastAsia" w:ascii="宋体" w:hAnsi="宋体" w:eastAsia="宋体" w:cs="宋体"/>
          <w:color w:val="auto"/>
          <w:spacing w:val="-4"/>
          <w:sz w:val="24"/>
          <w:szCs w:val="24"/>
          <w:highlight w:val="none"/>
        </w:rPr>
        <w:t>合同的标的、质量、履行期限条款和合同的价款、单</w:t>
      </w:r>
      <w:r>
        <w:rPr>
          <w:rFonts w:hint="eastAsia" w:ascii="宋体" w:hAnsi="宋体" w:eastAsia="宋体" w:cs="宋体"/>
          <w:color w:val="auto"/>
          <w:spacing w:val="-5"/>
          <w:sz w:val="24"/>
          <w:szCs w:val="24"/>
          <w:highlight w:val="none"/>
        </w:rPr>
        <w:t>价、比例条款等主要条款，</w:t>
      </w:r>
      <w:r>
        <w:rPr>
          <w:rFonts w:hint="eastAsia" w:ascii="宋体" w:hAnsi="宋体" w:eastAsia="宋体" w:cs="宋体"/>
          <w:color w:val="auto"/>
          <w:spacing w:val="-2"/>
          <w:sz w:val="24"/>
          <w:szCs w:val="24"/>
          <w:highlight w:val="none"/>
        </w:rPr>
        <w:t>应当与招标文件、中标人的投标文件的内容一致。中标人在签订合同时不得向招标人提出附加条件。</w:t>
      </w:r>
    </w:p>
    <w:p w14:paraId="7B139D88">
      <w:pPr>
        <w:spacing w:before="158" w:line="360" w:lineRule="auto"/>
        <w:ind w:left="12" w:right="9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4.5  </w:t>
      </w:r>
      <w:r>
        <w:rPr>
          <w:rFonts w:hint="eastAsia" w:ascii="宋体" w:hAnsi="宋体" w:eastAsia="宋体" w:cs="宋体"/>
          <w:color w:val="auto"/>
          <w:spacing w:val="-3"/>
          <w:sz w:val="24"/>
          <w:szCs w:val="24"/>
          <w:highlight w:val="none"/>
        </w:rPr>
        <w:t>若中标人在领取中标通知书之日起</w:t>
      </w:r>
      <w:r>
        <w:rPr>
          <w:rFonts w:hint="eastAsia" w:ascii="宋体" w:hAnsi="宋体" w:eastAsia="宋体" w:cs="宋体"/>
          <w:color w:val="auto"/>
          <w:spacing w:val="-4"/>
          <w:sz w:val="24"/>
          <w:szCs w:val="24"/>
          <w:highlight w:val="none"/>
        </w:rPr>
        <w:t>30天内仍未签订合同，招标人发出第一次提</w:t>
      </w:r>
      <w:r>
        <w:rPr>
          <w:rFonts w:hint="eastAsia" w:ascii="宋体" w:hAnsi="宋体" w:eastAsia="宋体" w:cs="宋体"/>
          <w:color w:val="auto"/>
          <w:spacing w:val="1"/>
          <w:sz w:val="24"/>
          <w:szCs w:val="24"/>
          <w:highlight w:val="none"/>
        </w:rPr>
        <w:t>醒函；在领取中标通知书之日起40天内仍未签订，招标人发出第二次提醒函；在</w:t>
      </w:r>
      <w:r>
        <w:rPr>
          <w:rFonts w:hint="eastAsia" w:ascii="宋体" w:hAnsi="宋体" w:eastAsia="宋体" w:cs="宋体"/>
          <w:color w:val="auto"/>
          <w:sz w:val="24"/>
          <w:szCs w:val="24"/>
          <w:highlight w:val="none"/>
        </w:rPr>
        <w:t>领取</w:t>
      </w:r>
      <w:r>
        <w:rPr>
          <w:rFonts w:hint="eastAsia" w:ascii="宋体" w:hAnsi="宋体" w:eastAsia="宋体" w:cs="宋体"/>
          <w:color w:val="auto"/>
          <w:spacing w:val="-1"/>
          <w:sz w:val="24"/>
          <w:szCs w:val="24"/>
          <w:highlight w:val="none"/>
        </w:rPr>
        <w:t>中标通知书之日起</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1"/>
          <w:sz w:val="24"/>
          <w:szCs w:val="24"/>
          <w:highlight w:val="none"/>
        </w:rPr>
        <w:t>45 天内仍未签订，视其放弃中标。</w:t>
      </w:r>
    </w:p>
    <w:p w14:paraId="5665F3E1">
      <w:pPr>
        <w:spacing w:before="155" w:line="360" w:lineRule="auto"/>
        <w:ind w:left="12" w:right="82" w:firstLine="474"/>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 xml:space="preserve">4.6  </w:t>
      </w:r>
      <w:r>
        <w:rPr>
          <w:rFonts w:hint="eastAsia" w:ascii="宋体" w:hAnsi="宋体" w:eastAsia="宋体" w:cs="宋体"/>
          <w:color w:val="auto"/>
          <w:sz w:val="24"/>
          <w:szCs w:val="24"/>
          <w:highlight w:val="none"/>
        </w:rPr>
        <w:t>在书面合同订立之日起2个工作日内，由中标人或招标代理机构将合同上传至</w:t>
      </w:r>
      <w:r>
        <w:rPr>
          <w:rFonts w:hint="eastAsia" w:ascii="宋体" w:hAnsi="宋体" w:eastAsia="宋体" w:cs="宋体"/>
          <w:color w:val="auto"/>
          <w:spacing w:val="-2"/>
          <w:sz w:val="24"/>
          <w:szCs w:val="24"/>
          <w:highlight w:val="none"/>
        </w:rPr>
        <w:t>建设工程交易系统，并发起退还投标保证的申请。韶关市公共资源交易中心在收到申请之日起3个工作日内，将投标保证金（或银行保函）退还给中标人和其他中标候选人。</w:t>
      </w:r>
    </w:p>
    <w:p w14:paraId="2C73A4D6">
      <w:pPr>
        <w:spacing w:before="151" w:line="360" w:lineRule="auto"/>
        <w:ind w:left="476"/>
        <w:outlineLvl w:val="2"/>
        <w:rPr>
          <w:rFonts w:hint="eastAsia" w:ascii="宋体" w:hAnsi="宋体" w:eastAsia="宋体" w:cs="宋体"/>
          <w:b/>
          <w:bCs/>
          <w:color w:val="auto"/>
          <w:spacing w:val="-11"/>
          <w:sz w:val="24"/>
          <w:szCs w:val="24"/>
          <w:highlight w:val="none"/>
        </w:rPr>
      </w:pPr>
      <w:bookmarkStart w:id="169" w:name="_Toc9178"/>
      <w:bookmarkStart w:id="170" w:name="_Toc23772"/>
      <w:r>
        <w:rPr>
          <w:rFonts w:hint="eastAsia" w:ascii="宋体" w:hAnsi="宋体" w:eastAsia="宋体" w:cs="宋体"/>
          <w:b/>
          <w:bCs/>
          <w:color w:val="auto"/>
          <w:spacing w:val="-11"/>
          <w:sz w:val="24"/>
          <w:szCs w:val="24"/>
          <w:highlight w:val="none"/>
        </w:rPr>
        <w:t>5</w:t>
      </w:r>
      <w:r>
        <w:rPr>
          <w:rFonts w:hint="eastAsia" w:ascii="宋体" w:hAnsi="宋体" w:eastAsia="宋体" w:cs="宋体"/>
          <w:b/>
          <w:bCs/>
          <w:color w:val="auto"/>
          <w:spacing w:val="-11"/>
          <w:sz w:val="24"/>
          <w:szCs w:val="24"/>
          <w:highlight w:val="none"/>
          <w:lang w:eastAsia="zh-CN"/>
        </w:rPr>
        <w:t>.</w:t>
      </w:r>
      <w:r>
        <w:rPr>
          <w:rFonts w:hint="eastAsia" w:ascii="宋体" w:hAnsi="宋体" w:eastAsia="宋体" w:cs="宋体"/>
          <w:b/>
          <w:bCs/>
          <w:color w:val="auto"/>
          <w:spacing w:val="-11"/>
          <w:sz w:val="24"/>
          <w:szCs w:val="24"/>
          <w:highlight w:val="none"/>
        </w:rPr>
        <w:t>放弃中标的处理</w:t>
      </w:r>
      <w:bookmarkEnd w:id="169"/>
      <w:bookmarkEnd w:id="170"/>
    </w:p>
    <w:p w14:paraId="6DEC4651">
      <w:pPr>
        <w:spacing w:before="150" w:line="360" w:lineRule="auto"/>
        <w:ind w:left="12" w:right="91" w:firstLine="477"/>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5.1</w:t>
      </w:r>
      <w:r>
        <w:rPr>
          <w:rFonts w:hint="eastAsia" w:ascii="宋体" w:hAnsi="宋体" w:eastAsia="宋体" w:cs="宋体"/>
          <w:b/>
          <w:bCs/>
          <w:color w:val="auto"/>
          <w:spacing w:val="19"/>
          <w:w w:val="101"/>
          <w:sz w:val="24"/>
          <w:szCs w:val="24"/>
          <w:highlight w:val="none"/>
        </w:rPr>
        <w:t xml:space="preserve">  </w:t>
      </w:r>
      <w:r>
        <w:rPr>
          <w:rFonts w:hint="eastAsia" w:ascii="宋体" w:hAnsi="宋体" w:eastAsia="宋体" w:cs="宋体"/>
          <w:color w:val="auto"/>
          <w:spacing w:val="-1"/>
          <w:sz w:val="24"/>
          <w:szCs w:val="24"/>
          <w:highlight w:val="none"/>
        </w:rPr>
        <w:t>中标人无正当理由放弃中标的，取消其中标资格，其投标保证不予退还，给招</w:t>
      </w:r>
      <w:r>
        <w:rPr>
          <w:rFonts w:hint="eastAsia" w:ascii="宋体" w:hAnsi="宋体" w:eastAsia="宋体" w:cs="宋体"/>
          <w:color w:val="auto"/>
          <w:spacing w:val="-2"/>
          <w:sz w:val="24"/>
          <w:szCs w:val="24"/>
          <w:highlight w:val="none"/>
        </w:rPr>
        <w:t>标人造成的损失超过投标保证金额的，弃标人还应当对超过部分予以赔偿。招标人可按照评标委员会提交的中标候选人名单排序依次确定其他中标候选人为中标人，如果招标人认为其他中标候选人的条件明显不利于招标人的，也可以重新招标。因此种情况造成</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2"/>
          <w:sz w:val="24"/>
          <w:szCs w:val="24"/>
          <w:highlight w:val="none"/>
        </w:rPr>
        <w:t>招标人重新招标的，招标人可不接受该弃标人再次投标。同时，</w:t>
      </w:r>
      <w:r>
        <w:rPr>
          <w:rFonts w:hint="eastAsia" w:ascii="宋体" w:hAnsi="宋体" w:eastAsia="宋体" w:cs="宋体"/>
          <w:b/>
          <w:bCs/>
          <w:color w:val="auto"/>
          <w:spacing w:val="-2"/>
          <w:sz w:val="24"/>
          <w:szCs w:val="24"/>
          <w:highlight w:val="none"/>
        </w:rPr>
        <w:t>招</w:t>
      </w:r>
      <w:r>
        <w:rPr>
          <w:rFonts w:hint="eastAsia" w:ascii="宋体" w:hAnsi="宋体" w:eastAsia="宋体" w:cs="宋体"/>
          <w:b/>
          <w:bCs/>
          <w:color w:val="auto"/>
          <w:spacing w:val="-3"/>
          <w:sz w:val="24"/>
          <w:szCs w:val="24"/>
          <w:highlight w:val="none"/>
        </w:rPr>
        <w:t>标人应将该弃标人的失信行为向行政监督部门报告。</w:t>
      </w:r>
    </w:p>
    <w:p w14:paraId="0EA4DAFF">
      <w:pPr>
        <w:spacing w:before="79" w:line="360" w:lineRule="auto"/>
        <w:ind w:left="10" w:right="91" w:firstLine="479"/>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5"/>
          <w:sz w:val="24"/>
          <w:szCs w:val="24"/>
          <w:highlight w:val="none"/>
        </w:rPr>
        <w:t>5.2</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5"/>
          <w:sz w:val="24"/>
          <w:szCs w:val="24"/>
          <w:highlight w:val="none"/>
        </w:rPr>
        <w:t>中标人因不可抗力提出不能履行合同的，须在领取中标通知书之日起10天</w:t>
      </w:r>
      <w:r>
        <w:rPr>
          <w:rFonts w:hint="eastAsia" w:ascii="宋体" w:hAnsi="宋体" w:eastAsia="宋体" w:cs="宋体"/>
          <w:color w:val="auto"/>
          <w:spacing w:val="-6"/>
          <w:sz w:val="24"/>
          <w:szCs w:val="24"/>
          <w:highlight w:val="none"/>
        </w:rPr>
        <w:t>内提</w:t>
      </w:r>
      <w:r>
        <w:rPr>
          <w:rFonts w:hint="eastAsia" w:ascii="宋体" w:hAnsi="宋体" w:eastAsia="宋体" w:cs="宋体"/>
          <w:color w:val="auto"/>
          <w:spacing w:val="-2"/>
          <w:sz w:val="24"/>
          <w:szCs w:val="24"/>
          <w:highlight w:val="none"/>
        </w:rPr>
        <w:t>供有关证明文件或资料，其投标保证予以退还，招标人可按照评标委员会提出的中标候选人名单排序依次确定其他中标候选人为中标人。如果招标人认为其他中标候选人的条</w:t>
      </w:r>
      <w:bookmarkStart w:id="171" w:name="bookmark84"/>
      <w:bookmarkEnd w:id="171"/>
      <w:r>
        <w:rPr>
          <w:rFonts w:hint="eastAsia" w:ascii="宋体" w:hAnsi="宋体" w:eastAsia="宋体" w:cs="宋体"/>
          <w:color w:val="auto"/>
          <w:spacing w:val="-2"/>
          <w:sz w:val="24"/>
          <w:szCs w:val="24"/>
          <w:highlight w:val="none"/>
        </w:rPr>
        <w:t>件明显不利于招标人的，也可以重新招标</w:t>
      </w:r>
      <w:r>
        <w:rPr>
          <w:rFonts w:hint="eastAsia" w:ascii="宋体" w:hAnsi="宋体" w:eastAsia="宋体" w:cs="宋体"/>
          <w:color w:val="auto"/>
          <w:spacing w:val="-1"/>
          <w:sz w:val="24"/>
          <w:szCs w:val="24"/>
          <w:highlight w:val="none"/>
        </w:rPr>
        <w:t>。</w:t>
      </w:r>
    </w:p>
    <w:p w14:paraId="60A9BD5A">
      <w:pPr>
        <w:spacing w:before="79" w:line="360" w:lineRule="auto"/>
        <w:ind w:left="10" w:right="91" w:firstLine="479"/>
        <w:rPr>
          <w:rFonts w:hint="eastAsia" w:ascii="宋体" w:hAnsi="宋体" w:eastAsia="宋体" w:cs="宋体"/>
          <w:b/>
          <w:bCs/>
          <w:color w:val="auto"/>
          <w:spacing w:val="-2"/>
          <w:sz w:val="24"/>
          <w:szCs w:val="24"/>
          <w:highlight w:val="none"/>
        </w:rPr>
      </w:pPr>
      <w:bookmarkStart w:id="172" w:name="_Toc11017"/>
      <w:r>
        <w:rPr>
          <w:rFonts w:hint="eastAsia" w:ascii="宋体" w:hAnsi="宋体" w:eastAsia="宋体" w:cs="宋体"/>
          <w:b/>
          <w:bCs/>
          <w:color w:val="auto"/>
          <w:spacing w:val="-2"/>
          <w:sz w:val="24"/>
          <w:szCs w:val="24"/>
          <w:highlight w:val="none"/>
          <w:lang w:val="en-US" w:eastAsia="zh-CN"/>
        </w:rPr>
        <w:t>6.</w:t>
      </w:r>
      <w:r>
        <w:rPr>
          <w:rFonts w:hint="eastAsia" w:ascii="宋体" w:hAnsi="宋体" w:eastAsia="宋体" w:cs="宋体"/>
          <w:b/>
          <w:bCs/>
          <w:color w:val="auto"/>
          <w:spacing w:val="-2"/>
          <w:sz w:val="24"/>
          <w:szCs w:val="24"/>
          <w:highlight w:val="none"/>
        </w:rPr>
        <w:t>中标项目纳入百千万工程，按照市百千万工程关于配建定比例公益项目的政策落实相关工作，中标后在签订施工合同时明确捐建比例。</w:t>
      </w:r>
      <w:bookmarkEnd w:id="172"/>
    </w:p>
    <w:p w14:paraId="19A15735">
      <w:pPr>
        <w:spacing w:before="151" w:line="360" w:lineRule="auto"/>
        <w:ind w:left="476"/>
        <w:outlineLvl w:val="2"/>
        <w:rPr>
          <w:rFonts w:hint="eastAsia" w:ascii="宋体" w:hAnsi="宋体" w:eastAsia="宋体" w:cs="宋体"/>
          <w:b/>
          <w:bCs/>
          <w:color w:val="auto"/>
          <w:spacing w:val="-11"/>
          <w:sz w:val="24"/>
          <w:szCs w:val="24"/>
          <w:highlight w:val="none"/>
          <w:lang w:val="en-US" w:eastAsia="zh-CN"/>
        </w:rPr>
      </w:pPr>
      <w:bookmarkStart w:id="173" w:name="_Toc16090"/>
      <w:r>
        <w:rPr>
          <w:rFonts w:hint="eastAsia" w:ascii="宋体" w:hAnsi="宋体" w:eastAsia="宋体" w:cs="宋体"/>
          <w:b/>
          <w:bCs/>
          <w:color w:val="auto"/>
          <w:spacing w:val="-11"/>
          <w:sz w:val="24"/>
          <w:szCs w:val="24"/>
          <w:highlight w:val="none"/>
          <w:lang w:val="en-US" w:eastAsia="zh-CN"/>
        </w:rPr>
        <w:t>7.违约责任条款</w:t>
      </w:r>
      <w:bookmarkEnd w:id="173"/>
    </w:p>
    <w:p w14:paraId="0E0E0851">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before="79" w:line="360" w:lineRule="auto"/>
        <w:ind w:right="91" w:rightChars="0" w:firstLine="474" w:firstLineChars="200"/>
        <w:textAlignment w:val="baseline"/>
        <w:rPr>
          <w:rFonts w:hint="eastAsia" w:ascii="宋体" w:hAnsi="宋体" w:eastAsia="宋体" w:cs="宋体"/>
          <w:color w:val="auto"/>
          <w:spacing w:val="-2"/>
          <w:sz w:val="24"/>
          <w:szCs w:val="24"/>
          <w:highlight w:val="none"/>
          <w:lang w:val="en-US" w:eastAsia="zh-CN"/>
        </w:rPr>
      </w:pPr>
      <w:r>
        <w:rPr>
          <w:rFonts w:hint="eastAsia" w:ascii="宋体" w:hAnsi="宋体" w:eastAsia="宋体" w:cs="宋体"/>
          <w:b/>
          <w:bCs/>
          <w:snapToGrid w:val="0"/>
          <w:color w:val="auto"/>
          <w:spacing w:val="-2"/>
          <w:sz w:val="24"/>
          <w:szCs w:val="24"/>
          <w:lang w:val="en-US" w:eastAsia="zh-CN" w:bidi="ar-SA"/>
        </w:rPr>
        <w:t>7.1</w:t>
      </w:r>
      <w:r>
        <w:rPr>
          <w:rFonts w:hint="eastAsia" w:ascii="宋体" w:hAnsi="宋体" w:eastAsia="宋体" w:cs="宋体"/>
          <w:snapToGrid w:val="0"/>
          <w:color w:val="auto"/>
          <w:spacing w:val="-2"/>
          <w:sz w:val="24"/>
          <w:szCs w:val="24"/>
          <w:lang w:val="en-US" w:eastAsia="zh-CN" w:bidi="ar-SA"/>
        </w:rPr>
        <w:t xml:space="preserve">  </w:t>
      </w:r>
      <w:r>
        <w:rPr>
          <w:rFonts w:hint="eastAsia" w:ascii="宋体" w:hAnsi="宋体" w:eastAsia="宋体" w:cs="宋体"/>
          <w:color w:val="auto"/>
          <w:spacing w:val="-2"/>
          <w:sz w:val="24"/>
          <w:szCs w:val="24"/>
          <w:highlight w:val="none"/>
          <w:lang w:val="en-US" w:eastAsia="zh-CN"/>
        </w:rPr>
        <w:t>因勘察、设计单位责任造成的设计错项、漏项等引起的累计工程变更调整费用总额超过项目施工合同价(暂列金、预留金除外)的10%以上(含)，由项目建设单位扣除勘察、设计合同费用的30%；超过项目施工合同价(暂列金、预留金除外)的20%以上(含)，全额扣减勘察、设计费用，并由相关部门在市场诚信管理、市场准入、资质管理等方面依法给予处理并进行通报。</w:t>
      </w:r>
    </w:p>
    <w:p w14:paraId="54D7A7A6">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before="79" w:line="360" w:lineRule="auto"/>
        <w:ind w:right="91" w:rightChars="0" w:firstLine="474" w:firstLineChars="200"/>
        <w:textAlignment w:val="baseline"/>
        <w:rPr>
          <w:rFonts w:hint="eastAsia" w:ascii="宋体" w:hAnsi="宋体" w:eastAsia="宋体" w:cs="宋体"/>
          <w:color w:val="auto"/>
          <w:spacing w:val="-2"/>
          <w:sz w:val="24"/>
          <w:szCs w:val="24"/>
          <w:highlight w:val="none"/>
          <w:lang w:val="en-US" w:eastAsia="zh-CN"/>
        </w:rPr>
      </w:pPr>
      <w:r>
        <w:rPr>
          <w:rFonts w:hint="eastAsia" w:ascii="宋体" w:hAnsi="宋体" w:eastAsia="宋体" w:cs="宋体"/>
          <w:b/>
          <w:bCs/>
          <w:snapToGrid w:val="0"/>
          <w:color w:val="auto"/>
          <w:spacing w:val="-2"/>
          <w:sz w:val="24"/>
          <w:szCs w:val="24"/>
          <w:lang w:val="en-US" w:eastAsia="zh-CN" w:bidi="ar-SA"/>
        </w:rPr>
        <w:t>7.2</w:t>
      </w:r>
      <w:r>
        <w:rPr>
          <w:rFonts w:hint="eastAsia" w:ascii="宋体" w:hAnsi="宋体" w:eastAsia="宋体" w:cs="宋体"/>
          <w:snapToGrid w:val="0"/>
          <w:color w:val="auto"/>
          <w:spacing w:val="-2"/>
          <w:sz w:val="24"/>
          <w:szCs w:val="24"/>
          <w:lang w:val="en-US" w:eastAsia="zh-CN" w:bidi="ar-SA"/>
        </w:rPr>
        <w:t xml:space="preserve">  </w:t>
      </w:r>
      <w:r>
        <w:rPr>
          <w:rFonts w:hint="eastAsia" w:ascii="宋体" w:hAnsi="宋体" w:eastAsia="宋体" w:cs="宋体"/>
          <w:color w:val="auto"/>
          <w:spacing w:val="-2"/>
          <w:sz w:val="24"/>
          <w:szCs w:val="24"/>
          <w:highlight w:val="none"/>
          <w:lang w:val="en-US" w:eastAsia="zh-CN"/>
        </w:rPr>
        <w:t>因监理单位、造价咨询单位履职不到位引起的累计工程变更调整费用总额超过项目施工合同价(暂列金、预留金除外)的10%以上(含)，由项目建设单位按照合同扣减其30%的委托费用；超过项目施工合同价(暂列金、预留金除外)的20%以上(含),全额扣减相关费用，并由相关部门在市场诚信管理、市场准入、资质管理等方面依法给予处理并进行通报。</w:t>
      </w:r>
    </w:p>
    <w:p w14:paraId="559C9D11">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before="79" w:line="360" w:lineRule="auto"/>
        <w:ind w:right="91" w:rightChars="0" w:firstLine="474" w:firstLineChars="200"/>
        <w:textAlignment w:val="baseline"/>
        <w:rPr>
          <w:rFonts w:hint="eastAsia" w:ascii="宋体" w:hAnsi="宋体" w:eastAsia="宋体" w:cs="宋体"/>
          <w:color w:val="C00000"/>
          <w:spacing w:val="-2"/>
          <w:sz w:val="24"/>
          <w:szCs w:val="24"/>
          <w:highlight w:val="none"/>
          <w:lang w:val="en-US" w:eastAsia="zh-CN"/>
        </w:rPr>
      </w:pPr>
      <w:r>
        <w:rPr>
          <w:rFonts w:hint="eastAsia" w:ascii="宋体" w:hAnsi="宋体" w:eastAsia="宋体" w:cs="宋体"/>
          <w:b/>
          <w:bCs/>
          <w:snapToGrid w:val="0"/>
          <w:color w:val="auto"/>
          <w:spacing w:val="-2"/>
          <w:sz w:val="24"/>
          <w:szCs w:val="24"/>
          <w:lang w:val="en-US" w:eastAsia="zh-CN" w:bidi="ar-SA"/>
        </w:rPr>
        <w:t>7.3</w:t>
      </w:r>
      <w:r>
        <w:rPr>
          <w:rFonts w:hint="eastAsia" w:ascii="宋体" w:hAnsi="宋体" w:eastAsia="宋体" w:cs="宋体"/>
          <w:snapToGrid w:val="0"/>
          <w:color w:val="auto"/>
          <w:spacing w:val="-2"/>
          <w:sz w:val="24"/>
          <w:szCs w:val="24"/>
          <w:lang w:val="en-US" w:eastAsia="zh-CN" w:bidi="ar-SA"/>
        </w:rPr>
        <w:t xml:space="preserve">  </w:t>
      </w:r>
      <w:r>
        <w:rPr>
          <w:rFonts w:hint="eastAsia" w:ascii="宋体" w:hAnsi="宋体" w:eastAsia="宋体" w:cs="宋体"/>
          <w:color w:val="auto"/>
          <w:spacing w:val="-2"/>
          <w:sz w:val="24"/>
          <w:szCs w:val="24"/>
          <w:highlight w:val="none"/>
          <w:lang w:val="en-US" w:eastAsia="zh-CN"/>
        </w:rPr>
        <w:t>因施工单位主要责任造成的工程变更调整原则上不予审批，由施工单位自行承担相关责任和费用。</w:t>
      </w:r>
    </w:p>
    <w:p w14:paraId="395ACED5">
      <w:pPr>
        <w:rPr>
          <w:rFonts w:hint="eastAsia" w:ascii="宋体" w:hAnsi="宋体" w:eastAsia="宋体" w:cs="宋体"/>
          <w:lang w:val="en-US" w:eastAsia="zh-CN"/>
        </w:rPr>
      </w:pPr>
    </w:p>
    <w:p w14:paraId="326B6CF0">
      <w:pPr>
        <w:rPr>
          <w:rFonts w:hint="eastAsia" w:ascii="宋体" w:hAnsi="宋体" w:eastAsia="宋体" w:cs="宋体"/>
          <w:lang w:val="en-US" w:eastAsia="zh-CN"/>
        </w:rPr>
      </w:pPr>
    </w:p>
    <w:p w14:paraId="5B389023">
      <w:pPr>
        <w:rPr>
          <w:rFonts w:hint="eastAsia" w:ascii="宋体" w:hAnsi="宋体" w:eastAsia="宋体" w:cs="宋体"/>
          <w:lang w:val="en-US" w:eastAsia="zh-CN"/>
        </w:rPr>
      </w:pPr>
    </w:p>
    <w:p w14:paraId="6444F542">
      <w:pPr>
        <w:rPr>
          <w:rFonts w:hint="eastAsia" w:ascii="宋体" w:hAnsi="宋体" w:eastAsia="宋体" w:cs="宋体"/>
          <w:lang w:val="en-US" w:eastAsia="zh-CN"/>
        </w:rPr>
      </w:pPr>
    </w:p>
    <w:p w14:paraId="2DBEE4CB">
      <w:pPr>
        <w:pStyle w:val="2"/>
        <w:rPr>
          <w:rFonts w:hint="eastAsia" w:ascii="宋体" w:hAnsi="宋体" w:eastAsia="宋体" w:cs="宋体"/>
          <w:lang w:val="en-US" w:eastAsia="zh-CN"/>
        </w:rPr>
      </w:pPr>
    </w:p>
    <w:p w14:paraId="6F60C68B">
      <w:pPr>
        <w:pStyle w:val="3"/>
        <w:rPr>
          <w:rFonts w:hint="eastAsia" w:ascii="宋体" w:hAnsi="宋体" w:eastAsia="宋体" w:cs="宋体"/>
          <w:lang w:val="en-US" w:eastAsia="zh-CN"/>
        </w:rPr>
      </w:pPr>
    </w:p>
    <w:p w14:paraId="3090C290">
      <w:pPr>
        <w:pStyle w:val="3"/>
        <w:rPr>
          <w:rFonts w:hint="eastAsia" w:ascii="宋体" w:hAnsi="宋体" w:eastAsia="宋体" w:cs="宋体"/>
          <w:lang w:val="en-US" w:eastAsia="zh-CN"/>
        </w:rPr>
      </w:pPr>
    </w:p>
    <w:p w14:paraId="4BCCC1B3">
      <w:pPr>
        <w:pStyle w:val="3"/>
        <w:rPr>
          <w:rFonts w:hint="eastAsia" w:ascii="宋体" w:hAnsi="宋体" w:eastAsia="宋体" w:cs="宋体"/>
          <w:lang w:val="en-US" w:eastAsia="zh-CN"/>
        </w:rPr>
      </w:pPr>
    </w:p>
    <w:p w14:paraId="710A8039">
      <w:pPr>
        <w:pStyle w:val="3"/>
        <w:rPr>
          <w:rFonts w:hint="eastAsia" w:ascii="宋体" w:hAnsi="宋体" w:eastAsia="宋体" w:cs="宋体"/>
          <w:lang w:val="en-US" w:eastAsia="zh-CN"/>
        </w:rPr>
      </w:pPr>
    </w:p>
    <w:p w14:paraId="625B85DA">
      <w:pPr>
        <w:pStyle w:val="3"/>
        <w:rPr>
          <w:rFonts w:hint="eastAsia" w:ascii="宋体" w:hAnsi="宋体" w:eastAsia="宋体" w:cs="宋体"/>
          <w:lang w:val="en-US" w:eastAsia="zh-CN"/>
        </w:rPr>
      </w:pPr>
    </w:p>
    <w:p w14:paraId="69EC856A">
      <w:pPr>
        <w:pStyle w:val="3"/>
        <w:rPr>
          <w:rFonts w:hint="eastAsia" w:ascii="宋体" w:hAnsi="宋体" w:eastAsia="宋体" w:cs="宋体"/>
          <w:lang w:val="en-US" w:eastAsia="zh-CN"/>
        </w:rPr>
      </w:pPr>
    </w:p>
    <w:p w14:paraId="232B3946">
      <w:pPr>
        <w:pStyle w:val="3"/>
        <w:rPr>
          <w:rFonts w:hint="eastAsia" w:ascii="宋体" w:hAnsi="宋体" w:eastAsia="宋体" w:cs="宋体"/>
          <w:lang w:val="en-US" w:eastAsia="zh-CN"/>
        </w:rPr>
      </w:pPr>
    </w:p>
    <w:p w14:paraId="7A626C72">
      <w:pPr>
        <w:pStyle w:val="3"/>
        <w:rPr>
          <w:rFonts w:hint="eastAsia" w:ascii="宋体" w:hAnsi="宋体" w:eastAsia="宋体" w:cs="宋体"/>
          <w:lang w:val="en-US" w:eastAsia="zh-CN"/>
        </w:rPr>
      </w:pPr>
    </w:p>
    <w:p w14:paraId="4B106805">
      <w:pPr>
        <w:pStyle w:val="3"/>
        <w:rPr>
          <w:rFonts w:hint="eastAsia" w:ascii="宋体" w:hAnsi="宋体" w:eastAsia="宋体" w:cs="宋体"/>
          <w:lang w:val="en-US" w:eastAsia="zh-CN"/>
        </w:rPr>
      </w:pPr>
    </w:p>
    <w:p w14:paraId="5CDE83D9">
      <w:pPr>
        <w:pStyle w:val="3"/>
        <w:rPr>
          <w:rFonts w:hint="eastAsia" w:ascii="宋体" w:hAnsi="宋体" w:eastAsia="宋体" w:cs="宋体"/>
          <w:lang w:val="en-US" w:eastAsia="zh-CN"/>
        </w:rPr>
      </w:pPr>
    </w:p>
    <w:p w14:paraId="115D0F48">
      <w:pPr>
        <w:pStyle w:val="3"/>
        <w:rPr>
          <w:rFonts w:hint="eastAsia" w:ascii="宋体" w:hAnsi="宋体" w:eastAsia="宋体" w:cs="宋体"/>
          <w:lang w:val="en-US" w:eastAsia="zh-CN"/>
        </w:rPr>
      </w:pPr>
    </w:p>
    <w:p w14:paraId="3880971A">
      <w:pPr>
        <w:pStyle w:val="3"/>
        <w:rPr>
          <w:rFonts w:hint="eastAsia" w:ascii="宋体" w:hAnsi="宋体" w:eastAsia="宋体" w:cs="宋体"/>
          <w:lang w:val="en-US" w:eastAsia="zh-CN"/>
        </w:rPr>
      </w:pPr>
    </w:p>
    <w:p w14:paraId="626284A0">
      <w:pPr>
        <w:pStyle w:val="3"/>
        <w:rPr>
          <w:rFonts w:hint="eastAsia" w:ascii="宋体" w:hAnsi="宋体" w:eastAsia="宋体" w:cs="宋体"/>
          <w:lang w:val="en-US" w:eastAsia="zh-CN"/>
        </w:rPr>
      </w:pPr>
    </w:p>
    <w:p w14:paraId="63559D49">
      <w:pPr>
        <w:pStyle w:val="3"/>
        <w:rPr>
          <w:rFonts w:hint="eastAsia" w:ascii="宋体" w:hAnsi="宋体" w:eastAsia="宋体" w:cs="宋体"/>
          <w:lang w:val="en-US" w:eastAsia="zh-CN"/>
        </w:rPr>
      </w:pPr>
    </w:p>
    <w:p w14:paraId="3012C022">
      <w:pPr>
        <w:pStyle w:val="3"/>
        <w:rPr>
          <w:rFonts w:hint="eastAsia" w:ascii="宋体" w:hAnsi="宋体" w:eastAsia="宋体" w:cs="宋体"/>
          <w:lang w:val="en-US" w:eastAsia="zh-CN"/>
        </w:rPr>
      </w:pPr>
    </w:p>
    <w:p w14:paraId="005F599A">
      <w:pPr>
        <w:pStyle w:val="3"/>
        <w:rPr>
          <w:rFonts w:hint="eastAsia" w:ascii="宋体" w:hAnsi="宋体" w:eastAsia="宋体" w:cs="宋体"/>
          <w:lang w:val="en-US" w:eastAsia="zh-CN"/>
        </w:rPr>
      </w:pPr>
    </w:p>
    <w:p w14:paraId="37F65D9D">
      <w:pPr>
        <w:pStyle w:val="3"/>
        <w:rPr>
          <w:rFonts w:hint="eastAsia" w:ascii="宋体" w:hAnsi="宋体" w:eastAsia="宋体" w:cs="宋体"/>
          <w:lang w:val="en-US" w:eastAsia="zh-CN"/>
        </w:rPr>
      </w:pPr>
    </w:p>
    <w:p w14:paraId="6116AF2C">
      <w:pPr>
        <w:pStyle w:val="3"/>
        <w:rPr>
          <w:rFonts w:hint="eastAsia" w:ascii="宋体" w:hAnsi="宋体" w:eastAsia="宋体" w:cs="宋体"/>
          <w:lang w:val="en-US" w:eastAsia="zh-CN"/>
        </w:rPr>
      </w:pPr>
    </w:p>
    <w:p w14:paraId="0422F8FB">
      <w:pPr>
        <w:pStyle w:val="3"/>
        <w:rPr>
          <w:rFonts w:hint="eastAsia" w:ascii="宋体" w:hAnsi="宋体" w:eastAsia="宋体" w:cs="宋体"/>
          <w:lang w:val="en-US" w:eastAsia="zh-CN"/>
        </w:rPr>
      </w:pPr>
    </w:p>
    <w:p w14:paraId="4CCADD31">
      <w:pPr>
        <w:pStyle w:val="3"/>
        <w:rPr>
          <w:rFonts w:hint="eastAsia" w:ascii="宋体" w:hAnsi="宋体" w:eastAsia="宋体" w:cs="宋体"/>
          <w:lang w:val="en-US" w:eastAsia="zh-CN"/>
        </w:rPr>
      </w:pPr>
    </w:p>
    <w:p w14:paraId="05789F80">
      <w:pPr>
        <w:pStyle w:val="3"/>
        <w:rPr>
          <w:rFonts w:hint="eastAsia" w:ascii="宋体" w:hAnsi="宋体" w:eastAsia="宋体" w:cs="宋体"/>
          <w:lang w:val="en-US" w:eastAsia="zh-CN"/>
        </w:rPr>
      </w:pPr>
    </w:p>
    <w:p w14:paraId="57461050">
      <w:pPr>
        <w:pStyle w:val="3"/>
        <w:rPr>
          <w:rFonts w:hint="eastAsia" w:ascii="宋体" w:hAnsi="宋体" w:eastAsia="宋体" w:cs="宋体"/>
          <w:lang w:val="en-US" w:eastAsia="zh-CN"/>
        </w:rPr>
      </w:pPr>
    </w:p>
    <w:p w14:paraId="58481775">
      <w:pPr>
        <w:pStyle w:val="3"/>
        <w:rPr>
          <w:rFonts w:hint="eastAsia" w:ascii="宋体" w:hAnsi="宋体" w:eastAsia="宋体" w:cs="宋体"/>
          <w:lang w:val="en-US" w:eastAsia="zh-CN"/>
        </w:rPr>
      </w:pPr>
    </w:p>
    <w:p w14:paraId="2E15B232">
      <w:pPr>
        <w:pStyle w:val="3"/>
        <w:rPr>
          <w:rFonts w:hint="eastAsia" w:ascii="宋体" w:hAnsi="宋体" w:eastAsia="宋体" w:cs="宋体"/>
          <w:lang w:val="en-US" w:eastAsia="zh-CN"/>
        </w:rPr>
      </w:pPr>
    </w:p>
    <w:p w14:paraId="00DB5AF1">
      <w:pPr>
        <w:pStyle w:val="3"/>
        <w:rPr>
          <w:rFonts w:hint="eastAsia" w:ascii="宋体" w:hAnsi="宋体" w:eastAsia="宋体" w:cs="宋体"/>
          <w:lang w:val="en-US" w:eastAsia="zh-CN"/>
        </w:rPr>
      </w:pPr>
    </w:p>
    <w:p w14:paraId="4062D6C0">
      <w:pPr>
        <w:pStyle w:val="3"/>
        <w:rPr>
          <w:rFonts w:hint="eastAsia" w:ascii="宋体" w:hAnsi="宋体" w:eastAsia="宋体" w:cs="宋体"/>
          <w:lang w:val="en-US" w:eastAsia="zh-CN"/>
        </w:rPr>
      </w:pPr>
    </w:p>
    <w:p w14:paraId="60BCDBEC">
      <w:pPr>
        <w:pStyle w:val="3"/>
        <w:rPr>
          <w:rFonts w:hint="eastAsia" w:ascii="宋体" w:hAnsi="宋体" w:eastAsia="宋体" w:cs="宋体"/>
          <w:lang w:val="en-US" w:eastAsia="zh-CN"/>
        </w:rPr>
      </w:pPr>
    </w:p>
    <w:p w14:paraId="33DC35FD">
      <w:pPr>
        <w:rPr>
          <w:rFonts w:hint="eastAsia" w:ascii="宋体" w:hAnsi="宋体" w:eastAsia="宋体" w:cs="宋体"/>
          <w:lang w:val="en-US" w:eastAsia="zh-CN"/>
        </w:rPr>
      </w:pPr>
    </w:p>
    <w:p w14:paraId="6E838CFD">
      <w:pPr>
        <w:rPr>
          <w:rFonts w:hint="eastAsia" w:ascii="宋体" w:hAnsi="宋体" w:eastAsia="宋体" w:cs="宋体"/>
          <w:lang w:val="en-US" w:eastAsia="zh-CN"/>
        </w:rPr>
      </w:pPr>
    </w:p>
    <w:p w14:paraId="1778A1B0">
      <w:pPr>
        <w:rPr>
          <w:rFonts w:hint="eastAsia" w:ascii="宋体" w:hAnsi="宋体" w:eastAsia="宋体" w:cs="宋体"/>
          <w:lang w:val="en-US" w:eastAsia="zh-CN"/>
        </w:rPr>
      </w:pPr>
    </w:p>
    <w:p w14:paraId="18DDD488">
      <w:pPr>
        <w:rPr>
          <w:rFonts w:hint="eastAsia" w:ascii="宋体" w:hAnsi="宋体" w:eastAsia="宋体" w:cs="宋体"/>
          <w:lang w:val="en-US" w:eastAsia="zh-CN"/>
        </w:rPr>
      </w:pPr>
    </w:p>
    <w:p w14:paraId="43A791B5">
      <w:pPr>
        <w:rPr>
          <w:rFonts w:hint="eastAsia" w:ascii="宋体" w:hAnsi="宋体" w:eastAsia="宋体" w:cs="宋体"/>
          <w:lang w:val="en-US" w:eastAsia="zh-CN"/>
        </w:rPr>
      </w:pPr>
    </w:p>
    <w:p w14:paraId="21CE945E">
      <w:pPr>
        <w:rPr>
          <w:rFonts w:hint="eastAsia" w:ascii="宋体" w:hAnsi="宋体" w:eastAsia="宋体" w:cs="宋体"/>
          <w:lang w:val="en-US" w:eastAsia="zh-CN"/>
        </w:rPr>
      </w:pPr>
    </w:p>
    <w:p w14:paraId="32A3C541">
      <w:pPr>
        <w:spacing w:before="78" w:line="360" w:lineRule="auto"/>
        <w:ind w:left="2923"/>
        <w:outlineLvl w:val="0"/>
        <w:rPr>
          <w:rFonts w:hint="eastAsia" w:ascii="宋体" w:hAnsi="宋体" w:eastAsia="宋体" w:cs="宋体"/>
          <w:color w:val="auto"/>
          <w:highlight w:val="none"/>
        </w:rPr>
      </w:pPr>
      <w:bookmarkStart w:id="174" w:name="bookmark86"/>
      <w:bookmarkEnd w:id="174"/>
      <w:bookmarkStart w:id="175" w:name="_Toc24083"/>
      <w:bookmarkStart w:id="176" w:name="_Toc7865"/>
      <w:r>
        <w:rPr>
          <w:rFonts w:hint="eastAsia" w:ascii="宋体" w:hAnsi="宋体" w:eastAsia="宋体" w:cs="宋体"/>
          <w:b/>
          <w:bCs/>
          <w:color w:val="auto"/>
          <w:spacing w:val="-3"/>
          <w:sz w:val="24"/>
          <w:szCs w:val="24"/>
          <w:highlight w:val="none"/>
        </w:rPr>
        <w:t>第三章</w:t>
      </w:r>
      <w:r>
        <w:rPr>
          <w:rFonts w:hint="eastAsia" w:ascii="宋体" w:hAnsi="宋体" w:eastAsia="宋体" w:cs="宋体"/>
          <w:color w:val="auto"/>
          <w:spacing w:val="-3"/>
          <w:sz w:val="24"/>
          <w:szCs w:val="24"/>
          <w:highlight w:val="none"/>
          <w:lang w:val="en-US" w:eastAsia="zh-CN"/>
        </w:rPr>
        <w:t xml:space="preserve">   </w:t>
      </w:r>
      <w:r>
        <w:rPr>
          <w:rFonts w:hint="eastAsia" w:ascii="宋体" w:hAnsi="宋体" w:eastAsia="宋体" w:cs="宋体"/>
          <w:b/>
          <w:bCs/>
          <w:color w:val="auto"/>
          <w:spacing w:val="-3"/>
          <w:sz w:val="24"/>
          <w:szCs w:val="24"/>
          <w:highlight w:val="none"/>
        </w:rPr>
        <w:t>拟签订合同的主要条款</w:t>
      </w:r>
      <w:bookmarkEnd w:id="175"/>
      <w:bookmarkEnd w:id="176"/>
    </w:p>
    <w:p w14:paraId="3ABC111F">
      <w:pPr>
        <w:spacing w:before="151" w:line="360" w:lineRule="auto"/>
        <w:ind w:left="476"/>
        <w:outlineLvl w:val="2"/>
        <w:rPr>
          <w:rFonts w:hint="eastAsia" w:ascii="宋体" w:hAnsi="宋体" w:eastAsia="宋体" w:cs="宋体"/>
          <w:b/>
          <w:bCs/>
          <w:color w:val="auto"/>
          <w:spacing w:val="-11"/>
          <w:sz w:val="24"/>
          <w:szCs w:val="24"/>
          <w:highlight w:val="none"/>
        </w:rPr>
      </w:pPr>
      <w:bookmarkStart w:id="177" w:name="_Toc9967"/>
      <w:bookmarkStart w:id="178" w:name="_Toc9942"/>
      <w:r>
        <w:rPr>
          <w:rFonts w:hint="eastAsia" w:ascii="宋体" w:hAnsi="宋体" w:eastAsia="宋体" w:cs="宋体"/>
          <w:b/>
          <w:bCs/>
          <w:color w:val="auto"/>
          <w:spacing w:val="-11"/>
          <w:sz w:val="24"/>
          <w:szCs w:val="24"/>
          <w:highlight w:val="none"/>
        </w:rPr>
        <w:t>1</w:t>
      </w:r>
      <w:r>
        <w:rPr>
          <w:rFonts w:hint="eastAsia" w:ascii="宋体" w:hAnsi="宋体" w:eastAsia="宋体" w:cs="宋体"/>
          <w:b/>
          <w:bCs/>
          <w:color w:val="auto"/>
          <w:spacing w:val="-11"/>
          <w:sz w:val="24"/>
          <w:szCs w:val="24"/>
          <w:highlight w:val="none"/>
          <w:lang w:eastAsia="zh-CN"/>
        </w:rPr>
        <w:t>.</w:t>
      </w:r>
      <w:r>
        <w:rPr>
          <w:rFonts w:hint="eastAsia" w:ascii="宋体" w:hAnsi="宋体" w:eastAsia="宋体" w:cs="宋体"/>
          <w:b/>
          <w:bCs/>
          <w:color w:val="auto"/>
          <w:spacing w:val="-11"/>
          <w:sz w:val="24"/>
          <w:szCs w:val="24"/>
          <w:highlight w:val="none"/>
        </w:rPr>
        <w:t>工程承包方式</w:t>
      </w:r>
      <w:bookmarkEnd w:id="177"/>
      <w:bookmarkEnd w:id="178"/>
    </w:p>
    <w:p w14:paraId="44A100EA">
      <w:pPr>
        <w:spacing w:before="153" w:line="360" w:lineRule="auto"/>
        <w:ind w:left="11" w:right="295" w:firstLine="487"/>
        <w:rPr>
          <w:rFonts w:hint="eastAsia" w:ascii="宋体" w:hAnsi="宋体" w:eastAsia="宋体" w:cs="宋体"/>
          <w:sz w:val="24"/>
          <w:szCs w:val="24"/>
        </w:rPr>
      </w:pPr>
      <w:r>
        <w:rPr>
          <w:rFonts w:hint="eastAsia" w:ascii="宋体" w:hAnsi="宋体" w:eastAsia="宋体" w:cs="宋体"/>
          <w:b/>
          <w:bCs/>
          <w:color w:val="auto"/>
          <w:sz w:val="24"/>
          <w:szCs w:val="24"/>
          <w:highlight w:val="none"/>
        </w:rPr>
        <w:t xml:space="preserve">1.1  </w:t>
      </w:r>
      <w:r>
        <w:rPr>
          <w:rFonts w:hint="eastAsia" w:ascii="宋体" w:hAnsi="宋体" w:eastAsia="宋体" w:cs="宋体"/>
          <w:sz w:val="24"/>
          <w:szCs w:val="24"/>
        </w:rPr>
        <w:t>承包人以中标价按包工包料、包质量、包安全包文明施工、包工期方式总承包施工，不允许转包和违法分包，如果确需分包须与发包人协商，在得到发包人和监理单位同意后报建设行政主管部门备案。</w:t>
      </w:r>
    </w:p>
    <w:p w14:paraId="357A5275">
      <w:pPr>
        <w:spacing w:before="153" w:line="360"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1.1.1  </w:t>
      </w:r>
      <w:r>
        <w:rPr>
          <w:rFonts w:hint="eastAsia" w:ascii="宋体" w:hAnsi="宋体" w:eastAsia="宋体" w:cs="宋体"/>
          <w:color w:val="auto"/>
          <w:spacing w:val="-1"/>
          <w:sz w:val="24"/>
          <w:szCs w:val="24"/>
          <w:highlight w:val="none"/>
        </w:rPr>
        <w:t>包工包料：材料符合招标文件要求并报验使用；办理用工保险。</w:t>
      </w:r>
    </w:p>
    <w:p w14:paraId="498F9F49">
      <w:pPr>
        <w:spacing w:before="156" w:line="360"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1.1.2  </w:t>
      </w:r>
      <w:r>
        <w:rPr>
          <w:rFonts w:hint="eastAsia" w:ascii="宋体" w:hAnsi="宋体" w:eastAsia="宋体" w:cs="宋体"/>
          <w:color w:val="auto"/>
          <w:spacing w:val="-1"/>
          <w:sz w:val="24"/>
          <w:szCs w:val="24"/>
          <w:highlight w:val="none"/>
        </w:rPr>
        <w:t>包质量：符合招标文件要求。</w:t>
      </w:r>
    </w:p>
    <w:p w14:paraId="7B11DC55">
      <w:pPr>
        <w:spacing w:before="153" w:line="360"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1.1.3  </w:t>
      </w:r>
      <w:r>
        <w:rPr>
          <w:rFonts w:hint="eastAsia" w:ascii="宋体" w:hAnsi="宋体" w:eastAsia="宋体" w:cs="宋体"/>
          <w:color w:val="auto"/>
          <w:spacing w:val="-1"/>
          <w:sz w:val="24"/>
          <w:szCs w:val="24"/>
          <w:highlight w:val="none"/>
        </w:rPr>
        <w:t>包安全包文明施工：符合招标文件要求。</w:t>
      </w:r>
    </w:p>
    <w:p w14:paraId="2599FB52">
      <w:pPr>
        <w:spacing w:before="154" w:line="360" w:lineRule="auto"/>
        <w:ind w:left="580"/>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1.1.4  </w:t>
      </w:r>
      <w:r>
        <w:rPr>
          <w:rFonts w:hint="eastAsia" w:ascii="宋体" w:hAnsi="宋体" w:eastAsia="宋体" w:cs="宋体"/>
          <w:color w:val="auto"/>
          <w:spacing w:val="-1"/>
          <w:sz w:val="24"/>
          <w:szCs w:val="24"/>
          <w:highlight w:val="none"/>
        </w:rPr>
        <w:t>包工期：本招标项目施工必须在招标工期内完成。</w:t>
      </w:r>
    </w:p>
    <w:p w14:paraId="325AF9D0">
      <w:pPr>
        <w:spacing w:before="151" w:line="360" w:lineRule="auto"/>
        <w:ind w:left="476"/>
        <w:outlineLvl w:val="2"/>
        <w:rPr>
          <w:rFonts w:hint="eastAsia" w:ascii="宋体" w:hAnsi="宋体" w:eastAsia="宋体" w:cs="宋体"/>
          <w:b/>
          <w:bCs/>
          <w:color w:val="auto"/>
          <w:spacing w:val="-11"/>
          <w:sz w:val="24"/>
          <w:szCs w:val="24"/>
          <w:highlight w:val="none"/>
        </w:rPr>
      </w:pPr>
      <w:bookmarkStart w:id="179" w:name="bookmark88"/>
      <w:bookmarkEnd w:id="179"/>
      <w:bookmarkStart w:id="180" w:name="_Toc4294"/>
      <w:bookmarkStart w:id="181" w:name="_Toc27206"/>
      <w:r>
        <w:rPr>
          <w:rFonts w:hint="eastAsia" w:ascii="宋体" w:hAnsi="宋体" w:eastAsia="宋体" w:cs="宋体"/>
          <w:b/>
          <w:bCs/>
          <w:color w:val="auto"/>
          <w:spacing w:val="-11"/>
          <w:sz w:val="24"/>
          <w:szCs w:val="24"/>
          <w:highlight w:val="none"/>
        </w:rPr>
        <w:t>2</w:t>
      </w:r>
      <w:r>
        <w:rPr>
          <w:rFonts w:hint="eastAsia" w:ascii="宋体" w:hAnsi="宋体" w:eastAsia="宋体" w:cs="宋体"/>
          <w:b/>
          <w:bCs/>
          <w:color w:val="auto"/>
          <w:spacing w:val="-11"/>
          <w:sz w:val="24"/>
          <w:szCs w:val="24"/>
          <w:highlight w:val="none"/>
          <w:lang w:eastAsia="zh-CN"/>
        </w:rPr>
        <w:t>.</w:t>
      </w:r>
      <w:r>
        <w:rPr>
          <w:rFonts w:hint="eastAsia" w:ascii="宋体" w:hAnsi="宋体" w:eastAsia="宋体" w:cs="宋体"/>
          <w:b/>
          <w:bCs/>
          <w:color w:val="auto"/>
          <w:spacing w:val="-11"/>
          <w:sz w:val="24"/>
          <w:szCs w:val="24"/>
          <w:highlight w:val="none"/>
        </w:rPr>
        <w:t>工程结算原则</w:t>
      </w:r>
      <w:bookmarkEnd w:id="180"/>
      <w:bookmarkEnd w:id="181"/>
    </w:p>
    <w:p w14:paraId="6CAE90BE">
      <w:pPr>
        <w:spacing w:before="155" w:line="360" w:lineRule="auto"/>
        <w:ind w:left="12" w:right="231" w:firstLine="476"/>
        <w:rPr>
          <w:rFonts w:hint="eastAsia" w:ascii="宋体" w:hAnsi="宋体" w:eastAsia="宋体" w:cs="宋体"/>
          <w:b w:val="0"/>
          <w:bCs w:val="0"/>
          <w:color w:val="auto"/>
          <w:spacing w:val="2"/>
          <w:sz w:val="24"/>
          <w:szCs w:val="24"/>
          <w:highlight w:val="none"/>
        </w:rPr>
      </w:pPr>
      <w:bookmarkStart w:id="182" w:name="_Toc15115"/>
      <w:r>
        <w:rPr>
          <w:rFonts w:hint="eastAsia" w:ascii="宋体" w:hAnsi="宋体" w:eastAsia="宋体" w:cs="宋体"/>
          <w:b/>
          <w:bCs/>
          <w:color w:val="auto"/>
          <w:spacing w:val="2"/>
          <w:sz w:val="24"/>
          <w:szCs w:val="24"/>
          <w:highlight w:val="none"/>
        </w:rPr>
        <w:t xml:space="preserve">2.1 </w:t>
      </w:r>
      <w:r>
        <w:rPr>
          <w:rFonts w:hint="eastAsia" w:ascii="宋体" w:hAnsi="宋体" w:eastAsia="宋体" w:cs="宋体"/>
          <w:b w:val="0"/>
          <w:bCs w:val="0"/>
          <w:color w:val="auto"/>
          <w:spacing w:val="2"/>
          <w:sz w:val="24"/>
          <w:szCs w:val="24"/>
          <w:highlight w:val="none"/>
        </w:rPr>
        <w:t>承包人的投标总价为中标价，即为签约合同价。</w:t>
      </w:r>
      <w:bookmarkEnd w:id="182"/>
    </w:p>
    <w:p w14:paraId="467FC701">
      <w:pPr>
        <w:spacing w:before="155" w:line="360" w:lineRule="auto"/>
        <w:ind w:left="12" w:right="231"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2.2 </w:t>
      </w:r>
      <w:r>
        <w:rPr>
          <w:rFonts w:hint="eastAsia" w:ascii="宋体" w:hAnsi="宋体" w:eastAsia="宋体" w:cs="宋体"/>
          <w:color w:val="auto"/>
          <w:spacing w:val="2"/>
          <w:sz w:val="24"/>
          <w:szCs w:val="24"/>
          <w:highlight w:val="none"/>
        </w:rPr>
        <w:t>招标工程量清单标明的工程量是投标人投标报价的</w:t>
      </w:r>
      <w:r>
        <w:rPr>
          <w:rFonts w:hint="eastAsia" w:ascii="宋体" w:hAnsi="宋体" w:eastAsia="宋体" w:cs="宋体"/>
          <w:color w:val="auto"/>
          <w:spacing w:val="1"/>
          <w:sz w:val="24"/>
          <w:szCs w:val="24"/>
          <w:highlight w:val="none"/>
        </w:rPr>
        <w:t>共同基础，竣工结算的工程</w:t>
      </w:r>
      <w:r>
        <w:rPr>
          <w:rFonts w:hint="eastAsia" w:ascii="宋体" w:hAnsi="宋体" w:eastAsia="宋体" w:cs="宋体"/>
          <w:color w:val="auto"/>
          <w:spacing w:val="-5"/>
          <w:sz w:val="24"/>
          <w:szCs w:val="24"/>
          <w:highlight w:val="none"/>
        </w:rPr>
        <w:t>量按《建设工程工程量清单计价规范》（GB50500—2013）对工程计量的规定进行计量，</w:t>
      </w:r>
      <w:r>
        <w:rPr>
          <w:rFonts w:hint="eastAsia" w:ascii="宋体" w:hAnsi="宋体" w:eastAsia="宋体" w:cs="宋体"/>
          <w:color w:val="auto"/>
          <w:spacing w:val="-2"/>
          <w:sz w:val="24"/>
          <w:szCs w:val="24"/>
          <w:highlight w:val="none"/>
        </w:rPr>
        <w:t>必须以承包人完成合同工程应予计量的工程量确定。施工中进行工程计量，当发现招标工程量清单中出现缺项、工程量偏差、或因工程变更引起工程量增减时，应按承包人在履行合同义务中完成的工程量计算。因承包人原因造成的超出合同工程范围施工或返工</w:t>
      </w:r>
      <w:r>
        <w:rPr>
          <w:rFonts w:hint="eastAsia" w:ascii="宋体" w:hAnsi="宋体" w:eastAsia="宋体" w:cs="宋体"/>
          <w:color w:val="auto"/>
          <w:spacing w:val="-1"/>
          <w:sz w:val="24"/>
          <w:szCs w:val="24"/>
          <w:highlight w:val="none"/>
        </w:rPr>
        <w:t>的工程量，发包人不予计量。</w:t>
      </w:r>
    </w:p>
    <w:p w14:paraId="198451DE">
      <w:pPr>
        <w:keepNext w:val="0"/>
        <w:keepLines w:val="0"/>
        <w:pageBreakBefore w:val="0"/>
        <w:widowControl w:val="0"/>
        <w:kinsoku w:val="0"/>
        <w:wordWrap/>
        <w:overflowPunct/>
        <w:topLinePunct w:val="0"/>
        <w:autoSpaceDE w:val="0"/>
        <w:autoSpaceDN w:val="0"/>
        <w:bidi w:val="0"/>
        <w:adjustRightInd w:val="0"/>
        <w:snapToGrid w:val="0"/>
        <w:spacing w:before="38" w:line="360" w:lineRule="auto"/>
        <w:ind w:left="12" w:right="183" w:firstLine="475"/>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2.3  </w:t>
      </w:r>
      <w:r>
        <w:rPr>
          <w:rFonts w:hint="eastAsia" w:ascii="宋体" w:hAnsi="宋体" w:eastAsia="宋体" w:cs="宋体"/>
          <w:color w:val="auto"/>
          <w:sz w:val="24"/>
          <w:szCs w:val="24"/>
          <w:highlight w:val="none"/>
        </w:rPr>
        <w:t>施工合同履行期间，若出现下列情形的，发、承包双方应当按照以下规定调整</w:t>
      </w:r>
      <w:r>
        <w:rPr>
          <w:rFonts w:hint="eastAsia" w:ascii="宋体" w:hAnsi="宋体" w:eastAsia="宋体" w:cs="宋体"/>
          <w:color w:val="auto"/>
          <w:spacing w:val="-3"/>
          <w:sz w:val="24"/>
          <w:szCs w:val="24"/>
          <w:highlight w:val="none"/>
        </w:rPr>
        <w:t>合同价款：</w:t>
      </w:r>
    </w:p>
    <w:p w14:paraId="54A4EF37">
      <w:pPr>
        <w:keepNext w:val="0"/>
        <w:keepLines w:val="0"/>
        <w:pageBreakBefore w:val="0"/>
        <w:widowControl w:val="0"/>
        <w:kinsoku w:val="0"/>
        <w:wordWrap/>
        <w:overflowPunct/>
        <w:topLinePunct w:val="0"/>
        <w:autoSpaceDE w:val="0"/>
        <w:autoSpaceDN w:val="0"/>
        <w:bidi w:val="0"/>
        <w:adjustRightInd w:val="0"/>
        <w:snapToGrid w:val="0"/>
        <w:spacing w:before="227" w:line="360" w:lineRule="auto"/>
        <w:ind w:left="487"/>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2.3.1  </w:t>
      </w:r>
      <w:r>
        <w:rPr>
          <w:rFonts w:hint="eastAsia" w:ascii="宋体" w:hAnsi="宋体" w:eastAsia="宋体" w:cs="宋体"/>
          <w:color w:val="auto"/>
          <w:spacing w:val="-1"/>
          <w:sz w:val="24"/>
          <w:szCs w:val="24"/>
          <w:highlight w:val="none"/>
        </w:rPr>
        <w:t>法律法规变化</w:t>
      </w:r>
    </w:p>
    <w:p w14:paraId="56C8E9DF">
      <w:pPr>
        <w:keepNext w:val="0"/>
        <w:keepLines w:val="0"/>
        <w:pageBreakBefore w:val="0"/>
        <w:widowControl w:val="0"/>
        <w:kinsoku w:val="0"/>
        <w:wordWrap/>
        <w:overflowPunct/>
        <w:topLinePunct w:val="0"/>
        <w:autoSpaceDE w:val="0"/>
        <w:autoSpaceDN w:val="0"/>
        <w:bidi w:val="0"/>
        <w:adjustRightInd w:val="0"/>
        <w:snapToGrid w:val="0"/>
        <w:spacing w:before="156" w:line="360" w:lineRule="auto"/>
        <w:ind w:left="10" w:right="183" w:firstLine="477"/>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"2.3.1.1"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2.3.1.1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基准日之后，因国家法律、法规、规章和政策发生变化引起工程造价增减变</w:t>
      </w:r>
      <w:r>
        <w:rPr>
          <w:rFonts w:hint="eastAsia" w:ascii="宋体" w:hAnsi="宋体" w:eastAsia="宋体" w:cs="宋体"/>
          <w:color w:val="auto"/>
          <w:spacing w:val="-2"/>
          <w:sz w:val="24"/>
          <w:szCs w:val="24"/>
          <w:highlight w:val="none"/>
        </w:rPr>
        <w:t>化时，发、承包双方应按照省级建设主管部门（或省级行业主管部门）或其授权的工程</w:t>
      </w:r>
      <w:r>
        <w:rPr>
          <w:rFonts w:hint="eastAsia" w:ascii="宋体" w:hAnsi="宋体" w:eastAsia="宋体" w:cs="宋体"/>
          <w:color w:val="auto"/>
          <w:spacing w:val="-1"/>
          <w:sz w:val="24"/>
          <w:szCs w:val="24"/>
          <w:highlight w:val="none"/>
        </w:rPr>
        <w:t>造价管理机构据此发布的最新规定调整合同价款。</w:t>
      </w:r>
    </w:p>
    <w:p w14:paraId="491AEAF4">
      <w:pPr>
        <w:keepNext w:val="0"/>
        <w:keepLines w:val="0"/>
        <w:pageBreakBefore w:val="0"/>
        <w:widowControl w:val="0"/>
        <w:kinsoku w:val="0"/>
        <w:wordWrap/>
        <w:overflowPunct/>
        <w:topLinePunct w:val="0"/>
        <w:autoSpaceDE w:val="0"/>
        <w:autoSpaceDN w:val="0"/>
        <w:bidi w:val="0"/>
        <w:adjustRightInd w:val="0"/>
        <w:snapToGrid w:val="0"/>
        <w:spacing w:before="157" w:line="360" w:lineRule="auto"/>
        <w:ind w:left="12" w:right="183" w:firstLine="479"/>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1"/>
          <w:sz w:val="24"/>
          <w:szCs w:val="24"/>
          <w:highlight w:val="none"/>
        </w:rPr>
        <w:t>注：本招标文件所称“基准日</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11"/>
          <w:sz w:val="24"/>
          <w:szCs w:val="24"/>
          <w:highlight w:val="none"/>
        </w:rPr>
        <w:t>”，均指投标文</w:t>
      </w:r>
      <w:r>
        <w:rPr>
          <w:rFonts w:hint="eastAsia" w:ascii="宋体" w:hAnsi="宋体" w:eastAsia="宋体" w:cs="宋体"/>
          <w:b/>
          <w:bCs/>
          <w:color w:val="auto"/>
          <w:spacing w:val="-12"/>
          <w:sz w:val="24"/>
          <w:szCs w:val="24"/>
          <w:highlight w:val="none"/>
        </w:rPr>
        <w:t>件递交截止时间（见第一章第二节“重</w:t>
      </w:r>
      <w:r>
        <w:rPr>
          <w:rFonts w:hint="eastAsia" w:ascii="宋体" w:hAnsi="宋体" w:eastAsia="宋体" w:cs="宋体"/>
          <w:b/>
          <w:bCs/>
          <w:color w:val="auto"/>
          <w:spacing w:val="-5"/>
          <w:sz w:val="24"/>
          <w:szCs w:val="24"/>
          <w:highlight w:val="none"/>
        </w:rPr>
        <w:t>要事项时间地点一览表</w:t>
      </w:r>
      <w:r>
        <w:rPr>
          <w:rFonts w:hint="eastAsia" w:ascii="宋体" w:hAnsi="宋体" w:eastAsia="宋体" w:cs="宋体"/>
          <w:color w:val="auto"/>
          <w:spacing w:val="-73"/>
          <w:sz w:val="24"/>
          <w:szCs w:val="24"/>
          <w:highlight w:val="none"/>
        </w:rPr>
        <w:t xml:space="preserve"> </w:t>
      </w:r>
      <w:r>
        <w:rPr>
          <w:rFonts w:hint="eastAsia" w:ascii="宋体" w:hAnsi="宋体" w:eastAsia="宋体" w:cs="宋体"/>
          <w:b/>
          <w:bCs/>
          <w:color w:val="auto"/>
          <w:spacing w:val="-5"/>
          <w:sz w:val="24"/>
          <w:szCs w:val="24"/>
          <w:highlight w:val="none"/>
        </w:rPr>
        <w:t>”）前28天。</w:t>
      </w:r>
    </w:p>
    <w:p w14:paraId="4F023809">
      <w:pPr>
        <w:keepNext w:val="0"/>
        <w:keepLines w:val="0"/>
        <w:pageBreakBefore w:val="0"/>
        <w:widowControl w:val="0"/>
        <w:kinsoku w:val="0"/>
        <w:wordWrap/>
        <w:overflowPunct/>
        <w:topLinePunct w:val="0"/>
        <w:autoSpaceDE w:val="0"/>
        <w:autoSpaceDN w:val="0"/>
        <w:bidi w:val="0"/>
        <w:adjustRightInd w:val="0"/>
        <w:snapToGrid w:val="0"/>
        <w:spacing w:before="33" w:line="360" w:lineRule="auto"/>
        <w:ind w:left="11" w:firstLine="476"/>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"2.3.1.2"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2.3.1.2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1"/>
          <w:sz w:val="24"/>
          <w:szCs w:val="24"/>
          <w:highlight w:val="none"/>
        </w:rPr>
        <w:t>因承包人原因导致工程延误，本章第</w:t>
      </w:r>
      <w:r>
        <w:rPr>
          <w:rFonts w:hint="eastAsia" w:ascii="宋体" w:hAnsi="宋体" w:eastAsia="宋体" w:cs="宋体"/>
          <w:b/>
          <w:bCs/>
          <w:color w:val="auto"/>
          <w:spacing w:val="1"/>
          <w:sz w:val="24"/>
          <w:szCs w:val="24"/>
          <w:highlight w:val="none"/>
        </w:rPr>
        <w:t>2</w:t>
      </w:r>
      <w:r>
        <w:rPr>
          <w:rFonts w:hint="eastAsia" w:ascii="宋体" w:hAnsi="宋体" w:eastAsia="宋体" w:cs="宋体"/>
          <w:b/>
          <w:bCs/>
          <w:color w:val="auto"/>
          <w:sz w:val="24"/>
          <w:szCs w:val="24"/>
          <w:highlight w:val="none"/>
        </w:rPr>
        <w:t>.3.1.1</w:t>
      </w:r>
      <w:r>
        <w:rPr>
          <w:rFonts w:hint="eastAsia" w:ascii="宋体" w:hAnsi="宋体" w:eastAsia="宋体" w:cs="宋体"/>
          <w:color w:val="auto"/>
          <w:sz w:val="24"/>
          <w:szCs w:val="24"/>
          <w:highlight w:val="none"/>
        </w:rPr>
        <w:t>子目中的法定机构根据国家法</w:t>
      </w:r>
      <w:r>
        <w:rPr>
          <w:rFonts w:hint="eastAsia" w:ascii="宋体" w:hAnsi="宋体" w:eastAsia="宋体" w:cs="宋体"/>
          <w:color w:val="auto"/>
          <w:spacing w:val="-3"/>
          <w:sz w:val="24"/>
          <w:szCs w:val="24"/>
          <w:highlight w:val="none"/>
        </w:rPr>
        <w:t>律法规变化发布新规的时间在合同工程原定竣工时间之后的，合同价款调增的不予调整，</w:t>
      </w:r>
      <w:r>
        <w:rPr>
          <w:rFonts w:hint="eastAsia" w:ascii="宋体" w:hAnsi="宋体" w:eastAsia="宋体" w:cs="宋体"/>
          <w:color w:val="auto"/>
          <w:spacing w:val="-1"/>
          <w:sz w:val="24"/>
          <w:szCs w:val="24"/>
          <w:highlight w:val="none"/>
        </w:rPr>
        <w:t>合同价款调减的予以调整。</w:t>
      </w:r>
    </w:p>
    <w:p w14:paraId="1EE4469D">
      <w:pPr>
        <w:keepNext w:val="0"/>
        <w:keepLines w:val="0"/>
        <w:pageBreakBefore w:val="0"/>
        <w:widowControl w:val="0"/>
        <w:kinsoku w:val="0"/>
        <w:wordWrap/>
        <w:overflowPunct/>
        <w:topLinePunct w:val="0"/>
        <w:autoSpaceDE w:val="0"/>
        <w:autoSpaceDN w:val="0"/>
        <w:bidi w:val="0"/>
        <w:adjustRightInd w:val="0"/>
        <w:snapToGrid w:val="0"/>
        <w:spacing w:before="155" w:line="360" w:lineRule="auto"/>
        <w:ind w:left="487"/>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2.3.2  </w:t>
      </w:r>
      <w:r>
        <w:rPr>
          <w:rFonts w:hint="eastAsia" w:ascii="宋体" w:hAnsi="宋体" w:eastAsia="宋体" w:cs="宋体"/>
          <w:color w:val="auto"/>
          <w:spacing w:val="-1"/>
          <w:sz w:val="24"/>
          <w:szCs w:val="24"/>
          <w:highlight w:val="none"/>
        </w:rPr>
        <w:t>工程量偏差或变化</w:t>
      </w:r>
    </w:p>
    <w:p w14:paraId="0ED2F0AF">
      <w:pPr>
        <w:keepNext w:val="0"/>
        <w:keepLines w:val="0"/>
        <w:pageBreakBefore w:val="0"/>
        <w:widowControl w:val="0"/>
        <w:kinsoku w:val="0"/>
        <w:wordWrap/>
        <w:overflowPunct/>
        <w:topLinePunct w:val="0"/>
        <w:autoSpaceDE w:val="0"/>
        <w:autoSpaceDN w:val="0"/>
        <w:bidi w:val="0"/>
        <w:adjustRightInd w:val="0"/>
        <w:snapToGrid w:val="0"/>
        <w:spacing w:before="158" w:line="360" w:lineRule="auto"/>
        <w:ind w:left="10" w:right="183" w:firstLine="477"/>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"2.3.2.1"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2.3.2.1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合同履行期间，当应予计算的实际工程量与招标工程量清单出现偏差或因工程变更引起已标价工程量清单项目的工程数量发生变化时，工程量偏差或变化在15%以</w:t>
      </w:r>
      <w:r>
        <w:rPr>
          <w:rFonts w:hint="eastAsia" w:ascii="宋体" w:hAnsi="宋体" w:eastAsia="宋体" w:cs="宋体"/>
          <w:color w:val="auto"/>
          <w:spacing w:val="-4"/>
          <w:sz w:val="24"/>
          <w:szCs w:val="24"/>
          <w:highlight w:val="none"/>
        </w:rPr>
        <w:t>内（含15%）的，其综合单价不予调整；工程量偏差或变化超过15%的，按照以下规定</w:t>
      </w:r>
      <w:r>
        <w:rPr>
          <w:rFonts w:hint="eastAsia" w:ascii="宋体" w:hAnsi="宋体" w:eastAsia="宋体" w:cs="宋体"/>
          <w:color w:val="auto"/>
          <w:spacing w:val="-3"/>
          <w:sz w:val="24"/>
          <w:szCs w:val="24"/>
          <w:highlight w:val="none"/>
        </w:rPr>
        <w:t>调整：</w:t>
      </w:r>
    </w:p>
    <w:p w14:paraId="0C3E80FB">
      <w:pPr>
        <w:keepNext w:val="0"/>
        <w:keepLines w:val="0"/>
        <w:pageBreakBefore w:val="0"/>
        <w:widowControl w:val="0"/>
        <w:kinsoku w:val="0"/>
        <w:wordWrap/>
        <w:overflowPunct/>
        <w:topLinePunct w:val="0"/>
        <w:autoSpaceDE w:val="0"/>
        <w:autoSpaceDN w:val="0"/>
        <w:bidi w:val="0"/>
        <w:adjustRightInd w:val="0"/>
        <w:snapToGrid w:val="0"/>
        <w:spacing w:before="78" w:line="360" w:lineRule="auto"/>
        <w:ind w:left="12" w:firstLine="478"/>
        <w:jc w:val="both"/>
        <w:textAlignment w:val="baseline"/>
        <w:rPr>
          <w:rFonts w:hint="eastAsia" w:ascii="宋体" w:hAnsi="宋体" w:eastAsia="宋体" w:cs="宋体"/>
          <w:color w:val="auto"/>
          <w:sz w:val="24"/>
          <w:szCs w:val="24"/>
          <w:highlight w:val="none"/>
        </w:rPr>
      </w:pPr>
      <w:bookmarkStart w:id="183" w:name="bookmark142"/>
      <w:bookmarkEnd w:id="183"/>
      <w:r>
        <w:rPr>
          <w:rFonts w:hint="eastAsia" w:ascii="宋体" w:hAnsi="宋体" w:eastAsia="宋体" w:cs="宋体"/>
          <w:color w:val="auto"/>
          <w:spacing w:val="-3"/>
          <w:sz w:val="24"/>
          <w:szCs w:val="24"/>
          <w:highlight w:val="none"/>
        </w:rPr>
        <w:t>对于合理报价的清单项目，当工程量增加超过15%时，增加部分的工程量的综合单</w:t>
      </w:r>
      <w:r>
        <w:rPr>
          <w:rFonts w:hint="eastAsia" w:ascii="宋体" w:hAnsi="宋体" w:eastAsia="宋体" w:cs="宋体"/>
          <w:color w:val="auto"/>
          <w:spacing w:val="-7"/>
          <w:sz w:val="24"/>
          <w:szCs w:val="24"/>
          <w:highlight w:val="none"/>
        </w:rPr>
        <w:t>价以</w:t>
      </w:r>
      <w:r>
        <w:rPr>
          <w:rFonts w:hint="eastAsia" w:ascii="宋体" w:hAnsi="宋体" w:eastAsia="宋体" w:cs="宋体"/>
          <w:color w:val="auto"/>
          <w:spacing w:val="-3"/>
          <w:sz w:val="24"/>
          <w:szCs w:val="24"/>
          <w:highlight w:val="none"/>
        </w:rPr>
        <w:t>投标报价《分部分项工程和单价措施项目清单与计价表》中综合单价为基价调低3%；当工程量减少超过15%时，减少后剩余部分的工程量的综合单价以投标报价《分部分项工程和单价措施项目清单与计价表》中综合单价为基价调高3%</w:t>
      </w:r>
      <w:r>
        <w:rPr>
          <w:rFonts w:hint="eastAsia" w:ascii="宋体" w:hAnsi="宋体" w:eastAsia="宋体" w:cs="宋体"/>
          <w:color w:val="auto"/>
          <w:spacing w:val="-1"/>
          <w:sz w:val="24"/>
          <w:szCs w:val="24"/>
          <w:highlight w:val="none"/>
        </w:rPr>
        <w:t>。</w:t>
      </w:r>
    </w:p>
    <w:p w14:paraId="592BA3DF">
      <w:pPr>
        <w:spacing w:before="97" w:line="360" w:lineRule="auto"/>
        <w:ind w:left="13" w:right="179"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对于按照第二章“</w:t>
      </w:r>
      <w:r>
        <w:rPr>
          <w:rFonts w:hint="eastAsia" w:ascii="宋体" w:hAnsi="宋体" w:eastAsia="宋体" w:cs="宋体"/>
          <w:color w:val="auto"/>
          <w:spacing w:val="-89"/>
          <w:sz w:val="24"/>
          <w:szCs w:val="24"/>
          <w:highlight w:val="none"/>
        </w:rPr>
        <w:t xml:space="preserve"> </w:t>
      </w:r>
      <w:r>
        <w:rPr>
          <w:rFonts w:hint="eastAsia" w:ascii="宋体" w:hAnsi="宋体" w:eastAsia="宋体" w:cs="宋体"/>
          <w:b/>
          <w:bCs/>
          <w:color w:val="auto"/>
          <w:spacing w:val="-4"/>
          <w:sz w:val="24"/>
          <w:szCs w:val="24"/>
          <w:highlight w:val="none"/>
        </w:rPr>
        <w:t>中标人须知</w:t>
      </w:r>
      <w:r>
        <w:rPr>
          <w:rFonts w:hint="eastAsia" w:ascii="宋体" w:hAnsi="宋体" w:eastAsia="宋体" w:cs="宋体"/>
          <w:color w:val="auto"/>
          <w:spacing w:val="-89"/>
          <w:sz w:val="24"/>
          <w:szCs w:val="24"/>
          <w:highlight w:val="none"/>
        </w:rPr>
        <w:t xml:space="preserve"> </w:t>
      </w:r>
      <w:r>
        <w:rPr>
          <w:rFonts w:hint="eastAsia" w:ascii="宋体" w:hAnsi="宋体" w:eastAsia="宋体" w:cs="宋体"/>
          <w:b/>
          <w:bCs/>
          <w:color w:val="auto"/>
          <w:spacing w:val="-4"/>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4"/>
          <w:sz w:val="24"/>
          <w:szCs w:val="24"/>
          <w:highlight w:val="none"/>
        </w:rPr>
        <w:t>4.2 条被认定为不平衡报价的清单项目，其综合</w:t>
      </w:r>
      <w:r>
        <w:rPr>
          <w:rFonts w:hint="eastAsia" w:ascii="宋体" w:hAnsi="宋体" w:eastAsia="宋体" w:cs="宋体"/>
          <w:b/>
          <w:bCs/>
          <w:color w:val="auto"/>
          <w:spacing w:val="-3"/>
          <w:sz w:val="24"/>
          <w:szCs w:val="24"/>
          <w:highlight w:val="none"/>
        </w:rPr>
        <w:t>单价按照以下方法调整：</w:t>
      </w:r>
    </w:p>
    <w:p w14:paraId="06C0A7F8">
      <w:pPr>
        <w:spacing w:before="36" w:line="360" w:lineRule="auto"/>
        <w:ind w:firstLine="462"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以招标控制价中《分部分项工程和单价措施项目清单与计价表》子目相对应综合单</w:t>
      </w:r>
      <w:r>
        <w:rPr>
          <w:rFonts w:hint="eastAsia" w:ascii="宋体" w:hAnsi="宋体" w:eastAsia="宋体" w:cs="宋体"/>
          <w:b/>
          <w:bCs/>
          <w:color w:val="auto"/>
          <w:spacing w:val="-3"/>
          <w:sz w:val="24"/>
          <w:szCs w:val="24"/>
          <w:highlight w:val="none"/>
        </w:rPr>
        <w:t>价×（1-中标下浮率）。</w:t>
      </w:r>
    </w:p>
    <w:p w14:paraId="61298CCC">
      <w:pPr>
        <w:spacing w:before="36" w:line="360" w:lineRule="auto"/>
        <w:ind w:firstLine="462" w:firstLineChars="200"/>
        <w:rPr>
          <w:rFonts w:hint="eastAsia" w:ascii="宋体" w:hAnsi="宋体" w:eastAsia="宋体" w:cs="宋体"/>
          <w:b/>
          <w:bCs/>
          <w:color w:val="auto"/>
          <w:spacing w:val="-5"/>
          <w:sz w:val="24"/>
          <w:szCs w:val="24"/>
          <w:highlight w:val="none"/>
        </w:rPr>
      </w:pPr>
      <w:bookmarkStart w:id="184" w:name="_Toc12035"/>
      <w:bookmarkStart w:id="185" w:name="_Toc18478"/>
      <w:bookmarkStart w:id="186" w:name="_Toc13345"/>
      <w:r>
        <w:rPr>
          <w:rFonts w:hint="eastAsia" w:ascii="宋体" w:hAnsi="宋体" w:eastAsia="宋体" w:cs="宋体"/>
          <w:b/>
          <w:bCs/>
          <w:color w:val="auto"/>
          <w:spacing w:val="-5"/>
          <w:sz w:val="24"/>
          <w:szCs w:val="24"/>
          <w:highlight w:val="none"/>
        </w:rPr>
        <w:t>中标下浮率=[1-（中标价-中标绿色施工安全防护措施费-暂列金额-暂估价）/（</w:t>
      </w:r>
      <w:bookmarkEnd w:id="184"/>
      <w:bookmarkEnd w:id="185"/>
      <w:bookmarkStart w:id="187" w:name="_Toc15512"/>
      <w:bookmarkStart w:id="188" w:name="_Toc13602"/>
      <w:r>
        <w:rPr>
          <w:rFonts w:hint="eastAsia" w:ascii="宋体" w:hAnsi="宋体" w:eastAsia="宋体" w:cs="宋体"/>
          <w:b/>
          <w:bCs/>
          <w:color w:val="auto"/>
          <w:spacing w:val="-5"/>
          <w:sz w:val="24"/>
          <w:szCs w:val="24"/>
          <w:highlight w:val="none"/>
        </w:rPr>
        <w:t>招标控制价-控制价绿色施工安全防护措施费-暂列金额-暂估价）]×100%</w:t>
      </w:r>
      <w:bookmarkEnd w:id="186"/>
      <w:bookmarkEnd w:id="187"/>
      <w:bookmarkEnd w:id="188"/>
    </w:p>
    <w:p w14:paraId="39BE2C13">
      <w:pPr>
        <w:spacing w:before="123" w:line="360" w:lineRule="auto"/>
        <w:ind w:left="10" w:right="116" w:firstLine="482"/>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若修正后的该部分《分部分项工程和单价措施项目清单与计价表》总金额大于原投</w:t>
      </w:r>
      <w:r>
        <w:rPr>
          <w:rFonts w:hint="eastAsia" w:ascii="宋体" w:hAnsi="宋体" w:eastAsia="宋体" w:cs="宋体"/>
          <w:color w:val="auto"/>
          <w:spacing w:val="-1"/>
          <w:sz w:val="24"/>
          <w:szCs w:val="24"/>
          <w:highlight w:val="none"/>
        </w:rPr>
        <w:t>标报价中的该部分总金额，则从投标报价需</w:t>
      </w:r>
      <w:r>
        <w:rPr>
          <w:rFonts w:hint="eastAsia" w:ascii="宋体" w:hAnsi="宋体" w:eastAsia="宋体" w:cs="宋体"/>
          <w:color w:val="auto"/>
          <w:spacing w:val="-2"/>
          <w:sz w:val="24"/>
          <w:szCs w:val="24"/>
          <w:highlight w:val="none"/>
        </w:rPr>
        <w:t>调高的综合单价中选择偏离最大的清单开始</w:t>
      </w:r>
      <w:r>
        <w:rPr>
          <w:rFonts w:hint="eastAsia" w:ascii="宋体" w:hAnsi="宋体" w:eastAsia="宋体" w:cs="宋体"/>
          <w:color w:val="auto"/>
          <w:spacing w:val="-1"/>
          <w:sz w:val="24"/>
          <w:szCs w:val="24"/>
          <w:highlight w:val="none"/>
        </w:rPr>
        <w:t>调整，调整幅度逐步减少，直至修正后的该</w:t>
      </w:r>
      <w:r>
        <w:rPr>
          <w:rFonts w:hint="eastAsia" w:ascii="宋体" w:hAnsi="宋体" w:eastAsia="宋体" w:cs="宋体"/>
          <w:color w:val="auto"/>
          <w:spacing w:val="-2"/>
          <w:sz w:val="24"/>
          <w:szCs w:val="24"/>
          <w:highlight w:val="none"/>
        </w:rPr>
        <w:t>部分《分部分项工程和单价措施项目清单与</w:t>
      </w:r>
      <w:r>
        <w:rPr>
          <w:rFonts w:hint="eastAsia" w:ascii="宋体" w:hAnsi="宋体" w:eastAsia="宋体" w:cs="宋体"/>
          <w:color w:val="auto"/>
          <w:spacing w:val="-1"/>
          <w:sz w:val="24"/>
          <w:szCs w:val="24"/>
          <w:highlight w:val="none"/>
        </w:rPr>
        <w:t>计价表》总金额与原投标报价中的该部分总</w:t>
      </w:r>
      <w:r>
        <w:rPr>
          <w:rFonts w:hint="eastAsia" w:ascii="宋体" w:hAnsi="宋体" w:eastAsia="宋体" w:cs="宋体"/>
          <w:color w:val="auto"/>
          <w:spacing w:val="-2"/>
          <w:sz w:val="24"/>
          <w:szCs w:val="24"/>
          <w:highlight w:val="none"/>
        </w:rPr>
        <w:t>金额一致；若修正后的该部分《分部分项工</w:t>
      </w:r>
      <w:r>
        <w:rPr>
          <w:rFonts w:hint="eastAsia" w:ascii="宋体" w:hAnsi="宋体" w:eastAsia="宋体" w:cs="宋体"/>
          <w:color w:val="auto"/>
          <w:spacing w:val="-1"/>
          <w:sz w:val="24"/>
          <w:szCs w:val="24"/>
          <w:highlight w:val="none"/>
        </w:rPr>
        <w:t>程和单价措施项目清单与计价表》总金额小</w:t>
      </w:r>
      <w:r>
        <w:rPr>
          <w:rFonts w:hint="eastAsia" w:ascii="宋体" w:hAnsi="宋体" w:eastAsia="宋体" w:cs="宋体"/>
          <w:color w:val="auto"/>
          <w:spacing w:val="-2"/>
          <w:sz w:val="24"/>
          <w:szCs w:val="24"/>
          <w:highlight w:val="none"/>
        </w:rPr>
        <w:t>于原投标报价中的该部分总金额，则从投标</w:t>
      </w:r>
      <w:r>
        <w:rPr>
          <w:rFonts w:hint="eastAsia" w:ascii="宋体" w:hAnsi="宋体" w:eastAsia="宋体" w:cs="宋体"/>
          <w:color w:val="auto"/>
          <w:spacing w:val="-1"/>
          <w:sz w:val="24"/>
          <w:szCs w:val="24"/>
          <w:highlight w:val="none"/>
        </w:rPr>
        <w:t>报价需调低的综合单价中选择偏离最大的清</w:t>
      </w:r>
      <w:r>
        <w:rPr>
          <w:rFonts w:hint="eastAsia" w:ascii="宋体" w:hAnsi="宋体" w:eastAsia="宋体" w:cs="宋体"/>
          <w:color w:val="auto"/>
          <w:spacing w:val="-2"/>
          <w:sz w:val="24"/>
          <w:szCs w:val="24"/>
          <w:highlight w:val="none"/>
        </w:rPr>
        <w:t>单开始调整，调整幅度逐步减少，直至修正</w:t>
      </w:r>
      <w:r>
        <w:rPr>
          <w:rFonts w:hint="eastAsia" w:ascii="宋体" w:hAnsi="宋体" w:eastAsia="宋体" w:cs="宋体"/>
          <w:color w:val="auto"/>
          <w:spacing w:val="-1"/>
          <w:sz w:val="24"/>
          <w:szCs w:val="24"/>
          <w:highlight w:val="none"/>
        </w:rPr>
        <w:t>后的该部分《分部分项工程和单价措施项目</w:t>
      </w:r>
      <w:r>
        <w:rPr>
          <w:rFonts w:hint="eastAsia" w:ascii="宋体" w:hAnsi="宋体" w:eastAsia="宋体" w:cs="宋体"/>
          <w:color w:val="auto"/>
          <w:spacing w:val="-2"/>
          <w:sz w:val="24"/>
          <w:szCs w:val="24"/>
          <w:highlight w:val="none"/>
        </w:rPr>
        <w:t>清单与计价表》总金额与原投标报价中的该</w:t>
      </w:r>
      <w:r>
        <w:rPr>
          <w:rFonts w:hint="eastAsia" w:ascii="宋体" w:hAnsi="宋体" w:eastAsia="宋体" w:cs="宋体"/>
          <w:color w:val="auto"/>
          <w:spacing w:val="-12"/>
          <w:sz w:val="24"/>
          <w:szCs w:val="24"/>
          <w:highlight w:val="none"/>
        </w:rPr>
        <w:t>部分总金额一致。修正后的总造价应与总中标价保持一致，形成《不平衡报价修正报告》，</w:t>
      </w:r>
      <w:r>
        <w:rPr>
          <w:rFonts w:hint="eastAsia" w:ascii="宋体" w:hAnsi="宋体" w:eastAsia="宋体" w:cs="宋体"/>
          <w:color w:val="auto"/>
          <w:spacing w:val="-1"/>
          <w:sz w:val="24"/>
          <w:szCs w:val="24"/>
          <w:highlight w:val="none"/>
        </w:rPr>
        <w:t>并由招标人和中标人共同签章确认。</w:t>
      </w:r>
    </w:p>
    <w:p w14:paraId="782B9F57">
      <w:pPr>
        <w:keepNext w:val="0"/>
        <w:keepLines w:val="0"/>
        <w:pageBreakBefore w:val="0"/>
        <w:widowControl w:val="0"/>
        <w:kinsoku w:val="0"/>
        <w:wordWrap/>
        <w:overflowPunct/>
        <w:topLinePunct w:val="0"/>
        <w:autoSpaceDE w:val="0"/>
        <w:autoSpaceDN w:val="0"/>
        <w:bidi w:val="0"/>
        <w:adjustRightInd w:val="0"/>
        <w:snapToGrid w:val="0"/>
        <w:spacing w:before="129" w:line="360" w:lineRule="auto"/>
        <w:ind w:left="12" w:right="179" w:firstLine="476"/>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"2.3.2.2"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2.3.2.2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如果工程量出现本章第</w:t>
      </w:r>
      <w:r>
        <w:rPr>
          <w:rFonts w:hint="eastAsia" w:ascii="宋体" w:hAnsi="宋体" w:eastAsia="宋体" w:cs="宋体"/>
          <w:color w:val="auto"/>
          <w:spacing w:val="-41"/>
          <w:sz w:val="24"/>
          <w:szCs w:val="24"/>
          <w:highlight w:val="none"/>
        </w:rPr>
        <w:t xml:space="preserve"> </w:t>
      </w:r>
      <w:r>
        <w:rPr>
          <w:rFonts w:hint="eastAsia" w:ascii="宋体" w:hAnsi="宋体" w:eastAsia="宋体" w:cs="宋体"/>
          <w:b/>
          <w:bCs/>
          <w:color w:val="auto"/>
          <w:spacing w:val="1"/>
          <w:sz w:val="24"/>
          <w:szCs w:val="24"/>
          <w:highlight w:val="none"/>
        </w:rPr>
        <w:t>2.3.2.1</w:t>
      </w:r>
      <w:r>
        <w:rPr>
          <w:rFonts w:hint="eastAsia" w:ascii="宋体" w:hAnsi="宋体" w:eastAsia="宋体" w:cs="宋体"/>
          <w:color w:val="auto"/>
          <w:spacing w:val="1"/>
          <w:sz w:val="24"/>
          <w:szCs w:val="24"/>
          <w:highlight w:val="none"/>
        </w:rPr>
        <w:t>子目的变化，且该变化引起相关措施项目相</w:t>
      </w:r>
      <w:r>
        <w:rPr>
          <w:rFonts w:hint="eastAsia" w:ascii="宋体" w:hAnsi="宋体" w:eastAsia="宋体" w:cs="宋体"/>
          <w:color w:val="auto"/>
          <w:spacing w:val="-2"/>
          <w:sz w:val="24"/>
          <w:szCs w:val="24"/>
          <w:highlight w:val="none"/>
        </w:rPr>
        <w:t>应发生变化时，按系数或单一总价方式计价的，工程量增加的措施项目费调增，工程量</w:t>
      </w:r>
      <w:r>
        <w:rPr>
          <w:rFonts w:hint="eastAsia" w:ascii="宋体" w:hAnsi="宋体" w:eastAsia="宋体" w:cs="宋体"/>
          <w:color w:val="auto"/>
          <w:spacing w:val="-1"/>
          <w:sz w:val="24"/>
          <w:szCs w:val="24"/>
          <w:highlight w:val="none"/>
        </w:rPr>
        <w:t>减少的措施项目费调减。</w:t>
      </w:r>
    </w:p>
    <w:p w14:paraId="7886ACB1">
      <w:pPr>
        <w:keepNext w:val="0"/>
        <w:keepLines w:val="0"/>
        <w:pageBreakBefore w:val="0"/>
        <w:widowControl w:val="0"/>
        <w:kinsoku w:val="0"/>
        <w:wordWrap/>
        <w:overflowPunct/>
        <w:topLinePunct w:val="0"/>
        <w:autoSpaceDE w:val="0"/>
        <w:autoSpaceDN w:val="0"/>
        <w:bidi w:val="0"/>
        <w:adjustRightInd w:val="0"/>
        <w:snapToGrid w:val="0"/>
        <w:spacing w:before="154" w:line="360" w:lineRule="auto"/>
        <w:ind w:left="488"/>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2.3.3  </w:t>
      </w:r>
      <w:r>
        <w:rPr>
          <w:rFonts w:hint="eastAsia" w:ascii="宋体" w:hAnsi="宋体" w:eastAsia="宋体" w:cs="宋体"/>
          <w:color w:val="auto"/>
          <w:spacing w:val="-1"/>
          <w:sz w:val="24"/>
          <w:szCs w:val="24"/>
          <w:highlight w:val="none"/>
        </w:rPr>
        <w:t>工程变更</w:t>
      </w:r>
    </w:p>
    <w:p w14:paraId="29131641">
      <w:pPr>
        <w:keepNext w:val="0"/>
        <w:keepLines w:val="0"/>
        <w:pageBreakBefore w:val="0"/>
        <w:widowControl w:val="0"/>
        <w:kinsoku w:val="0"/>
        <w:wordWrap/>
        <w:overflowPunct/>
        <w:topLinePunct w:val="0"/>
        <w:autoSpaceDE w:val="0"/>
        <w:autoSpaceDN w:val="0"/>
        <w:bidi w:val="0"/>
        <w:adjustRightInd w:val="0"/>
        <w:snapToGrid w:val="0"/>
        <w:spacing w:before="153" w:line="360" w:lineRule="auto"/>
        <w:ind w:left="19" w:right="179" w:firstLine="468"/>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合同履行期间，因工程变更引起已标价工程量清单项目发生变化时，按照以下规定调整：</w:t>
      </w:r>
    </w:p>
    <w:p w14:paraId="2F17D402">
      <w:pPr>
        <w:keepNext w:val="0"/>
        <w:keepLines w:val="0"/>
        <w:pageBreakBefore w:val="0"/>
        <w:widowControl w:val="0"/>
        <w:numPr>
          <w:ilvl w:val="0"/>
          <w:numId w:val="1"/>
        </w:numPr>
        <w:kinsoku w:val="0"/>
        <w:wordWrap/>
        <w:overflowPunct/>
        <w:topLinePunct w:val="0"/>
        <w:autoSpaceDE w:val="0"/>
        <w:autoSpaceDN w:val="0"/>
        <w:bidi w:val="0"/>
        <w:adjustRightInd w:val="0"/>
        <w:snapToGrid w:val="0"/>
        <w:spacing w:before="78" w:line="360" w:lineRule="auto"/>
        <w:ind w:firstLine="242" w:firstLineChars="100"/>
        <w:textAlignment w:val="baseline"/>
        <w:rPr>
          <w:rFonts w:hint="eastAsia" w:ascii="宋体" w:hAnsi="宋体" w:eastAsia="宋体" w:cs="宋体"/>
          <w:b/>
          <w:bCs/>
          <w:color w:val="auto"/>
          <w:spacing w:val="-2"/>
          <w:sz w:val="24"/>
          <w:szCs w:val="24"/>
          <w:highlight w:val="none"/>
        </w:rPr>
      </w:pPr>
      <w:r>
        <w:rPr>
          <w:rFonts w:hint="eastAsia" w:ascii="宋体" w:hAnsi="宋体" w:eastAsia="宋体" w:cs="宋体"/>
          <w:color w:val="auto"/>
          <w:spacing w:val="1"/>
          <w:sz w:val="24"/>
          <w:szCs w:val="24"/>
          <w:highlight w:val="none"/>
        </w:rPr>
        <w:t>已标价工程量清单中有适用于变更工程项目的，采用该项目的单价。</w:t>
      </w:r>
      <w:r>
        <w:rPr>
          <w:rFonts w:hint="eastAsia" w:ascii="宋体" w:hAnsi="宋体" w:eastAsia="宋体" w:cs="宋体"/>
          <w:b/>
          <w:bCs/>
          <w:color w:val="auto"/>
          <w:spacing w:val="1"/>
          <w:sz w:val="24"/>
          <w:szCs w:val="24"/>
          <w:highlight w:val="none"/>
        </w:rPr>
        <w:t>但如果</w:t>
      </w:r>
      <w:bookmarkStart w:id="189" w:name="bookmark143"/>
      <w:bookmarkEnd w:id="189"/>
      <w:r>
        <w:rPr>
          <w:rFonts w:hint="eastAsia" w:ascii="宋体" w:hAnsi="宋体" w:eastAsia="宋体" w:cs="宋体"/>
          <w:b/>
          <w:bCs/>
          <w:color w:val="auto"/>
          <w:spacing w:val="-7"/>
          <w:sz w:val="24"/>
          <w:szCs w:val="24"/>
          <w:highlight w:val="none"/>
        </w:rPr>
        <w:t>被采用的项目属于按照第二章“中标人须知</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7"/>
          <w:sz w:val="24"/>
          <w:szCs w:val="24"/>
          <w:highlight w:val="none"/>
        </w:rPr>
        <w:t>”第</w:t>
      </w:r>
      <w:r>
        <w:rPr>
          <w:rFonts w:hint="eastAsia" w:ascii="宋体" w:hAnsi="宋体" w:eastAsia="宋体" w:cs="宋体"/>
          <w:b/>
          <w:bCs/>
          <w:color w:val="auto"/>
          <w:spacing w:val="-8"/>
          <w:sz w:val="24"/>
          <w:szCs w:val="24"/>
          <w:highlight w:val="none"/>
        </w:rPr>
        <w:t>4.2条被认定为不平衡报价的清单项目，</w:t>
      </w:r>
      <w:r>
        <w:rPr>
          <w:rFonts w:hint="eastAsia" w:ascii="宋体" w:hAnsi="宋体" w:eastAsia="宋体" w:cs="宋体"/>
          <w:b/>
          <w:bCs/>
          <w:color w:val="auto"/>
          <w:spacing w:val="-2"/>
          <w:sz w:val="24"/>
          <w:szCs w:val="24"/>
          <w:highlight w:val="none"/>
        </w:rPr>
        <w:t>变更工程项目的单价按照</w:t>
      </w:r>
      <w:r>
        <w:rPr>
          <w:rFonts w:hint="eastAsia" w:ascii="宋体" w:hAnsi="宋体" w:eastAsia="宋体" w:cs="宋体"/>
          <w:b/>
          <w:bCs/>
          <w:color w:val="auto"/>
          <w:spacing w:val="-7"/>
          <w:sz w:val="24"/>
          <w:szCs w:val="24"/>
          <w:highlight w:val="none"/>
        </w:rPr>
        <w:t>本章2.3.2.1的</w:t>
      </w:r>
      <w:r>
        <w:rPr>
          <w:rFonts w:hint="eastAsia" w:ascii="宋体" w:hAnsi="宋体" w:eastAsia="宋体" w:cs="宋体"/>
          <w:b/>
          <w:bCs/>
          <w:color w:val="auto"/>
          <w:spacing w:val="-2"/>
          <w:sz w:val="24"/>
          <w:szCs w:val="24"/>
          <w:highlight w:val="none"/>
        </w:rPr>
        <w:t>方法调整。】</w:t>
      </w:r>
    </w:p>
    <w:p w14:paraId="5D4EF1F6">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before="78" w:line="360" w:lineRule="auto"/>
        <w:ind w:firstLine="237" w:firstLineChars="1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b/>
          <w:bCs/>
          <w:color w:val="auto"/>
          <w:spacing w:val="-2"/>
          <w:sz w:val="24"/>
          <w:szCs w:val="24"/>
          <w:highlight w:val="none"/>
          <w:lang w:val="en-US" w:eastAsia="zh-CN"/>
        </w:rPr>
        <w:t>2</w:t>
      </w: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color w:val="auto"/>
          <w:spacing w:val="1"/>
          <w:sz w:val="24"/>
          <w:szCs w:val="24"/>
          <w:highlight w:val="none"/>
        </w:rPr>
        <w:t>已标价工程量清单中没有适用但有类似于变更工程项目的，可在合理范围内</w:t>
      </w:r>
      <w:r>
        <w:rPr>
          <w:rFonts w:hint="eastAsia" w:ascii="宋体" w:hAnsi="宋体" w:eastAsia="宋体" w:cs="宋体"/>
          <w:color w:val="auto"/>
          <w:spacing w:val="-3"/>
          <w:sz w:val="24"/>
          <w:szCs w:val="24"/>
          <w:highlight w:val="none"/>
        </w:rPr>
        <w:t>参照类似项目的单价。</w:t>
      </w:r>
      <w:r>
        <w:rPr>
          <w:rFonts w:hint="eastAsia" w:ascii="宋体" w:hAnsi="宋体" w:eastAsia="宋体" w:cs="宋体"/>
          <w:b/>
          <w:bCs/>
          <w:color w:val="auto"/>
          <w:spacing w:val="-3"/>
          <w:sz w:val="24"/>
          <w:szCs w:val="24"/>
          <w:highlight w:val="none"/>
        </w:rPr>
        <w:t>但如果被参考的类似项目属于按照第二章“</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4"/>
          <w:sz w:val="24"/>
          <w:szCs w:val="24"/>
          <w:highlight w:val="none"/>
        </w:rPr>
        <w:t>中标人须知</w:t>
      </w:r>
      <w:r>
        <w:rPr>
          <w:rFonts w:hint="eastAsia" w:ascii="宋体" w:hAnsi="宋体" w:eastAsia="宋体" w:cs="宋体"/>
          <w:color w:val="auto"/>
          <w:spacing w:val="-85"/>
          <w:sz w:val="24"/>
          <w:szCs w:val="24"/>
          <w:highlight w:val="none"/>
        </w:rPr>
        <w:t xml:space="preserve"> </w:t>
      </w:r>
      <w:r>
        <w:rPr>
          <w:rFonts w:hint="eastAsia" w:ascii="宋体" w:hAnsi="宋体" w:eastAsia="宋体" w:cs="宋体"/>
          <w:b/>
          <w:bCs/>
          <w:color w:val="auto"/>
          <w:spacing w:val="-4"/>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4"/>
          <w:sz w:val="24"/>
          <w:szCs w:val="24"/>
          <w:highlight w:val="none"/>
        </w:rPr>
        <w:t>4.2</w:t>
      </w:r>
      <w:r>
        <w:rPr>
          <w:rFonts w:hint="eastAsia" w:ascii="宋体" w:hAnsi="宋体" w:eastAsia="宋体" w:cs="宋体"/>
          <w:b/>
          <w:bCs/>
          <w:color w:val="auto"/>
          <w:sz w:val="24"/>
          <w:szCs w:val="24"/>
          <w:highlight w:val="none"/>
        </w:rPr>
        <w:t xml:space="preserve">  </w:t>
      </w:r>
      <w:r>
        <w:rPr>
          <w:rFonts w:hint="eastAsia" w:ascii="宋体" w:hAnsi="宋体" w:eastAsia="宋体" w:cs="宋体"/>
          <w:b/>
          <w:bCs/>
          <w:color w:val="auto"/>
          <w:spacing w:val="-4"/>
          <w:sz w:val="24"/>
          <w:szCs w:val="24"/>
          <w:highlight w:val="none"/>
        </w:rPr>
        <w:t>条被认定为不平衡报价的清单项目，变更工程项目的单价按照本章2.3.2.1的方法调整。</w:t>
      </w:r>
    </w:p>
    <w:p w14:paraId="4FD06660">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before="38" w:line="360" w:lineRule="auto"/>
        <w:ind w:right="81" w:rightChars="0" w:firstLine="242" w:firstLineChars="100"/>
        <w:jc w:val="both"/>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3</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已标价工程量清单中没有适用也没有类似于变更工程项目的，由承包人根据</w:t>
      </w:r>
      <w:r>
        <w:rPr>
          <w:rFonts w:hint="eastAsia" w:ascii="宋体" w:hAnsi="宋体" w:eastAsia="宋体" w:cs="宋体"/>
          <w:color w:val="auto"/>
          <w:spacing w:val="-2"/>
          <w:sz w:val="24"/>
          <w:szCs w:val="24"/>
          <w:highlight w:val="none"/>
        </w:rPr>
        <w:t>变更工程资料、计量规则、计价办法、施工当月项目所在地工程造价管理机构发布的价格信息和中标下浮率提出变更工程项目的单价，报发包人确认后调整。中标下浮率的计算公式如下：</w:t>
      </w:r>
    </w:p>
    <w:p w14:paraId="0D466BC9">
      <w:pPr>
        <w:keepNext w:val="0"/>
        <w:keepLines w:val="0"/>
        <w:pageBreakBefore w:val="0"/>
        <w:widowControl w:val="0"/>
        <w:kinsoku w:val="0"/>
        <w:wordWrap/>
        <w:overflowPunct/>
        <w:topLinePunct w:val="0"/>
        <w:autoSpaceDE w:val="0"/>
        <w:autoSpaceDN w:val="0"/>
        <w:bidi w:val="0"/>
        <w:adjustRightInd w:val="0"/>
        <w:snapToGrid w:val="0"/>
        <w:spacing w:before="126" w:line="360" w:lineRule="auto"/>
        <w:ind w:left="29" w:right="21" w:firstLine="503"/>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中标下浮率=[1-（中标价-中标绿色施工安全防护措施费-暂列</w:t>
      </w:r>
      <w:r>
        <w:rPr>
          <w:rFonts w:hint="eastAsia" w:ascii="宋体" w:hAnsi="宋体" w:eastAsia="宋体" w:cs="宋体"/>
          <w:b/>
          <w:bCs/>
          <w:color w:val="auto"/>
          <w:spacing w:val="-3"/>
          <w:sz w:val="24"/>
          <w:szCs w:val="24"/>
          <w:highlight w:val="none"/>
        </w:rPr>
        <w:t>金额-暂估价）/（招标控制价-控制价绿色施工安全防护措施费-暂列金额-暂估价）]×100%</w:t>
      </w:r>
    </w:p>
    <w:p w14:paraId="313D8513">
      <w:pPr>
        <w:spacing w:before="145" w:line="360" w:lineRule="auto"/>
        <w:ind w:right="81" w:firstLine="242" w:firstLineChars="1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4</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已标价工程量清单中没有适用也没有类似于变更工程项目，且施工当月项目</w:t>
      </w:r>
      <w:r>
        <w:rPr>
          <w:rFonts w:hint="eastAsia" w:ascii="宋体" w:hAnsi="宋体" w:eastAsia="宋体" w:cs="宋体"/>
          <w:color w:val="auto"/>
          <w:spacing w:val="-1"/>
          <w:sz w:val="24"/>
          <w:szCs w:val="24"/>
          <w:highlight w:val="none"/>
        </w:rPr>
        <w:t>所在地工程造价管理机构发布的价格信息缺</w:t>
      </w:r>
      <w:r>
        <w:rPr>
          <w:rFonts w:hint="eastAsia" w:ascii="宋体" w:hAnsi="宋体" w:eastAsia="宋体" w:cs="宋体"/>
          <w:color w:val="auto"/>
          <w:spacing w:val="-2"/>
          <w:sz w:val="24"/>
          <w:szCs w:val="24"/>
          <w:highlight w:val="none"/>
        </w:rPr>
        <w:t>项的，由承包人根据变更工程资料、计量规</w:t>
      </w:r>
      <w:r>
        <w:rPr>
          <w:rFonts w:hint="eastAsia" w:ascii="宋体" w:hAnsi="宋体" w:eastAsia="宋体" w:cs="宋体"/>
          <w:color w:val="auto"/>
          <w:spacing w:val="-1"/>
          <w:sz w:val="24"/>
          <w:szCs w:val="24"/>
          <w:highlight w:val="none"/>
        </w:rPr>
        <w:t>则、计价办法和通过市场调查等取得有合法</w:t>
      </w:r>
      <w:r>
        <w:rPr>
          <w:rFonts w:hint="eastAsia" w:ascii="宋体" w:hAnsi="宋体" w:eastAsia="宋体" w:cs="宋体"/>
          <w:color w:val="auto"/>
          <w:spacing w:val="-2"/>
          <w:sz w:val="24"/>
          <w:szCs w:val="24"/>
          <w:highlight w:val="none"/>
        </w:rPr>
        <w:t>依据的市场价格提出变更工程项目的单价，</w:t>
      </w:r>
      <w:r>
        <w:rPr>
          <w:rFonts w:hint="eastAsia" w:ascii="宋体" w:hAnsi="宋体" w:eastAsia="宋体" w:cs="宋体"/>
          <w:color w:val="auto"/>
          <w:spacing w:val="-1"/>
          <w:sz w:val="24"/>
          <w:szCs w:val="24"/>
          <w:highlight w:val="none"/>
        </w:rPr>
        <w:t>报发包人确认后调整。</w:t>
      </w:r>
    </w:p>
    <w:p w14:paraId="4CB9A71B">
      <w:pPr>
        <w:spacing w:before="156" w:line="360" w:lineRule="auto"/>
        <w:ind w:left="7" w:right="81"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2.3.3.2</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工程变更引起施工方案改变并使措施项目发生变化时，承包人提出调整措施</w:t>
      </w:r>
      <w:r>
        <w:rPr>
          <w:rFonts w:hint="eastAsia" w:ascii="宋体" w:hAnsi="宋体" w:eastAsia="宋体" w:cs="宋体"/>
          <w:color w:val="auto"/>
          <w:spacing w:val="-2"/>
          <w:sz w:val="24"/>
          <w:szCs w:val="24"/>
          <w:highlight w:val="none"/>
        </w:rPr>
        <w:t>项目费的，应事先将拟实施的方案提交发包人确认，并应详细说明与原方案措施项目相比的变化情况。拟实施的方案经发、承包双方确认后执行，并按照本章下列规定调整措施项目费：</w:t>
      </w:r>
    </w:p>
    <w:p w14:paraId="54AFFB1B">
      <w:pPr>
        <w:spacing w:before="152" w:line="360" w:lineRule="auto"/>
        <w:ind w:left="49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（1）绿色施工安全防护措施费应按照实际发生变化的措施项目计算。</w:t>
      </w:r>
    </w:p>
    <w:p w14:paraId="6BE2B1F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（2）采用单价计算的措施项目费，应按照实际发生变化的措施项目，按本章</w:t>
      </w:r>
      <w:r>
        <w:rPr>
          <w:rFonts w:hint="eastAsia" w:ascii="宋体" w:hAnsi="宋体" w:eastAsia="宋体" w:cs="宋体"/>
          <w:sz w:val="24"/>
          <w:szCs w:val="24"/>
          <w:lang w:eastAsia="zh-CN"/>
        </w:rPr>
        <w:t>第</w:t>
      </w:r>
      <w:r>
        <w:rPr>
          <w:rFonts w:hint="eastAsia" w:ascii="宋体" w:hAnsi="宋体" w:eastAsia="宋体" w:cs="宋体"/>
          <w:sz w:val="24"/>
          <w:szCs w:val="24"/>
        </w:rPr>
        <w:t>2.3.3.1子目的规定确定单价。</w:t>
      </w:r>
    </w:p>
    <w:p w14:paraId="245221E6">
      <w:pPr>
        <w:spacing w:before="154" w:line="360" w:lineRule="auto"/>
        <w:ind w:left="8" w:right="81" w:firstLine="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（3）按总价或系数计算的措施项目费，应按照实际发生变化的措施项目费调整并</w:t>
      </w:r>
      <w:r>
        <w:rPr>
          <w:rFonts w:hint="eastAsia" w:ascii="宋体" w:hAnsi="宋体" w:eastAsia="宋体" w:cs="宋体"/>
          <w:color w:val="auto"/>
          <w:spacing w:val="-3"/>
          <w:sz w:val="24"/>
          <w:szCs w:val="24"/>
          <w:highlight w:val="none"/>
        </w:rPr>
        <w:t>考虑中标下浮率因素，即调整金额</w:t>
      </w:r>
      <w:r>
        <w:rPr>
          <w:rFonts w:hint="eastAsia" w:ascii="宋体" w:hAnsi="宋体" w:eastAsia="宋体" w:cs="宋体"/>
          <w:color w:val="auto"/>
          <w:spacing w:val="-3"/>
          <w:sz w:val="24"/>
          <w:szCs w:val="24"/>
          <w:highlight w:val="none"/>
          <w:lang w:val="en-US" w:eastAsia="zh-CN"/>
        </w:rPr>
        <w:t>=</w:t>
      </w:r>
      <w:r>
        <w:rPr>
          <w:rFonts w:hint="eastAsia" w:ascii="宋体" w:hAnsi="宋体" w:eastAsia="宋体" w:cs="宋体"/>
          <w:color w:val="auto"/>
          <w:spacing w:val="-3"/>
          <w:sz w:val="24"/>
          <w:szCs w:val="24"/>
          <w:highlight w:val="none"/>
        </w:rPr>
        <w:t>按照实际变化调整后的金额×（1-中标下浮率）。</w:t>
      </w:r>
    </w:p>
    <w:p w14:paraId="3A0EE7AE">
      <w:pPr>
        <w:spacing w:before="157" w:line="360" w:lineRule="auto"/>
        <w:ind w:left="21" w:right="81" w:firstLine="47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如果承包人未事先将拟实施的方案提交发包人确认，视为工程变更不引起措施项目费的调整或承包人放弃调整措施项目费的权利。</w:t>
      </w:r>
    </w:p>
    <w:p w14:paraId="70B170F6">
      <w:pPr>
        <w:spacing w:before="35" w:line="360" w:lineRule="auto"/>
        <w:ind w:right="81" w:firstLine="420" w:firstLineChars="200"/>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2.3.3.3</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当因非承包人原因，发包人提出的工程变更删减了合同中的某项原定工作或</w:t>
      </w:r>
      <w:r>
        <w:rPr>
          <w:rFonts w:hint="eastAsia" w:ascii="宋体" w:hAnsi="宋体" w:eastAsia="宋体" w:cs="宋体"/>
          <w:color w:val="auto"/>
          <w:spacing w:val="-2"/>
          <w:sz w:val="24"/>
          <w:szCs w:val="24"/>
          <w:highlight w:val="none"/>
        </w:rPr>
        <w:t>工程，致使承包人发生的费用或（和）得到的收益不能被包括在其他已支付或应支付的项目中，也未被包含在任何替代的工作或工程中时，承包人有权提出并应得到合理的费用及利润补偿。</w:t>
      </w:r>
    </w:p>
    <w:p w14:paraId="6426E076">
      <w:pPr>
        <w:spacing w:before="155" w:line="360"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2.3.4  </w:t>
      </w:r>
      <w:r>
        <w:rPr>
          <w:rFonts w:hint="eastAsia" w:ascii="宋体" w:hAnsi="宋体" w:eastAsia="宋体" w:cs="宋体"/>
          <w:color w:val="auto"/>
          <w:spacing w:val="-1"/>
          <w:sz w:val="24"/>
          <w:szCs w:val="24"/>
          <w:highlight w:val="none"/>
        </w:rPr>
        <w:t>项目特征不符</w:t>
      </w:r>
    </w:p>
    <w:p w14:paraId="181F3456">
      <w:pPr>
        <w:spacing w:before="78" w:line="360" w:lineRule="auto"/>
        <w:ind w:left="8" w:right="108" w:firstLine="480"/>
        <w:jc w:val="both"/>
        <w:rPr>
          <w:rFonts w:hint="eastAsia" w:ascii="宋体" w:hAnsi="宋体" w:eastAsia="宋体" w:cs="宋体"/>
          <w:color w:val="auto"/>
          <w:sz w:val="24"/>
          <w:szCs w:val="24"/>
          <w:highlight w:val="none"/>
        </w:rPr>
      </w:pPr>
      <w:bookmarkStart w:id="190" w:name="bookmark144"/>
      <w:bookmarkEnd w:id="190"/>
      <w:r>
        <w:rPr>
          <w:rFonts w:hint="eastAsia" w:ascii="宋体" w:hAnsi="宋体" w:eastAsia="宋体" w:cs="宋体"/>
          <w:color w:val="auto"/>
          <w:spacing w:val="-2"/>
          <w:sz w:val="24"/>
          <w:szCs w:val="24"/>
          <w:highlight w:val="none"/>
        </w:rPr>
        <w:t>承包人应按照发包人提供的设计图纸实施合同工程，若在合同履行期间出现设计图纸（含设计变更）与招标工程量清单任一项目的特征描述不符，且该变化引起该项目工</w:t>
      </w:r>
      <w:r>
        <w:rPr>
          <w:rFonts w:hint="eastAsia" w:ascii="宋体" w:hAnsi="宋体" w:eastAsia="宋体" w:cs="宋体"/>
          <w:color w:val="auto"/>
          <w:sz w:val="24"/>
          <w:szCs w:val="24"/>
          <w:highlight w:val="none"/>
        </w:rPr>
        <w:t>程造价增减变化的，应按照实际施工的项目特征，并按本章第</w:t>
      </w:r>
      <w:r>
        <w:rPr>
          <w:rFonts w:hint="eastAsia" w:ascii="宋体" w:hAnsi="宋体" w:eastAsia="宋体" w:cs="宋体"/>
          <w:b/>
          <w:bCs/>
          <w:color w:val="auto"/>
          <w:sz w:val="24"/>
          <w:szCs w:val="24"/>
          <w:highlight w:val="none"/>
        </w:rPr>
        <w:t>2.3.3</w:t>
      </w:r>
      <w:r>
        <w:rPr>
          <w:rFonts w:hint="eastAsia" w:ascii="宋体" w:hAnsi="宋体" w:eastAsia="宋体" w:cs="宋体"/>
          <w:color w:val="auto"/>
          <w:sz w:val="24"/>
          <w:szCs w:val="24"/>
          <w:highlight w:val="none"/>
        </w:rPr>
        <w:t>目相</w:t>
      </w:r>
      <w:r>
        <w:rPr>
          <w:rFonts w:hint="eastAsia" w:ascii="宋体" w:hAnsi="宋体" w:eastAsia="宋体" w:cs="宋体"/>
          <w:color w:val="auto"/>
          <w:spacing w:val="-1"/>
          <w:sz w:val="24"/>
          <w:szCs w:val="24"/>
          <w:highlight w:val="none"/>
        </w:rPr>
        <w:t>关条款的规定重新确定相应工程量清单项目的综合单价，并调整合同价款。</w:t>
      </w:r>
    </w:p>
    <w:p w14:paraId="4B87AA0B">
      <w:pPr>
        <w:spacing w:before="38" w:line="360" w:lineRule="auto"/>
        <w:ind w:left="48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2.3.5  </w:t>
      </w:r>
      <w:r>
        <w:rPr>
          <w:rFonts w:hint="eastAsia" w:ascii="宋体" w:hAnsi="宋体" w:eastAsia="宋体" w:cs="宋体"/>
          <w:color w:val="auto"/>
          <w:spacing w:val="-1"/>
          <w:sz w:val="24"/>
          <w:szCs w:val="24"/>
          <w:highlight w:val="none"/>
        </w:rPr>
        <w:t>招标工程量清单缺项</w:t>
      </w:r>
    </w:p>
    <w:p w14:paraId="7D9446FA">
      <w:pPr>
        <w:spacing w:before="152" w:line="360" w:lineRule="auto"/>
        <w:ind w:left="9" w:right="56"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2.3.5.1</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合同履行期间，由于招标</w:t>
      </w:r>
      <w:r>
        <w:rPr>
          <w:rFonts w:hint="eastAsia" w:ascii="宋体" w:hAnsi="宋体" w:eastAsia="宋体" w:cs="宋体"/>
          <w:color w:val="auto"/>
          <w:spacing w:val="-2"/>
          <w:sz w:val="24"/>
          <w:szCs w:val="24"/>
          <w:highlight w:val="none"/>
        </w:rPr>
        <w:t>工程量清单中缺项，新增分部分项工程清单项目，</w:t>
      </w:r>
      <w:r>
        <w:rPr>
          <w:rFonts w:hint="eastAsia" w:ascii="宋体" w:hAnsi="宋体" w:eastAsia="宋体" w:cs="宋体"/>
          <w:color w:val="auto"/>
          <w:spacing w:val="-1"/>
          <w:sz w:val="24"/>
          <w:szCs w:val="24"/>
          <w:highlight w:val="none"/>
        </w:rPr>
        <w:t>应按照本章第</w:t>
      </w:r>
      <w:r>
        <w:rPr>
          <w:rFonts w:hint="eastAsia" w:ascii="宋体" w:hAnsi="宋体" w:eastAsia="宋体" w:cs="宋体"/>
          <w:color w:val="auto"/>
          <w:spacing w:val="-39"/>
          <w:sz w:val="24"/>
          <w:szCs w:val="24"/>
          <w:highlight w:val="none"/>
        </w:rPr>
        <w:t xml:space="preserve"> </w:t>
      </w:r>
      <w:r>
        <w:rPr>
          <w:rFonts w:hint="eastAsia" w:ascii="宋体" w:hAnsi="宋体" w:eastAsia="宋体" w:cs="宋体"/>
          <w:b/>
          <w:bCs/>
          <w:color w:val="auto"/>
          <w:spacing w:val="-1"/>
          <w:sz w:val="24"/>
          <w:szCs w:val="24"/>
          <w:highlight w:val="none"/>
        </w:rPr>
        <w:t>2.3.3.1</w:t>
      </w:r>
      <w:r>
        <w:rPr>
          <w:rFonts w:hint="eastAsia" w:ascii="宋体" w:hAnsi="宋体" w:eastAsia="宋体" w:cs="宋体"/>
          <w:color w:val="auto"/>
          <w:spacing w:val="-1"/>
          <w:sz w:val="24"/>
          <w:szCs w:val="24"/>
          <w:highlight w:val="none"/>
        </w:rPr>
        <w:t>子目的规定确定单价，并调整合同价款。</w:t>
      </w:r>
    </w:p>
    <w:p w14:paraId="28F35D72">
      <w:pPr>
        <w:spacing w:before="157" w:line="360" w:lineRule="auto"/>
        <w:ind w:firstLine="420" w:firstLineChars="200"/>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2.3.5.2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新增分部分项工程清单项目后，引起</w:t>
      </w:r>
      <w:r>
        <w:rPr>
          <w:rFonts w:hint="eastAsia" w:ascii="宋体" w:hAnsi="宋体" w:eastAsia="宋体" w:cs="宋体"/>
          <w:color w:val="auto"/>
          <w:spacing w:val="-2"/>
          <w:sz w:val="24"/>
          <w:szCs w:val="24"/>
          <w:highlight w:val="none"/>
        </w:rPr>
        <w:t>措施项目发生变化的，应按照本章第</w:t>
      </w:r>
      <w:r>
        <w:rPr>
          <w:rFonts w:hint="eastAsia" w:ascii="宋体" w:hAnsi="宋体" w:eastAsia="宋体" w:cs="宋体"/>
          <w:b/>
          <w:bCs/>
          <w:color w:val="auto"/>
          <w:spacing w:val="-2"/>
          <w:sz w:val="24"/>
          <w:szCs w:val="24"/>
          <w:highlight w:val="none"/>
        </w:rPr>
        <w:t>2.</w:t>
      </w:r>
      <w:r>
        <w:rPr>
          <w:rFonts w:hint="eastAsia" w:ascii="宋体" w:hAnsi="宋体" w:eastAsia="宋体" w:cs="宋体"/>
          <w:b/>
          <w:bCs/>
          <w:color w:val="auto"/>
          <w:sz w:val="24"/>
          <w:szCs w:val="24"/>
          <w:highlight w:val="none"/>
        </w:rPr>
        <w:t xml:space="preserve">3.3.2 </w:t>
      </w:r>
      <w:r>
        <w:rPr>
          <w:rFonts w:hint="eastAsia" w:ascii="宋体" w:hAnsi="宋体" w:eastAsia="宋体" w:cs="宋体"/>
          <w:color w:val="auto"/>
          <w:sz w:val="24"/>
          <w:szCs w:val="24"/>
          <w:highlight w:val="none"/>
        </w:rPr>
        <w:t>子目的规定，在承包人提交的实施方案被发包人批准后调整</w:t>
      </w:r>
      <w:r>
        <w:rPr>
          <w:rFonts w:hint="eastAsia" w:ascii="宋体" w:hAnsi="宋体" w:eastAsia="宋体" w:cs="宋体"/>
          <w:color w:val="auto"/>
          <w:spacing w:val="-1"/>
          <w:sz w:val="24"/>
          <w:szCs w:val="24"/>
          <w:highlight w:val="none"/>
        </w:rPr>
        <w:t>合同价款。</w:t>
      </w:r>
    </w:p>
    <w:p w14:paraId="38301309">
      <w:pPr>
        <w:spacing w:before="156" w:line="360" w:lineRule="auto"/>
        <w:ind w:left="13" w:right="108" w:firstLine="471"/>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4"/>
          <w:sz w:val="24"/>
          <w:szCs w:val="24"/>
          <w:highlight w:val="none"/>
        </w:rPr>
        <w:t>2.3.5.3</w:t>
      </w:r>
      <w:r>
        <w:rPr>
          <w:rFonts w:hint="eastAsia" w:ascii="宋体" w:hAnsi="宋体" w:eastAsia="宋体" w:cs="宋体"/>
          <w:b/>
          <w:bCs/>
          <w:color w:val="auto"/>
          <w:spacing w:val="-4"/>
          <w:sz w:val="24"/>
          <w:szCs w:val="24"/>
          <w:highlight w:val="none"/>
        </w:rPr>
        <w:fldChar w:fldCharType="end"/>
      </w:r>
      <w:r>
        <w:rPr>
          <w:rFonts w:hint="eastAsia" w:ascii="宋体" w:hAnsi="宋体" w:eastAsia="宋体" w:cs="宋体"/>
          <w:b/>
          <w:bCs/>
          <w:color w:val="auto"/>
          <w:spacing w:val="22"/>
          <w:w w:val="101"/>
          <w:sz w:val="24"/>
          <w:szCs w:val="24"/>
          <w:highlight w:val="none"/>
        </w:rPr>
        <w:t xml:space="preserve">  </w:t>
      </w:r>
      <w:r>
        <w:rPr>
          <w:rFonts w:hint="eastAsia" w:ascii="宋体" w:hAnsi="宋体" w:eastAsia="宋体" w:cs="宋体"/>
          <w:color w:val="auto"/>
          <w:spacing w:val="-4"/>
          <w:sz w:val="24"/>
          <w:szCs w:val="24"/>
          <w:highlight w:val="none"/>
        </w:rPr>
        <w:t>由于招标工程量清单中措施项目缺项，承包人应将新增措施项目实施方案提</w:t>
      </w:r>
      <w:r>
        <w:rPr>
          <w:rFonts w:hint="eastAsia" w:ascii="宋体" w:hAnsi="宋体" w:eastAsia="宋体" w:cs="宋体"/>
          <w:color w:val="auto"/>
          <w:spacing w:val="-1"/>
          <w:sz w:val="24"/>
          <w:szCs w:val="24"/>
          <w:highlight w:val="none"/>
        </w:rPr>
        <w:t>交发包人批准后，按照本章第</w:t>
      </w:r>
      <w:r>
        <w:rPr>
          <w:rFonts w:hint="eastAsia" w:ascii="宋体" w:hAnsi="宋体" w:eastAsia="宋体" w:cs="宋体"/>
          <w:color w:val="auto"/>
          <w:spacing w:val="-36"/>
          <w:sz w:val="24"/>
          <w:szCs w:val="24"/>
          <w:highlight w:val="none"/>
        </w:rPr>
        <w:t xml:space="preserve"> </w:t>
      </w:r>
      <w:r>
        <w:rPr>
          <w:rFonts w:hint="eastAsia" w:ascii="宋体" w:hAnsi="宋体" w:eastAsia="宋体" w:cs="宋体"/>
          <w:b/>
          <w:bCs/>
          <w:color w:val="auto"/>
          <w:spacing w:val="-1"/>
          <w:sz w:val="24"/>
          <w:szCs w:val="24"/>
          <w:highlight w:val="none"/>
        </w:rPr>
        <w:t xml:space="preserve">2.3.3.1 </w:t>
      </w:r>
      <w:r>
        <w:rPr>
          <w:rFonts w:hint="eastAsia" w:ascii="宋体" w:hAnsi="宋体" w:eastAsia="宋体" w:cs="宋体"/>
          <w:color w:val="auto"/>
          <w:spacing w:val="-1"/>
          <w:sz w:val="24"/>
          <w:szCs w:val="24"/>
          <w:highlight w:val="none"/>
        </w:rPr>
        <w:t>子目、第</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1"/>
          <w:sz w:val="24"/>
          <w:szCs w:val="24"/>
          <w:highlight w:val="none"/>
        </w:rPr>
        <w:t xml:space="preserve">2.3.3.2 </w:t>
      </w:r>
      <w:r>
        <w:rPr>
          <w:rFonts w:hint="eastAsia" w:ascii="宋体" w:hAnsi="宋体" w:eastAsia="宋体" w:cs="宋体"/>
          <w:color w:val="auto"/>
          <w:spacing w:val="-1"/>
          <w:sz w:val="24"/>
          <w:szCs w:val="24"/>
          <w:highlight w:val="none"/>
        </w:rPr>
        <w:t>子目的规定调整合同价款。</w:t>
      </w:r>
    </w:p>
    <w:p w14:paraId="32D6DE66">
      <w:pPr>
        <w:wordWrap w:val="0"/>
        <w:adjustRightInd w:val="0"/>
        <w:snapToGrid w:val="0"/>
        <w:spacing w:line="360" w:lineRule="auto"/>
        <w:ind w:firstLine="482" w:firstLineChars="200"/>
        <w:rPr>
          <w:rFonts w:hint="eastAsia" w:ascii="宋体" w:hAnsi="宋体" w:eastAsia="宋体" w:cs="宋体"/>
          <w:bCs/>
          <w:snapToGrid w:val="0"/>
          <w:color w:val="000000"/>
          <w:kern w:val="0"/>
          <w:sz w:val="24"/>
          <w:szCs w:val="24"/>
          <w:highlight w:val="none"/>
        </w:rPr>
      </w:pPr>
      <w:r>
        <w:rPr>
          <w:rFonts w:hint="eastAsia" w:ascii="宋体" w:hAnsi="宋体" w:eastAsia="宋体" w:cs="宋体"/>
          <w:b/>
          <w:snapToGrid w:val="0"/>
          <w:color w:val="000000"/>
          <w:kern w:val="0"/>
          <w:sz w:val="24"/>
          <w:szCs w:val="24"/>
          <w:highlight w:val="none"/>
        </w:rPr>
        <w:t>2.3.6</w:t>
      </w:r>
      <w:r>
        <w:rPr>
          <w:rFonts w:hint="eastAsia" w:ascii="宋体" w:hAnsi="宋体" w:eastAsia="宋体" w:cs="宋体"/>
          <w:bCs/>
          <w:snapToGrid w:val="0"/>
          <w:color w:val="000000"/>
          <w:kern w:val="0"/>
          <w:sz w:val="24"/>
          <w:szCs w:val="24"/>
          <w:highlight w:val="none"/>
        </w:rPr>
        <w:t xml:space="preserve"> 物价变化</w:t>
      </w:r>
    </w:p>
    <w:p w14:paraId="355D11F6">
      <w:pPr>
        <w:wordWrap w:val="0"/>
        <w:adjustRightInd w:val="0"/>
        <w:snapToGrid w:val="0"/>
        <w:spacing w:line="360" w:lineRule="auto"/>
        <w:ind w:firstLine="482" w:firstLineChars="200"/>
        <w:rPr>
          <w:rFonts w:hint="eastAsia" w:ascii="宋体" w:hAnsi="宋体" w:eastAsia="宋体" w:cs="宋体"/>
          <w:bCs/>
          <w:snapToGrid w:val="0"/>
          <w:color w:val="000000"/>
          <w:kern w:val="0"/>
          <w:sz w:val="24"/>
          <w:szCs w:val="24"/>
          <w:highlight w:val="none"/>
        </w:rPr>
      </w:pPr>
      <w:r>
        <w:rPr>
          <w:rFonts w:hint="eastAsia" w:ascii="宋体" w:hAnsi="宋体" w:eastAsia="宋体" w:cs="宋体"/>
          <w:b/>
          <w:snapToGrid w:val="0"/>
          <w:color w:val="000000"/>
          <w:kern w:val="0"/>
          <w:sz w:val="24"/>
          <w:szCs w:val="24"/>
          <w:highlight w:val="none"/>
        </w:rPr>
        <w:t>2.3.6.1</w:t>
      </w:r>
      <w:r>
        <w:rPr>
          <w:rFonts w:hint="eastAsia" w:ascii="宋体" w:hAnsi="宋体" w:eastAsia="宋体" w:cs="宋体"/>
          <w:bCs/>
          <w:snapToGrid w:val="0"/>
          <w:color w:val="000000"/>
          <w:kern w:val="0"/>
          <w:sz w:val="24"/>
          <w:szCs w:val="24"/>
          <w:highlight w:val="none"/>
        </w:rPr>
        <w:t xml:space="preserve"> 合同履行期间，项目所在地工程造价管理机构发布的动态人工调整系数发生变化时，如果承包人投标报价中人工费（</w:t>
      </w:r>
      <w:r>
        <w:rPr>
          <w:rFonts w:hint="eastAsia" w:ascii="宋体" w:hAnsi="宋体" w:eastAsia="宋体" w:cs="宋体"/>
          <w:snapToGrid w:val="0"/>
          <w:color w:val="000000"/>
          <w:kern w:val="0"/>
          <w:sz w:val="24"/>
          <w:szCs w:val="24"/>
          <w:highlight w:val="none"/>
        </w:rPr>
        <w:t>以下简称“中标人工费”</w:t>
      </w:r>
      <w:r>
        <w:rPr>
          <w:rFonts w:hint="eastAsia" w:ascii="宋体" w:hAnsi="宋体" w:eastAsia="宋体" w:cs="宋体"/>
          <w:bCs/>
          <w:snapToGrid w:val="0"/>
          <w:color w:val="000000"/>
          <w:kern w:val="0"/>
          <w:sz w:val="24"/>
          <w:szCs w:val="24"/>
          <w:highlight w:val="none"/>
        </w:rPr>
        <w:t>）等于或超过施工当月经动态调整后的定额人工费，该清单项目中标人工费不予调整；如果中标人工费低于施工当月经动态调整后的定额人工费，该清单项目中标人工费可以调整，相关费用按有关规定进行相应调整。结算人工费调整公式为：</w:t>
      </w:r>
    </w:p>
    <w:p w14:paraId="284BC422">
      <w:pPr>
        <w:wordWrap w:val="0"/>
        <w:adjustRightInd w:val="0"/>
        <w:snapToGrid w:val="0"/>
        <w:spacing w:line="360" w:lineRule="auto"/>
        <w:ind w:firstLine="480" w:firstLineChars="200"/>
        <w:jc w:val="center"/>
        <w:rPr>
          <w:rFonts w:hint="eastAsia" w:ascii="宋体" w:hAnsi="宋体" w:eastAsia="宋体" w:cs="宋体"/>
          <w:bCs/>
          <w:snapToGrid w:val="0"/>
          <w:color w:val="000000"/>
          <w:kern w:val="0"/>
          <w:sz w:val="24"/>
          <w:szCs w:val="24"/>
          <w:highlight w:val="none"/>
        </w:rPr>
      </w:pPr>
      <w:r>
        <w:rPr>
          <w:rFonts w:hint="eastAsia" w:ascii="宋体" w:hAnsi="宋体" w:eastAsia="宋体" w:cs="宋体"/>
          <w:bCs/>
          <w:snapToGrid w:val="0"/>
          <w:color w:val="000000"/>
          <w:kern w:val="0"/>
          <w:sz w:val="24"/>
          <w:szCs w:val="24"/>
          <w:highlight w:val="none"/>
        </w:rPr>
        <w:t>结算人工费＝中标人工费×F</w:t>
      </w:r>
      <w:r>
        <w:rPr>
          <w:rFonts w:hint="eastAsia" w:ascii="宋体" w:hAnsi="宋体" w:eastAsia="宋体" w:cs="宋体"/>
          <w:bCs/>
          <w:snapToGrid w:val="0"/>
          <w:color w:val="000000"/>
          <w:kern w:val="0"/>
          <w:sz w:val="24"/>
          <w:szCs w:val="24"/>
          <w:highlight w:val="none"/>
          <w:vertAlign w:val="subscript"/>
        </w:rPr>
        <w:t>1</w:t>
      </w:r>
    </w:p>
    <w:p w14:paraId="4A78476B">
      <w:pPr>
        <w:wordWrap w:val="0"/>
        <w:adjustRightInd w:val="0"/>
        <w:snapToGrid w:val="0"/>
        <w:spacing w:line="360" w:lineRule="auto"/>
        <w:ind w:firstLine="480"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Cs/>
          <w:snapToGrid w:val="0"/>
          <w:color w:val="000000"/>
          <w:kern w:val="0"/>
          <w:sz w:val="24"/>
          <w:szCs w:val="24"/>
          <w:highlight w:val="none"/>
        </w:rPr>
        <w:t>式中，F</w:t>
      </w:r>
      <w:r>
        <w:rPr>
          <w:rFonts w:hint="eastAsia" w:ascii="宋体" w:hAnsi="宋体" w:eastAsia="宋体" w:cs="宋体"/>
          <w:bCs/>
          <w:snapToGrid w:val="0"/>
          <w:color w:val="000000"/>
          <w:kern w:val="0"/>
          <w:sz w:val="24"/>
          <w:szCs w:val="24"/>
          <w:highlight w:val="none"/>
          <w:vertAlign w:val="subscript"/>
        </w:rPr>
        <w:t>1</w:t>
      </w:r>
      <w:r>
        <w:rPr>
          <w:rFonts w:hint="eastAsia" w:ascii="宋体" w:hAnsi="宋体" w:eastAsia="宋体" w:cs="宋体"/>
          <w:bCs/>
          <w:snapToGrid w:val="0"/>
          <w:color w:val="000000"/>
          <w:kern w:val="0"/>
          <w:sz w:val="24"/>
          <w:szCs w:val="24"/>
          <w:highlight w:val="none"/>
        </w:rPr>
        <w:t>为施工当月项目所在地工程造价管理机构发布的动态人工调整系数。</w:t>
      </w:r>
    </w:p>
    <w:p w14:paraId="7E20A54D">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2.3.6.2</w:t>
      </w:r>
      <w:r>
        <w:rPr>
          <w:rFonts w:hint="eastAsia" w:ascii="宋体" w:hAnsi="宋体" w:eastAsia="宋体" w:cs="宋体"/>
          <w:snapToGrid w:val="0"/>
          <w:color w:val="000000"/>
          <w:kern w:val="0"/>
          <w:sz w:val="24"/>
          <w:szCs w:val="24"/>
          <w:highlight w:val="none"/>
        </w:rPr>
        <w:t xml:space="preserve"> 本招标项目约定，材料、工程设备单价涨跌风险幅度值A为</w:t>
      </w:r>
      <w:r>
        <w:rPr>
          <w:rFonts w:hint="eastAsia" w:ascii="宋体" w:hAnsi="宋体" w:eastAsia="宋体" w:cs="宋体"/>
          <w:snapToGrid w:val="0"/>
          <w:color w:val="000000"/>
          <w:kern w:val="0"/>
          <w:sz w:val="24"/>
          <w:szCs w:val="24"/>
          <w:highlight w:val="none"/>
          <w:u w:val="single"/>
        </w:rPr>
        <w:t xml:space="preserve"> 5% </w:t>
      </w:r>
      <w:r>
        <w:rPr>
          <w:rFonts w:hint="eastAsia" w:ascii="宋体" w:hAnsi="宋体" w:eastAsia="宋体" w:cs="宋体"/>
          <w:snapToGrid w:val="0"/>
          <w:color w:val="000000"/>
          <w:kern w:val="0"/>
          <w:sz w:val="24"/>
          <w:szCs w:val="24"/>
          <w:highlight w:val="none"/>
        </w:rPr>
        <w:t>。合同履行期间，当《承包人提供主要材料和工程设备一览表》（详见招标工程量清单）中的材料、工程设备单价涨跌幅度等于或低于A值时，该材料、工程设备单价不予调整；超过A值时，其超过部分可以调整。相关费用按有关规定进行相应调整。</w:t>
      </w:r>
    </w:p>
    <w:p w14:paraId="3739995F">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a</w:t>
      </w:r>
      <w:r>
        <w:rPr>
          <w:rFonts w:hint="eastAsia" w:ascii="宋体" w:hAnsi="宋体" w:eastAsia="宋体" w:cs="宋体"/>
          <w:snapToGrid w:val="0"/>
          <w:color w:val="000000"/>
          <w:kern w:val="0"/>
          <w:sz w:val="24"/>
          <w:szCs w:val="24"/>
          <w:highlight w:val="none"/>
        </w:rPr>
        <w:t>．如果承包人投标报价中材料、工程设备单价（以下简称“中标单价”）低于基准日当月项目所在地工程造价管理机构发布的对应材料、工程设备单价（以下简称“基准单价”），该材料、工程设备的结算单价调整公式为：</w:t>
      </w:r>
    </w:p>
    <w:p w14:paraId="79394416">
      <w:pPr>
        <w:wordWrap w:val="0"/>
        <w:adjustRightInd w:val="0"/>
        <w:snapToGrid w:val="0"/>
        <w:spacing w:before="360" w:beforeLines="150" w:after="240" w:afterLines="100" w:line="360" w:lineRule="auto"/>
        <w:ind w:firstLine="480"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涨价时，</w:t>
      </w:r>
      <w:r>
        <w:rPr>
          <w:rFonts w:hint="eastAsia" w:ascii="宋体" w:hAnsi="宋体" w:eastAsia="宋体" w:cs="宋体"/>
          <w:snapToGrid w:val="0"/>
          <w:color w:val="000000"/>
          <w:kern w:val="0"/>
          <w:position w:val="-30"/>
          <w:sz w:val="24"/>
          <w:szCs w:val="24"/>
          <w:highlight w:val="none"/>
        </w:rPr>
        <w:object>
          <v:shape id="_x0000_i1025" o:spt="75" type="#_x0000_t75" style="height:33.95pt;width:200.95pt;" o:ole="t" filled="f" stroked="f" coordsize="21600,21600">
            <v:path/>
            <v:fill on="f" focussize="0,0"/>
            <v:stroke on="f"/>
            <v:imagedata r:id="rId9" o:title=""/>
            <o:lock v:ext="edit" grouping="f" rotation="f" text="f" aspectratio="t"/>
            <w10:wrap type="none"/>
            <w10:anchorlock/>
          </v:shape>
          <o:OLEObject Type="Embed" ProgID="Equation.KSEE3" ShapeID="_x0000_i1025" DrawAspect="Content" ObjectID="_1468075725" r:id="rId8">
            <o:LockedField>false</o:LockedField>
          </o:OLEObject>
        </w:object>
      </w:r>
    </w:p>
    <w:p w14:paraId="0E0A46F1">
      <w:pPr>
        <w:wordWrap w:val="0"/>
        <w:adjustRightInd w:val="0"/>
        <w:spacing w:before="360" w:beforeLines="150" w:after="240" w:afterLines="100" w:line="360" w:lineRule="auto"/>
        <w:ind w:firstLine="480"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跌价时，</w:t>
      </w:r>
      <w:r>
        <w:rPr>
          <w:rFonts w:hint="eastAsia" w:ascii="宋体" w:hAnsi="宋体" w:eastAsia="宋体" w:cs="宋体"/>
          <w:snapToGrid w:val="0"/>
          <w:color w:val="000000"/>
          <w:kern w:val="0"/>
          <w:position w:val="-30"/>
          <w:sz w:val="24"/>
          <w:szCs w:val="24"/>
          <w:highlight w:val="none"/>
        </w:rPr>
        <w:object>
          <v:shape id="_x0000_i1026" o:spt="75" type="#_x0000_t75" style="height:33.95pt;width:198.95pt;" o:ole="t" filled="f" stroked="f" coordsize="21600,21600">
            <v:path/>
            <v:fill on="f" focussize="0,0"/>
            <v:stroke on="f"/>
            <v:imagedata r:id="rId11" o:title=""/>
            <o:lock v:ext="edit" grouping="f" rotation="f" text="f" aspectratio="t"/>
            <w10:wrap type="none"/>
            <w10:anchorlock/>
          </v:shape>
          <o:OLEObject Type="Embed" ProgID="Equation.KSEE3" ShapeID="_x0000_i1026" DrawAspect="Content" ObjectID="_1468075726" r:id="rId10">
            <o:LockedField>false</o:LockedField>
          </o:OLEObject>
        </w:object>
      </w:r>
    </w:p>
    <w:p w14:paraId="469FBED9">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b</w:t>
      </w:r>
      <w:r>
        <w:rPr>
          <w:rFonts w:hint="eastAsia" w:ascii="宋体" w:hAnsi="宋体" w:eastAsia="宋体" w:cs="宋体"/>
          <w:snapToGrid w:val="0"/>
          <w:color w:val="000000"/>
          <w:kern w:val="0"/>
          <w:sz w:val="24"/>
          <w:szCs w:val="24"/>
          <w:highlight w:val="none"/>
        </w:rPr>
        <w:t>．如果中标单价高于基准单价，该材料、工程设备的结算单价调整公式为：</w:t>
      </w:r>
    </w:p>
    <w:p w14:paraId="05E199EB">
      <w:pPr>
        <w:wordWrap w:val="0"/>
        <w:adjustRightInd w:val="0"/>
        <w:snapToGrid w:val="0"/>
        <w:spacing w:before="360" w:beforeLines="150" w:after="240" w:afterLines="100" w:line="360" w:lineRule="auto"/>
        <w:ind w:firstLine="480"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涨价时，</w:t>
      </w:r>
      <w:r>
        <w:rPr>
          <w:rFonts w:hint="eastAsia" w:ascii="宋体" w:hAnsi="宋体" w:eastAsia="宋体" w:cs="宋体"/>
          <w:snapToGrid w:val="0"/>
          <w:color w:val="000000"/>
          <w:kern w:val="0"/>
          <w:position w:val="-30"/>
          <w:sz w:val="24"/>
          <w:szCs w:val="24"/>
          <w:highlight w:val="none"/>
        </w:rPr>
        <w:object>
          <v:shape id="_x0000_i1027" o:spt="75" type="#_x0000_t75" style="height:33.95pt;width:198.95pt;" o:ole="t" filled="f" stroked="f" coordsize="21600,21600">
            <v:path/>
            <v:fill on="f" focussize="0,0"/>
            <v:stroke on="f"/>
            <v:imagedata r:id="rId13" o:title=""/>
            <o:lock v:ext="edit" grouping="f" rotation="f" text="f" aspectratio="t"/>
            <w10:wrap type="none"/>
            <w10:anchorlock/>
          </v:shape>
          <o:OLEObject Type="Embed" ProgID="Equation.KSEE3" ShapeID="_x0000_i1027" DrawAspect="Content" ObjectID="_1468075727" r:id="rId12">
            <o:LockedField>false</o:LockedField>
          </o:OLEObject>
        </w:object>
      </w:r>
    </w:p>
    <w:p w14:paraId="650BCA82">
      <w:pPr>
        <w:wordWrap w:val="0"/>
        <w:adjustRightInd w:val="0"/>
        <w:spacing w:before="360" w:beforeLines="150" w:after="240" w:afterLines="100" w:line="360" w:lineRule="auto"/>
        <w:ind w:firstLine="480"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跌价时，</w:t>
      </w:r>
      <w:r>
        <w:rPr>
          <w:rFonts w:hint="eastAsia" w:ascii="宋体" w:hAnsi="宋体" w:eastAsia="宋体" w:cs="宋体"/>
          <w:snapToGrid w:val="0"/>
          <w:color w:val="000000"/>
          <w:kern w:val="0"/>
          <w:position w:val="-30"/>
          <w:sz w:val="24"/>
          <w:szCs w:val="24"/>
          <w:highlight w:val="none"/>
        </w:rPr>
        <w:object>
          <v:shape id="_x0000_i1028" o:spt="75" type="#_x0000_t75" style="height:33.95pt;width:200.95pt;" o:ole="t" filled="f" stroked="f" coordsize="21600,21600">
            <v:path/>
            <v:fill on="f" focussize="0,0"/>
            <v:stroke on="f"/>
            <v:imagedata r:id="rId15" o:title=""/>
            <o:lock v:ext="edit" grouping="f" rotation="f" text="f" aspectratio="t"/>
            <w10:wrap type="none"/>
            <w10:anchorlock/>
          </v:shape>
          <o:OLEObject Type="Embed" ProgID="Equation.KSEE3" ShapeID="_x0000_i1028" DrawAspect="Content" ObjectID="_1468075728" r:id="rId14">
            <o:LockedField>false</o:LockedField>
          </o:OLEObject>
        </w:object>
      </w:r>
    </w:p>
    <w:p w14:paraId="7D15EB0B">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c</w:t>
      </w:r>
      <w:r>
        <w:rPr>
          <w:rFonts w:hint="eastAsia" w:ascii="宋体" w:hAnsi="宋体" w:eastAsia="宋体" w:cs="宋体"/>
          <w:snapToGrid w:val="0"/>
          <w:color w:val="000000"/>
          <w:kern w:val="0"/>
          <w:sz w:val="24"/>
          <w:szCs w:val="24"/>
          <w:highlight w:val="none"/>
        </w:rPr>
        <w:t>．如果中标单价等于基准单价，该材料、工程设备的结算单价调整公式为：</w:t>
      </w:r>
    </w:p>
    <w:p w14:paraId="033882D4">
      <w:pPr>
        <w:wordWrap w:val="0"/>
        <w:adjustRightInd w:val="0"/>
        <w:snapToGrid w:val="0"/>
        <w:spacing w:before="360" w:beforeLines="150" w:after="240" w:afterLines="100" w:line="360" w:lineRule="auto"/>
        <w:ind w:firstLine="480"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涨价时，</w:t>
      </w:r>
      <w:r>
        <w:rPr>
          <w:rFonts w:hint="eastAsia" w:ascii="宋体" w:hAnsi="宋体" w:eastAsia="宋体" w:cs="宋体"/>
          <w:snapToGrid w:val="0"/>
          <w:color w:val="000000"/>
          <w:kern w:val="0"/>
          <w:position w:val="-30"/>
          <w:sz w:val="24"/>
          <w:szCs w:val="24"/>
          <w:highlight w:val="none"/>
        </w:rPr>
        <w:object>
          <v:shape id="_x0000_i1029" o:spt="75" type="#_x0000_t75" style="height:33.95pt;width:200.95pt;" o:ole="t" filled="f" stroked="f" coordsize="21600,21600">
            <v:path/>
            <v:fill on="f" focussize="0,0"/>
            <v:stroke on="f"/>
            <v:imagedata r:id="rId17" o:title=""/>
            <o:lock v:ext="edit" grouping="f" rotation="f" text="f" aspectratio="t"/>
            <w10:wrap type="none"/>
            <w10:anchorlock/>
          </v:shape>
          <o:OLEObject Type="Embed" ProgID="Equation.KSEE3" ShapeID="_x0000_i1029" DrawAspect="Content" ObjectID="_1468075729" r:id="rId16">
            <o:LockedField>false</o:LockedField>
          </o:OLEObject>
        </w:object>
      </w:r>
    </w:p>
    <w:p w14:paraId="3D754D31">
      <w:pPr>
        <w:wordWrap w:val="0"/>
        <w:adjustRightInd w:val="0"/>
        <w:spacing w:before="360" w:beforeLines="150" w:after="240" w:afterLines="100" w:line="360" w:lineRule="auto"/>
        <w:ind w:firstLine="480"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跌价时，</w:t>
      </w:r>
      <w:r>
        <w:rPr>
          <w:rFonts w:hint="eastAsia" w:ascii="宋体" w:hAnsi="宋体" w:eastAsia="宋体" w:cs="宋体"/>
          <w:snapToGrid w:val="0"/>
          <w:color w:val="000000"/>
          <w:kern w:val="0"/>
          <w:position w:val="-30"/>
          <w:sz w:val="24"/>
          <w:szCs w:val="24"/>
          <w:highlight w:val="none"/>
        </w:rPr>
        <w:object>
          <v:shape id="_x0000_i1030" o:spt="75" type="#_x0000_t75" style="height:33.95pt;width:200.95pt;" o:ole="t" filled="f" o:preferrelative="t" stroked="f" coordsize="21600,21600">
            <v:path/>
            <v:fill on="f" focussize="0,0"/>
            <v:stroke on="f"/>
            <v:imagedata r:id="rId19" o:title=""/>
            <o:lock v:ext="edit" grouping="f" rotation="f" text="f" aspectratio="t"/>
            <w10:wrap type="none"/>
            <w10:anchorlock/>
          </v:shape>
          <o:OLEObject Type="Embed" ProgID="Equation.KSEE3" ShapeID="_x0000_i1030" DrawAspect="Content" ObjectID="_1468075730" r:id="rId18">
            <o:LockedField>false</o:LockedField>
          </o:OLEObject>
        </w:object>
      </w:r>
    </w:p>
    <w:p w14:paraId="4DA4E11E">
      <w:pPr>
        <w:wordWrap w:val="0"/>
        <w:adjustRightInd w:val="0"/>
        <w:snapToGrid w:val="0"/>
        <w:spacing w:line="360" w:lineRule="auto"/>
        <w:ind w:firstLine="480" w:firstLineChars="200"/>
        <w:rPr>
          <w:rFonts w:hint="eastAsia" w:ascii="宋体" w:hAnsi="宋体" w:eastAsia="宋体" w:cs="宋体"/>
          <w:bCs/>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以上公式中，</w:t>
      </w:r>
      <w:r>
        <w:rPr>
          <w:rFonts w:hint="eastAsia" w:ascii="宋体" w:hAnsi="宋体" w:eastAsia="宋体" w:cs="宋体"/>
          <w:bCs/>
          <w:snapToGrid w:val="0"/>
          <w:color w:val="000000"/>
          <w:kern w:val="0"/>
          <w:sz w:val="24"/>
          <w:szCs w:val="24"/>
          <w:highlight w:val="none"/>
        </w:rPr>
        <w:t>F</w:t>
      </w:r>
      <w:r>
        <w:rPr>
          <w:rFonts w:hint="eastAsia" w:ascii="宋体" w:hAnsi="宋体" w:eastAsia="宋体" w:cs="宋体"/>
          <w:bCs/>
          <w:snapToGrid w:val="0"/>
          <w:color w:val="000000"/>
          <w:kern w:val="0"/>
          <w:sz w:val="24"/>
          <w:szCs w:val="24"/>
          <w:highlight w:val="none"/>
          <w:vertAlign w:val="subscript"/>
        </w:rPr>
        <w:t>1</w:t>
      </w:r>
      <w:r>
        <w:rPr>
          <w:rFonts w:hint="eastAsia" w:ascii="宋体" w:hAnsi="宋体" w:eastAsia="宋体" w:cs="宋体"/>
          <w:bCs/>
          <w:snapToGrid w:val="0"/>
          <w:color w:val="000000"/>
          <w:kern w:val="0"/>
          <w:sz w:val="24"/>
          <w:szCs w:val="24"/>
          <w:highlight w:val="none"/>
        </w:rPr>
        <w:t>为中标单价；F</w:t>
      </w:r>
      <w:r>
        <w:rPr>
          <w:rFonts w:hint="eastAsia" w:ascii="宋体" w:hAnsi="宋体" w:eastAsia="宋体" w:cs="宋体"/>
          <w:bCs/>
          <w:snapToGrid w:val="0"/>
          <w:color w:val="000000"/>
          <w:kern w:val="0"/>
          <w:sz w:val="24"/>
          <w:szCs w:val="24"/>
          <w:highlight w:val="none"/>
          <w:vertAlign w:val="subscript"/>
        </w:rPr>
        <w:t>0</w:t>
      </w:r>
      <w:r>
        <w:rPr>
          <w:rFonts w:hint="eastAsia" w:ascii="宋体" w:hAnsi="宋体" w:eastAsia="宋体" w:cs="宋体"/>
          <w:bCs/>
          <w:snapToGrid w:val="0"/>
          <w:color w:val="000000"/>
          <w:kern w:val="0"/>
          <w:sz w:val="24"/>
          <w:szCs w:val="24"/>
          <w:highlight w:val="none"/>
        </w:rPr>
        <w:t>为基准单价； F</w:t>
      </w:r>
      <w:r>
        <w:rPr>
          <w:rFonts w:hint="eastAsia" w:ascii="宋体" w:hAnsi="宋体" w:eastAsia="宋体" w:cs="宋体"/>
          <w:bCs/>
          <w:snapToGrid w:val="0"/>
          <w:color w:val="000000"/>
          <w:kern w:val="0"/>
          <w:sz w:val="24"/>
          <w:szCs w:val="24"/>
          <w:highlight w:val="none"/>
          <w:vertAlign w:val="subscript"/>
        </w:rPr>
        <w:t>2</w:t>
      </w:r>
      <w:r>
        <w:rPr>
          <w:rFonts w:hint="eastAsia" w:ascii="宋体" w:hAnsi="宋体" w:eastAsia="宋体" w:cs="宋体"/>
          <w:bCs/>
          <w:snapToGrid w:val="0"/>
          <w:color w:val="000000"/>
          <w:kern w:val="0"/>
          <w:sz w:val="24"/>
          <w:szCs w:val="24"/>
          <w:highlight w:val="none"/>
        </w:rPr>
        <w:t>为施工当月项目所在地工程造价管理机构发布的材料、工程设备单价；A为合同约定的材料、工程设备单价涨跌风险幅度值。</w:t>
      </w:r>
    </w:p>
    <w:p w14:paraId="58C8CA6D">
      <w:pPr>
        <w:wordWrap w:val="0"/>
        <w:adjustRightInd w:val="0"/>
        <w:snapToGrid w:val="0"/>
        <w:spacing w:line="360" w:lineRule="auto"/>
        <w:ind w:firstLine="482" w:firstLineChars="200"/>
        <w:rPr>
          <w:rFonts w:hint="eastAsia" w:ascii="宋体" w:hAnsi="宋体" w:eastAsia="宋体" w:cs="宋体"/>
          <w:bCs/>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2.3.6.3</w:t>
      </w:r>
      <w:r>
        <w:rPr>
          <w:rFonts w:hint="eastAsia" w:ascii="宋体" w:hAnsi="宋体" w:eastAsia="宋体" w:cs="宋体"/>
          <w:snapToGrid w:val="0"/>
          <w:color w:val="000000"/>
          <w:kern w:val="0"/>
          <w:sz w:val="24"/>
          <w:szCs w:val="24"/>
          <w:highlight w:val="none"/>
        </w:rPr>
        <w:t xml:space="preserve"> 合同履行期间，当《发包人提供材料和工程设备一览表》（详见招标工程量清单）中的材料、工程设备单价发生变化时，由发包人按照实际变化调整，并列入合同价款。</w:t>
      </w:r>
    </w:p>
    <w:p w14:paraId="4CB6A37E">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2.3.6.4</w:t>
      </w:r>
      <w:r>
        <w:rPr>
          <w:rFonts w:hint="eastAsia" w:ascii="宋体" w:hAnsi="宋体" w:eastAsia="宋体" w:cs="宋体"/>
          <w:snapToGrid w:val="0"/>
          <w:color w:val="000000"/>
          <w:kern w:val="0"/>
          <w:sz w:val="24"/>
          <w:szCs w:val="24"/>
          <w:highlight w:val="none"/>
        </w:rPr>
        <w:t xml:space="preserve"> 本招标项目约定，施工机具台班单价涨跌风险幅度值B为</w:t>
      </w:r>
      <w:r>
        <w:rPr>
          <w:rFonts w:hint="eastAsia" w:ascii="宋体" w:hAnsi="宋体" w:eastAsia="宋体" w:cs="宋体"/>
          <w:snapToGrid w:val="0"/>
          <w:color w:val="000000"/>
          <w:kern w:val="0"/>
          <w:sz w:val="24"/>
          <w:szCs w:val="24"/>
          <w:highlight w:val="none"/>
          <w:u w:val="single"/>
        </w:rPr>
        <w:t>10%</w:t>
      </w:r>
      <w:r>
        <w:rPr>
          <w:rFonts w:hint="eastAsia" w:ascii="宋体" w:hAnsi="宋体" w:eastAsia="宋体" w:cs="宋体"/>
          <w:snapToGrid w:val="0"/>
          <w:color w:val="000000"/>
          <w:kern w:val="0"/>
          <w:sz w:val="24"/>
          <w:szCs w:val="24"/>
          <w:highlight w:val="none"/>
        </w:rPr>
        <w:t>。合同履行期间，当施工机具台班单价涨跌幅度等于或低于B值时，该施工机具台班单价不予调整；超过B值时，其超过部分可以调整。相关费用按有关规定进行相应调整。</w:t>
      </w:r>
    </w:p>
    <w:p w14:paraId="55FE91E4">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a</w:t>
      </w:r>
      <w:r>
        <w:rPr>
          <w:rFonts w:hint="eastAsia" w:ascii="宋体" w:hAnsi="宋体" w:eastAsia="宋体" w:cs="宋体"/>
          <w:snapToGrid w:val="0"/>
          <w:color w:val="000000"/>
          <w:kern w:val="0"/>
          <w:sz w:val="24"/>
          <w:szCs w:val="24"/>
          <w:highlight w:val="none"/>
        </w:rPr>
        <w:t>．如果承包人投标报价中施工机具台班单价（以下简称“中标单价”）低于基准日当月项目所在地工程造价管理机构发布的对应施工机具台班单价（以下简称“基准单价”），该施工机具台班的结算单价调整公式为：</w:t>
      </w:r>
    </w:p>
    <w:p w14:paraId="6F72566B">
      <w:pPr>
        <w:wordWrap w:val="0"/>
        <w:adjustRightInd w:val="0"/>
        <w:snapToGrid w:val="0"/>
        <w:spacing w:before="360" w:beforeLines="150" w:after="240" w:afterLines="100" w:line="360" w:lineRule="auto"/>
        <w:ind w:firstLine="480"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涨价时，</w:t>
      </w:r>
      <w:r>
        <w:rPr>
          <w:rFonts w:hint="eastAsia" w:ascii="宋体" w:hAnsi="宋体" w:eastAsia="宋体" w:cs="宋体"/>
          <w:snapToGrid w:val="0"/>
          <w:color w:val="000000"/>
          <w:kern w:val="0"/>
          <w:position w:val="-30"/>
          <w:sz w:val="24"/>
          <w:szCs w:val="24"/>
          <w:highlight w:val="none"/>
        </w:rPr>
        <w:object>
          <v:shape id="_x0000_i1031" o:spt="75" type="#_x0000_t75" style="height:33.95pt;width:200.95pt;" o:ole="t" filled="f" o:preferrelative="t" stroked="f" coordsize="21600,21600">
            <v:path/>
            <v:fill on="f" focussize="0,0"/>
            <v:stroke on="f"/>
            <v:imagedata r:id="rId21" o:title=""/>
            <o:lock v:ext="edit" grouping="f" rotation="f" text="f" aspectratio="t"/>
            <w10:wrap type="none"/>
            <w10:anchorlock/>
          </v:shape>
          <o:OLEObject Type="Embed" ProgID="Equation.KSEE3" ShapeID="_x0000_i1031" DrawAspect="Content" ObjectID="_1468075731" r:id="rId20">
            <o:LockedField>false</o:LockedField>
          </o:OLEObject>
        </w:object>
      </w:r>
    </w:p>
    <w:p w14:paraId="15496D82">
      <w:pPr>
        <w:wordWrap w:val="0"/>
        <w:adjustRightInd w:val="0"/>
        <w:spacing w:before="360" w:beforeLines="150" w:after="240" w:afterLines="100" w:line="360" w:lineRule="auto"/>
        <w:ind w:firstLine="480"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跌价时，</w:t>
      </w:r>
      <w:r>
        <w:rPr>
          <w:rFonts w:hint="eastAsia" w:ascii="宋体" w:hAnsi="宋体" w:eastAsia="宋体" w:cs="宋体"/>
          <w:snapToGrid w:val="0"/>
          <w:color w:val="000000"/>
          <w:kern w:val="0"/>
          <w:position w:val="-30"/>
          <w:sz w:val="24"/>
          <w:szCs w:val="24"/>
          <w:highlight w:val="none"/>
        </w:rPr>
        <w:object>
          <v:shape id="_x0000_i1032" o:spt="75" type="#_x0000_t75" style="height:33.95pt;width:198pt;" o:ole="t" filled="f" o:preferrelative="t" stroked="f" coordsize="21600,21600">
            <v:path/>
            <v:fill on="f" focussize="0,0"/>
            <v:stroke on="f"/>
            <v:imagedata r:id="rId23" o:title=""/>
            <o:lock v:ext="edit" grouping="f" rotation="f" text="f" aspectratio="t"/>
            <w10:wrap type="none"/>
            <w10:anchorlock/>
          </v:shape>
          <o:OLEObject Type="Embed" ProgID="Equation.KSEE3" ShapeID="_x0000_i1032" DrawAspect="Content" ObjectID="_1468075732" r:id="rId22">
            <o:LockedField>false</o:LockedField>
          </o:OLEObject>
        </w:object>
      </w:r>
    </w:p>
    <w:p w14:paraId="4C10EA31">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b</w:t>
      </w:r>
      <w:r>
        <w:rPr>
          <w:rFonts w:hint="eastAsia" w:ascii="宋体" w:hAnsi="宋体" w:eastAsia="宋体" w:cs="宋体"/>
          <w:snapToGrid w:val="0"/>
          <w:color w:val="000000"/>
          <w:kern w:val="0"/>
          <w:sz w:val="24"/>
          <w:szCs w:val="24"/>
          <w:highlight w:val="none"/>
        </w:rPr>
        <w:t>．如果中标单价高于基准单价，该施工机具台班的结算单价调整公式为：</w:t>
      </w:r>
    </w:p>
    <w:p w14:paraId="23826AEA">
      <w:pPr>
        <w:wordWrap w:val="0"/>
        <w:adjustRightInd w:val="0"/>
        <w:snapToGrid w:val="0"/>
        <w:spacing w:before="360" w:beforeLines="150" w:after="240" w:afterLines="100" w:line="360" w:lineRule="auto"/>
        <w:ind w:firstLine="480"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涨价时，</w:t>
      </w:r>
      <w:r>
        <w:rPr>
          <w:rFonts w:hint="eastAsia" w:ascii="宋体" w:hAnsi="宋体" w:eastAsia="宋体" w:cs="宋体"/>
          <w:snapToGrid w:val="0"/>
          <w:color w:val="000000"/>
          <w:kern w:val="0"/>
          <w:position w:val="-30"/>
          <w:sz w:val="24"/>
          <w:szCs w:val="24"/>
          <w:highlight w:val="none"/>
        </w:rPr>
        <w:object>
          <v:shape id="_x0000_i1033" o:spt="75" type="#_x0000_t75" style="height:33.95pt;width:198pt;" o:ole="t" filled="f" o:preferrelative="t" stroked="f" coordsize="21600,21600">
            <v:path/>
            <v:fill on="f" focussize="0,0"/>
            <v:stroke on="f"/>
            <v:imagedata r:id="rId25" o:title=""/>
            <o:lock v:ext="edit" grouping="f" rotation="f" text="f" aspectratio="t"/>
            <w10:wrap type="none"/>
            <w10:anchorlock/>
          </v:shape>
          <o:OLEObject Type="Embed" ProgID="Equation.KSEE3" ShapeID="_x0000_i1033" DrawAspect="Content" ObjectID="_1468075733" r:id="rId24">
            <o:LockedField>false</o:LockedField>
          </o:OLEObject>
        </w:object>
      </w:r>
    </w:p>
    <w:p w14:paraId="741F3071">
      <w:pPr>
        <w:wordWrap w:val="0"/>
        <w:adjustRightInd w:val="0"/>
        <w:spacing w:before="360" w:beforeLines="150" w:after="240" w:afterLines="100" w:line="360" w:lineRule="auto"/>
        <w:ind w:firstLine="480"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跌价时，</w:t>
      </w:r>
      <w:r>
        <w:rPr>
          <w:rFonts w:hint="eastAsia" w:ascii="宋体" w:hAnsi="宋体" w:eastAsia="宋体" w:cs="宋体"/>
          <w:snapToGrid w:val="0"/>
          <w:color w:val="000000"/>
          <w:kern w:val="0"/>
          <w:position w:val="-30"/>
          <w:sz w:val="24"/>
          <w:szCs w:val="24"/>
          <w:highlight w:val="none"/>
        </w:rPr>
        <w:object>
          <v:shape id="_x0000_i1034" o:spt="75" type="#_x0000_t75" style="height:33.95pt;width:200.95pt;" o:ole="t" filled="f" o:preferrelative="t" stroked="f" coordsize="21600,21600">
            <v:path/>
            <v:fill on="f" focussize="0,0"/>
            <v:stroke on="f"/>
            <v:imagedata r:id="rId27" o:title=""/>
            <o:lock v:ext="edit" grouping="f" rotation="f" text="f" aspectratio="t"/>
            <w10:wrap type="none"/>
            <w10:anchorlock/>
          </v:shape>
          <o:OLEObject Type="Embed" ProgID="Equation.KSEE3" ShapeID="_x0000_i1034" DrawAspect="Content" ObjectID="_1468075734" r:id="rId26">
            <o:LockedField>false</o:LockedField>
          </o:OLEObject>
        </w:object>
      </w:r>
    </w:p>
    <w:p w14:paraId="1CBB2058">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c</w:t>
      </w:r>
      <w:r>
        <w:rPr>
          <w:rFonts w:hint="eastAsia" w:ascii="宋体" w:hAnsi="宋体" w:eastAsia="宋体" w:cs="宋体"/>
          <w:snapToGrid w:val="0"/>
          <w:color w:val="000000"/>
          <w:kern w:val="0"/>
          <w:sz w:val="24"/>
          <w:szCs w:val="24"/>
          <w:highlight w:val="none"/>
        </w:rPr>
        <w:t>．如果中标单价等于基准单价，该施工机具台班的结算单价调整公式为：</w:t>
      </w:r>
    </w:p>
    <w:p w14:paraId="2ED02F89">
      <w:pPr>
        <w:wordWrap w:val="0"/>
        <w:adjustRightInd w:val="0"/>
        <w:snapToGrid w:val="0"/>
        <w:spacing w:before="360" w:beforeLines="150" w:after="240" w:afterLines="100" w:line="360" w:lineRule="auto"/>
        <w:ind w:firstLine="480"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涨价时，</w:t>
      </w:r>
      <w:r>
        <w:rPr>
          <w:rFonts w:hint="eastAsia" w:ascii="宋体" w:hAnsi="宋体" w:eastAsia="宋体" w:cs="宋体"/>
          <w:snapToGrid w:val="0"/>
          <w:color w:val="000000"/>
          <w:kern w:val="0"/>
          <w:position w:val="-30"/>
          <w:sz w:val="24"/>
          <w:szCs w:val="24"/>
          <w:highlight w:val="none"/>
        </w:rPr>
        <w:object>
          <v:shape id="_x0000_i1035" o:spt="75" type="#_x0000_t75" style="height:33.95pt;width:200.95pt;" o:ole="t" filled="f" o:preferrelative="t" stroked="f" coordsize="21600,21600">
            <v:path/>
            <v:fill on="f" focussize="0,0"/>
            <v:stroke on="f"/>
            <v:imagedata r:id="rId29" o:title=""/>
            <o:lock v:ext="edit" grouping="f" rotation="f" text="f" aspectratio="t"/>
            <w10:wrap type="none"/>
            <w10:anchorlock/>
          </v:shape>
          <o:OLEObject Type="Embed" ProgID="Equation.KSEE3" ShapeID="_x0000_i1035" DrawAspect="Content" ObjectID="_1468075735" r:id="rId28">
            <o:LockedField>false</o:LockedField>
          </o:OLEObject>
        </w:object>
      </w:r>
    </w:p>
    <w:p w14:paraId="7A262BF7">
      <w:pPr>
        <w:wordWrap w:val="0"/>
        <w:adjustRightInd w:val="0"/>
        <w:spacing w:before="360" w:beforeLines="150" w:after="240" w:afterLines="100" w:line="360" w:lineRule="auto"/>
        <w:ind w:firstLine="480"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跌价时，</w:t>
      </w:r>
      <w:r>
        <w:rPr>
          <w:rFonts w:hint="eastAsia" w:ascii="宋体" w:hAnsi="宋体" w:eastAsia="宋体" w:cs="宋体"/>
          <w:snapToGrid w:val="0"/>
          <w:color w:val="000000"/>
          <w:kern w:val="0"/>
          <w:position w:val="-30"/>
          <w:sz w:val="24"/>
          <w:szCs w:val="24"/>
          <w:highlight w:val="none"/>
        </w:rPr>
        <w:object>
          <v:shape id="_x0000_i1036" o:spt="75" type="#_x0000_t75" style="height:33.95pt;width:200.95pt;" o:ole="t" filled="f" o:preferrelative="t" stroked="f" coordsize="21600,21600">
            <v:path/>
            <v:fill on="f" focussize="0,0"/>
            <v:stroke on="f"/>
            <v:imagedata r:id="rId31" o:title=""/>
            <o:lock v:ext="edit" grouping="f" rotation="f" text="f" aspectratio="t"/>
            <w10:wrap type="none"/>
            <w10:anchorlock/>
          </v:shape>
          <o:OLEObject Type="Embed" ProgID="Equation.KSEE3" ShapeID="_x0000_i1036" DrawAspect="Content" ObjectID="_1468075736" r:id="rId30">
            <o:LockedField>false</o:LockedField>
          </o:OLEObject>
        </w:object>
      </w:r>
    </w:p>
    <w:p w14:paraId="577AAC91">
      <w:pPr>
        <w:spacing w:before="39" w:line="360" w:lineRule="auto"/>
        <w:ind w:left="484"/>
        <w:rPr>
          <w:rFonts w:hint="eastAsia" w:ascii="宋体" w:hAnsi="宋体" w:eastAsia="宋体" w:cs="宋体"/>
          <w:bCs/>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以上公式中，</w:t>
      </w:r>
      <w:r>
        <w:rPr>
          <w:rFonts w:hint="eastAsia" w:ascii="宋体" w:hAnsi="宋体" w:eastAsia="宋体" w:cs="宋体"/>
          <w:bCs/>
          <w:snapToGrid w:val="0"/>
          <w:color w:val="000000"/>
          <w:kern w:val="0"/>
          <w:sz w:val="24"/>
          <w:szCs w:val="24"/>
          <w:highlight w:val="none"/>
        </w:rPr>
        <w:t>F</w:t>
      </w:r>
      <w:r>
        <w:rPr>
          <w:rFonts w:hint="eastAsia" w:ascii="宋体" w:hAnsi="宋体" w:eastAsia="宋体" w:cs="宋体"/>
          <w:bCs/>
          <w:snapToGrid w:val="0"/>
          <w:color w:val="000000"/>
          <w:kern w:val="0"/>
          <w:sz w:val="24"/>
          <w:szCs w:val="24"/>
          <w:highlight w:val="none"/>
          <w:vertAlign w:val="subscript"/>
        </w:rPr>
        <w:t>1</w:t>
      </w:r>
      <w:r>
        <w:rPr>
          <w:rFonts w:hint="eastAsia" w:ascii="宋体" w:hAnsi="宋体" w:eastAsia="宋体" w:cs="宋体"/>
          <w:bCs/>
          <w:snapToGrid w:val="0"/>
          <w:color w:val="000000"/>
          <w:kern w:val="0"/>
          <w:sz w:val="24"/>
          <w:szCs w:val="24"/>
          <w:highlight w:val="none"/>
        </w:rPr>
        <w:t>为中标单价；F</w:t>
      </w:r>
      <w:r>
        <w:rPr>
          <w:rFonts w:hint="eastAsia" w:ascii="宋体" w:hAnsi="宋体" w:eastAsia="宋体" w:cs="宋体"/>
          <w:bCs/>
          <w:snapToGrid w:val="0"/>
          <w:color w:val="000000"/>
          <w:kern w:val="0"/>
          <w:sz w:val="24"/>
          <w:szCs w:val="24"/>
          <w:highlight w:val="none"/>
          <w:vertAlign w:val="subscript"/>
        </w:rPr>
        <w:t>0</w:t>
      </w:r>
      <w:r>
        <w:rPr>
          <w:rFonts w:hint="eastAsia" w:ascii="宋体" w:hAnsi="宋体" w:eastAsia="宋体" w:cs="宋体"/>
          <w:bCs/>
          <w:snapToGrid w:val="0"/>
          <w:color w:val="000000"/>
          <w:kern w:val="0"/>
          <w:sz w:val="24"/>
          <w:szCs w:val="24"/>
          <w:highlight w:val="none"/>
        </w:rPr>
        <w:t>为基准单价；F</w:t>
      </w:r>
      <w:r>
        <w:rPr>
          <w:rFonts w:hint="eastAsia" w:ascii="宋体" w:hAnsi="宋体" w:eastAsia="宋体" w:cs="宋体"/>
          <w:bCs/>
          <w:snapToGrid w:val="0"/>
          <w:color w:val="000000"/>
          <w:kern w:val="0"/>
          <w:sz w:val="24"/>
          <w:szCs w:val="24"/>
          <w:highlight w:val="none"/>
          <w:vertAlign w:val="subscript"/>
        </w:rPr>
        <w:t>2</w:t>
      </w:r>
      <w:r>
        <w:rPr>
          <w:rFonts w:hint="eastAsia" w:ascii="宋体" w:hAnsi="宋体" w:eastAsia="宋体" w:cs="宋体"/>
          <w:bCs/>
          <w:snapToGrid w:val="0"/>
          <w:color w:val="000000"/>
          <w:kern w:val="0"/>
          <w:sz w:val="24"/>
          <w:szCs w:val="24"/>
          <w:highlight w:val="none"/>
        </w:rPr>
        <w:t>为施工当月项目所在地工程造价管理机构发布的施工机具台班单价；B为合同约定的施工机具台班单价涨跌风险幅度值。</w:t>
      </w:r>
    </w:p>
    <w:p w14:paraId="2EB022DF">
      <w:pPr>
        <w:spacing w:before="39" w:line="360"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2.3.7  </w:t>
      </w:r>
      <w:r>
        <w:rPr>
          <w:rFonts w:hint="eastAsia" w:ascii="宋体" w:hAnsi="宋体" w:eastAsia="宋体" w:cs="宋体"/>
          <w:color w:val="auto"/>
          <w:spacing w:val="-1"/>
          <w:sz w:val="24"/>
          <w:szCs w:val="24"/>
          <w:highlight w:val="none"/>
        </w:rPr>
        <w:t>暂估价和暂列金额</w:t>
      </w:r>
    </w:p>
    <w:p w14:paraId="488A20FF">
      <w:pPr>
        <w:spacing w:before="154" w:line="360" w:lineRule="auto"/>
        <w:ind w:left="7" w:right="57"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"2.3.7.1"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2.3.7.1</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暂估价项目按第一章第三节“投标人须知正文</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”第</w:t>
      </w:r>
      <w:r>
        <w:rPr>
          <w:rFonts w:hint="eastAsia" w:ascii="宋体" w:hAnsi="宋体" w:eastAsia="宋体" w:cs="宋体"/>
          <w:color w:val="auto"/>
          <w:spacing w:val="-51"/>
          <w:sz w:val="24"/>
          <w:szCs w:val="24"/>
          <w:highlight w:val="none"/>
        </w:rPr>
        <w:t xml:space="preserve"> </w:t>
      </w:r>
      <w:r>
        <w:rPr>
          <w:rFonts w:hint="eastAsia" w:ascii="宋体" w:hAnsi="宋体" w:eastAsia="宋体" w:cs="宋体"/>
          <w:b/>
          <w:bCs/>
          <w:color w:val="auto"/>
          <w:spacing w:val="-2"/>
          <w:sz w:val="24"/>
          <w:szCs w:val="24"/>
          <w:highlight w:val="none"/>
        </w:rPr>
        <w:t xml:space="preserve">8.5 </w:t>
      </w:r>
      <w:r>
        <w:rPr>
          <w:rFonts w:hint="eastAsia" w:ascii="宋体" w:hAnsi="宋体" w:eastAsia="宋体" w:cs="宋体"/>
          <w:color w:val="auto"/>
          <w:spacing w:val="-2"/>
          <w:sz w:val="24"/>
          <w:szCs w:val="24"/>
          <w:highlight w:val="none"/>
        </w:rPr>
        <w:t>条</w:t>
      </w:r>
      <w:r>
        <w:rPr>
          <w:rFonts w:hint="eastAsia" w:ascii="宋体" w:hAnsi="宋体" w:eastAsia="宋体" w:cs="宋体"/>
          <w:color w:val="auto"/>
          <w:spacing w:val="-3"/>
          <w:sz w:val="24"/>
          <w:szCs w:val="24"/>
          <w:highlight w:val="none"/>
        </w:rPr>
        <w:t>的规定确定专业工</w:t>
      </w:r>
      <w:r>
        <w:rPr>
          <w:rFonts w:hint="eastAsia" w:ascii="宋体" w:hAnsi="宋体" w:eastAsia="宋体" w:cs="宋体"/>
          <w:color w:val="auto"/>
          <w:spacing w:val="-1"/>
          <w:sz w:val="24"/>
          <w:szCs w:val="24"/>
          <w:highlight w:val="none"/>
        </w:rPr>
        <w:t>程承包人（或材料供应商、工程设备供应商）后，将专业工</w:t>
      </w:r>
      <w:r>
        <w:rPr>
          <w:rFonts w:hint="eastAsia" w:ascii="宋体" w:hAnsi="宋体" w:eastAsia="宋体" w:cs="宋体"/>
          <w:color w:val="auto"/>
          <w:spacing w:val="-2"/>
          <w:sz w:val="24"/>
          <w:szCs w:val="24"/>
          <w:highlight w:val="none"/>
        </w:rPr>
        <w:t>程合同价款（或材料单价、</w:t>
      </w:r>
      <w:r>
        <w:rPr>
          <w:rFonts w:hint="eastAsia" w:ascii="宋体" w:hAnsi="宋体" w:eastAsia="宋体" w:cs="宋体"/>
          <w:color w:val="auto"/>
          <w:spacing w:val="-1"/>
          <w:sz w:val="24"/>
          <w:szCs w:val="24"/>
          <w:highlight w:val="none"/>
        </w:rPr>
        <w:t>工程设备单价）取代相应暂估价，并调整合同价款。</w:t>
      </w:r>
    </w:p>
    <w:p w14:paraId="605E5E80">
      <w:pPr>
        <w:spacing w:before="153" w:line="360" w:lineRule="auto"/>
        <w:ind w:left="8" w:right="2"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"2.3.7.2"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8"/>
          <w:sz w:val="24"/>
          <w:szCs w:val="24"/>
          <w:highlight w:val="none"/>
        </w:rPr>
        <w:t>2.3.7.2</w:t>
      </w:r>
      <w:r>
        <w:rPr>
          <w:rFonts w:hint="eastAsia" w:ascii="宋体" w:hAnsi="宋体" w:eastAsia="宋体" w:cs="宋体"/>
          <w:b/>
          <w:bCs/>
          <w:color w:val="auto"/>
          <w:spacing w:val="-8"/>
          <w:sz w:val="24"/>
          <w:szCs w:val="24"/>
          <w:highlight w:val="none"/>
        </w:rPr>
        <w:fldChar w:fldCharType="end"/>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8"/>
          <w:sz w:val="24"/>
          <w:szCs w:val="24"/>
          <w:highlight w:val="none"/>
        </w:rPr>
        <w:t>暂列金额由发包人掌握和使用。暂列金额项目若有发</w:t>
      </w:r>
      <w:r>
        <w:rPr>
          <w:rFonts w:hint="eastAsia" w:ascii="宋体" w:hAnsi="宋体" w:eastAsia="宋体" w:cs="宋体"/>
          <w:color w:val="auto"/>
          <w:spacing w:val="-9"/>
          <w:sz w:val="24"/>
          <w:szCs w:val="24"/>
          <w:highlight w:val="none"/>
        </w:rPr>
        <w:t>生，按第一章第三节“投</w:t>
      </w:r>
      <w:r>
        <w:rPr>
          <w:rFonts w:hint="eastAsia" w:ascii="宋体" w:hAnsi="宋体" w:eastAsia="宋体" w:cs="宋体"/>
          <w:color w:val="auto"/>
          <w:spacing w:val="-5"/>
          <w:sz w:val="24"/>
          <w:szCs w:val="24"/>
          <w:highlight w:val="none"/>
        </w:rPr>
        <w:t>标人须知正文</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5"/>
          <w:sz w:val="24"/>
          <w:szCs w:val="24"/>
          <w:highlight w:val="none"/>
        </w:rPr>
        <w:t>”第</w:t>
      </w:r>
      <w:r>
        <w:rPr>
          <w:rFonts w:hint="eastAsia" w:ascii="宋体" w:hAnsi="宋体" w:eastAsia="宋体" w:cs="宋体"/>
          <w:color w:val="auto"/>
          <w:spacing w:val="-51"/>
          <w:sz w:val="24"/>
          <w:szCs w:val="24"/>
          <w:highlight w:val="none"/>
        </w:rPr>
        <w:t xml:space="preserve"> </w:t>
      </w:r>
      <w:r>
        <w:rPr>
          <w:rFonts w:hint="eastAsia" w:ascii="宋体" w:hAnsi="宋体" w:eastAsia="宋体" w:cs="宋体"/>
          <w:b/>
          <w:bCs/>
          <w:color w:val="auto"/>
          <w:spacing w:val="-5"/>
          <w:sz w:val="24"/>
          <w:szCs w:val="24"/>
          <w:highlight w:val="none"/>
        </w:rPr>
        <w:t xml:space="preserve">8.6 </w:t>
      </w:r>
      <w:r>
        <w:rPr>
          <w:rFonts w:hint="eastAsia" w:ascii="宋体" w:hAnsi="宋体" w:eastAsia="宋体" w:cs="宋体"/>
          <w:color w:val="auto"/>
          <w:spacing w:val="-5"/>
          <w:sz w:val="24"/>
          <w:szCs w:val="24"/>
          <w:highlight w:val="none"/>
        </w:rPr>
        <w:t>条的规定确定材料供应商（或工程设备供</w:t>
      </w:r>
      <w:r>
        <w:rPr>
          <w:rFonts w:hint="eastAsia" w:ascii="宋体" w:hAnsi="宋体" w:eastAsia="宋体" w:cs="宋体"/>
          <w:color w:val="auto"/>
          <w:spacing w:val="-6"/>
          <w:sz w:val="24"/>
          <w:szCs w:val="24"/>
          <w:highlight w:val="none"/>
        </w:rPr>
        <w:t>应商、服务供应商）后，</w:t>
      </w:r>
      <w:r>
        <w:rPr>
          <w:rFonts w:hint="eastAsia" w:ascii="宋体" w:hAnsi="宋体" w:eastAsia="宋体" w:cs="宋体"/>
          <w:color w:val="auto"/>
          <w:spacing w:val="-2"/>
          <w:sz w:val="24"/>
          <w:szCs w:val="24"/>
          <w:highlight w:val="none"/>
        </w:rPr>
        <w:t>材料（或工程设备、服务）的合同价款从暂列金额中支付。暂列金额扣除已发生的暂列金额项目合同价款、已发生的合同约定调整因素出现时的调整价款、已发生的索赔以及</w:t>
      </w:r>
      <w:r>
        <w:rPr>
          <w:rFonts w:hint="eastAsia" w:ascii="宋体" w:hAnsi="宋体" w:eastAsia="宋体" w:cs="宋体"/>
          <w:color w:val="auto"/>
          <w:spacing w:val="-1"/>
          <w:sz w:val="24"/>
          <w:szCs w:val="24"/>
          <w:highlight w:val="none"/>
        </w:rPr>
        <w:t>现场签证确认等的费用后，余额（若有）归发包人所有。</w:t>
      </w:r>
    </w:p>
    <w:p w14:paraId="7CC8E5E0">
      <w:pPr>
        <w:spacing w:line="36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2.3.8</w:t>
      </w:r>
      <w:r>
        <w:rPr>
          <w:rFonts w:hint="eastAsia" w:ascii="宋体" w:hAnsi="宋体" w:eastAsia="宋体" w:cs="宋体"/>
          <w:sz w:val="24"/>
          <w:szCs w:val="24"/>
        </w:rPr>
        <w:t xml:space="preserve"> 预算包干费按照分部分项的人工费与施工机具费之和及投标费率计取。本招标项目的预算包干内容包括：施工雨水、污水的排除；因地形影响造成的场内料具二次运输</w:t>
      </w:r>
      <w:r>
        <w:rPr>
          <w:rFonts w:hint="eastAsia" w:ascii="宋体" w:hAnsi="宋体" w:eastAsia="宋体" w:cs="宋体"/>
          <w:sz w:val="24"/>
          <w:szCs w:val="24"/>
          <w:lang w:eastAsia="zh-CN"/>
        </w:rPr>
        <w:t>，2</w:t>
      </w:r>
      <w:r>
        <w:rPr>
          <w:rFonts w:hint="eastAsia" w:ascii="宋体" w:hAnsi="宋体" w:eastAsia="宋体" w:cs="宋体"/>
          <w:sz w:val="24"/>
          <w:szCs w:val="24"/>
        </w:rPr>
        <w:t>0米高以下的工程用水加压措施；施工材料堆放场地的整理；机电安装后的补洞(槽料费；工程成品保护费；施工中的临时停水停电；基础埋深 2 米以内挖土方的塌</w:t>
      </w:r>
      <w:r>
        <w:rPr>
          <w:rFonts w:hint="eastAsia" w:ascii="宋体" w:hAnsi="宋体" w:eastAsia="宋体" w:cs="宋体"/>
          <w:sz w:val="24"/>
          <w:szCs w:val="24"/>
          <w:lang w:eastAsia="zh-CN"/>
        </w:rPr>
        <w:t>方；日间</w:t>
      </w:r>
      <w:r>
        <w:rPr>
          <w:rFonts w:hint="eastAsia" w:ascii="宋体" w:hAnsi="宋体" w:eastAsia="宋体" w:cs="宋体"/>
          <w:sz w:val="24"/>
          <w:szCs w:val="24"/>
        </w:rPr>
        <w:t>照明施工增加费(不包括地下室和特殊工程)；完工清场后的垃圾外运；地上(地下)设</w:t>
      </w:r>
      <w:r>
        <w:rPr>
          <w:rFonts w:hint="eastAsia" w:ascii="宋体" w:hAnsi="宋体" w:eastAsia="宋体" w:cs="宋体"/>
          <w:sz w:val="24"/>
          <w:szCs w:val="24"/>
          <w:lang w:eastAsia="zh-CN"/>
        </w:rPr>
        <w:t>施，</w:t>
      </w:r>
      <w:r>
        <w:rPr>
          <w:rFonts w:hint="eastAsia" w:ascii="宋体" w:hAnsi="宋体" w:eastAsia="宋体" w:cs="宋体"/>
          <w:sz w:val="24"/>
          <w:szCs w:val="24"/>
        </w:rPr>
        <w:t>建筑物的临时保护设施费和二次加工基地设施费；雨季施工增加费</w:t>
      </w:r>
      <w:r>
        <w:rPr>
          <w:rFonts w:hint="eastAsia" w:ascii="宋体" w:hAnsi="宋体" w:eastAsia="宋体" w:cs="宋体"/>
          <w:sz w:val="24"/>
          <w:szCs w:val="24"/>
          <w:lang w:eastAsia="zh-CN"/>
        </w:rPr>
        <w:t>；已完成及设备保护等。</w:t>
      </w:r>
    </w:p>
    <w:p w14:paraId="7AEE3F33">
      <w:pPr>
        <w:spacing w:line="36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2.3.9</w:t>
      </w:r>
      <w:r>
        <w:rPr>
          <w:rFonts w:hint="eastAsia" w:ascii="宋体" w:hAnsi="宋体" w:eastAsia="宋体" w:cs="宋体"/>
          <w:sz w:val="24"/>
          <w:szCs w:val="24"/>
        </w:rPr>
        <w:t xml:space="preserve">  其余事项（如不可抗力、索赔、现场签证等）的调整原则按照《建设工程工程量清单计价规范》（GB50500—2013）有关规定执行。</w:t>
      </w:r>
    </w:p>
    <w:p w14:paraId="15441A8E">
      <w:pPr>
        <w:spacing w:line="36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2.4</w:t>
      </w:r>
      <w:r>
        <w:rPr>
          <w:rFonts w:hint="eastAsia" w:ascii="宋体" w:hAnsi="宋体" w:eastAsia="宋体" w:cs="宋体"/>
          <w:sz w:val="24"/>
          <w:szCs w:val="24"/>
        </w:rPr>
        <w:t xml:space="preserve">  凡将引起合同价款调增的事项，承包人必须于拟实施 14 天前，将详细的报价书（含拟实施项目名称、变更部位、理由、预计造价等）报监理单位审核和发包人批准后方可实施。</w:t>
      </w:r>
    </w:p>
    <w:p w14:paraId="549727DF">
      <w:pPr>
        <w:spacing w:before="153" w:line="360" w:lineRule="auto"/>
        <w:ind w:left="9" w:right="102"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2.5 </w:t>
      </w:r>
      <w:r>
        <w:rPr>
          <w:rFonts w:hint="eastAsia" w:ascii="宋体" w:hAnsi="宋体" w:eastAsia="宋体" w:cs="宋体"/>
          <w:color w:val="auto"/>
          <w:spacing w:val="1"/>
          <w:sz w:val="24"/>
          <w:szCs w:val="24"/>
          <w:highlight w:val="none"/>
        </w:rPr>
        <w:t>承包人不得以不完全了解现场情况为理由，提出额外付</w:t>
      </w:r>
      <w:r>
        <w:rPr>
          <w:rFonts w:hint="eastAsia" w:ascii="宋体" w:hAnsi="宋体" w:eastAsia="宋体" w:cs="宋体"/>
          <w:color w:val="auto"/>
          <w:sz w:val="24"/>
          <w:szCs w:val="24"/>
          <w:highlight w:val="none"/>
        </w:rPr>
        <w:t>款或延长工期等要求。</w:t>
      </w:r>
      <w:r>
        <w:rPr>
          <w:rFonts w:hint="eastAsia" w:ascii="宋体" w:hAnsi="宋体" w:eastAsia="宋体" w:cs="宋体"/>
          <w:color w:val="auto"/>
          <w:spacing w:val="-1"/>
          <w:sz w:val="24"/>
          <w:szCs w:val="24"/>
          <w:highlight w:val="none"/>
        </w:rPr>
        <w:t>对此类要求，发包人不作任何考虑及答复。</w:t>
      </w:r>
    </w:p>
    <w:p w14:paraId="7F4A8BAC">
      <w:pPr>
        <w:spacing w:before="154" w:line="360" w:lineRule="auto"/>
        <w:ind w:left="10" w:right="63"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2.6 </w:t>
      </w:r>
      <w:r>
        <w:rPr>
          <w:rFonts w:hint="eastAsia" w:ascii="宋体" w:hAnsi="宋体" w:eastAsia="宋体" w:cs="宋体"/>
          <w:color w:val="auto"/>
          <w:spacing w:val="2"/>
          <w:sz w:val="24"/>
          <w:szCs w:val="24"/>
          <w:highlight w:val="none"/>
        </w:rPr>
        <w:t>承包人已标价工程量清单中漏报、错报或少报的清单项目</w:t>
      </w:r>
      <w:r>
        <w:rPr>
          <w:rFonts w:hint="eastAsia" w:ascii="宋体" w:hAnsi="宋体" w:eastAsia="宋体" w:cs="宋体"/>
          <w:color w:val="auto"/>
          <w:spacing w:val="1"/>
          <w:sz w:val="24"/>
          <w:szCs w:val="24"/>
          <w:highlight w:val="none"/>
        </w:rPr>
        <w:t>，其价格均视为已经</w:t>
      </w:r>
      <w:r>
        <w:rPr>
          <w:rFonts w:hint="eastAsia" w:ascii="宋体" w:hAnsi="宋体" w:eastAsia="宋体" w:cs="宋体"/>
          <w:color w:val="auto"/>
          <w:spacing w:val="-1"/>
          <w:sz w:val="24"/>
          <w:szCs w:val="24"/>
          <w:highlight w:val="none"/>
        </w:rPr>
        <w:t>包含在其它清单项目中，竣工结算时不得重新组价和调整。</w:t>
      </w:r>
    </w:p>
    <w:p w14:paraId="62B57CA7">
      <w:pPr>
        <w:spacing w:before="155" w:line="360" w:lineRule="auto"/>
        <w:ind w:left="12" w:right="65"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2.7  </w:t>
      </w:r>
      <w:r>
        <w:rPr>
          <w:rFonts w:hint="eastAsia" w:ascii="宋体" w:hAnsi="宋体" w:eastAsia="宋体" w:cs="宋体"/>
          <w:color w:val="auto"/>
          <w:sz w:val="24"/>
          <w:szCs w:val="24"/>
          <w:highlight w:val="none"/>
        </w:rPr>
        <w:t>项目完工后，发、承包双方和受其委托具备相应资质的工程造价咨询单位必须</w:t>
      </w:r>
      <w:r>
        <w:rPr>
          <w:rFonts w:hint="eastAsia" w:ascii="宋体" w:hAnsi="宋体" w:eastAsia="宋体" w:cs="宋体"/>
          <w:color w:val="auto"/>
          <w:spacing w:val="-1"/>
          <w:sz w:val="24"/>
          <w:szCs w:val="24"/>
          <w:highlight w:val="none"/>
        </w:rPr>
        <w:t>按照《建设工程工程量清单计价规范》（GB50500—2013）和国家、省、市的有关规定</w:t>
      </w:r>
      <w:r>
        <w:rPr>
          <w:rFonts w:hint="eastAsia" w:ascii="宋体" w:hAnsi="宋体" w:eastAsia="宋体" w:cs="宋体"/>
          <w:color w:val="auto"/>
          <w:spacing w:val="-2"/>
          <w:sz w:val="24"/>
          <w:szCs w:val="24"/>
          <w:highlight w:val="none"/>
        </w:rPr>
        <w:t>办理竣工结算。</w:t>
      </w:r>
    </w:p>
    <w:p w14:paraId="6BF7AA13">
      <w:pPr>
        <w:spacing w:before="152" w:line="360" w:lineRule="auto"/>
        <w:ind w:left="8" w:right="38" w:firstLine="55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2.8  </w:t>
      </w:r>
      <w:r>
        <w:rPr>
          <w:rFonts w:hint="eastAsia" w:ascii="宋体" w:hAnsi="宋体" w:eastAsia="宋体" w:cs="宋体"/>
          <w:color w:val="auto"/>
          <w:spacing w:val="-1"/>
          <w:sz w:val="24"/>
          <w:szCs w:val="24"/>
          <w:highlight w:val="none"/>
        </w:rPr>
        <w:t>承包人已标价工程量清单中没有的材料（或工程设备</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1"/>
          <w:sz w:val="24"/>
          <w:szCs w:val="24"/>
          <w:highlight w:val="none"/>
        </w:rPr>
        <w:t>承包人在使</w:t>
      </w:r>
      <w:r>
        <w:rPr>
          <w:rFonts w:hint="eastAsia" w:ascii="宋体" w:hAnsi="宋体" w:eastAsia="宋体" w:cs="宋体"/>
          <w:color w:val="auto"/>
          <w:spacing w:val="-2"/>
          <w:sz w:val="24"/>
          <w:szCs w:val="24"/>
          <w:highlight w:val="none"/>
        </w:rPr>
        <w:t>用前必须</w:t>
      </w:r>
      <w:r>
        <w:rPr>
          <w:rFonts w:hint="eastAsia" w:ascii="宋体" w:hAnsi="宋体" w:eastAsia="宋体" w:cs="宋体"/>
          <w:color w:val="auto"/>
          <w:spacing w:val="-1"/>
          <w:sz w:val="24"/>
          <w:szCs w:val="24"/>
          <w:highlight w:val="none"/>
        </w:rPr>
        <w:t>将材料（或工程设备）样板、材料合格证明（或产品合格证书）、材料（或工程设备）检验报告提交给监理单位和发包人审核。发</w:t>
      </w:r>
      <w:r>
        <w:rPr>
          <w:rFonts w:hint="eastAsia" w:ascii="宋体" w:hAnsi="宋体" w:eastAsia="宋体" w:cs="宋体"/>
          <w:color w:val="auto"/>
          <w:spacing w:val="-2"/>
          <w:sz w:val="24"/>
          <w:szCs w:val="24"/>
          <w:highlight w:val="none"/>
        </w:rPr>
        <w:t>包人审定并确定价格后，承包人方可采购和</w:t>
      </w:r>
      <w:r>
        <w:rPr>
          <w:rFonts w:hint="eastAsia" w:ascii="宋体" w:hAnsi="宋体" w:eastAsia="宋体" w:cs="宋体"/>
          <w:color w:val="auto"/>
          <w:spacing w:val="-1"/>
          <w:sz w:val="24"/>
          <w:szCs w:val="24"/>
          <w:highlight w:val="none"/>
        </w:rPr>
        <w:t>使用。如果在交货验收和使用过程中发现货</w:t>
      </w:r>
      <w:r>
        <w:rPr>
          <w:rFonts w:hint="eastAsia" w:ascii="宋体" w:hAnsi="宋体" w:eastAsia="宋体" w:cs="宋体"/>
          <w:color w:val="auto"/>
          <w:spacing w:val="-2"/>
          <w:sz w:val="24"/>
          <w:szCs w:val="24"/>
          <w:highlight w:val="none"/>
        </w:rPr>
        <w:t>不对板，监理单位和发包人有权拒用，并要</w:t>
      </w:r>
      <w:r>
        <w:rPr>
          <w:rFonts w:hint="eastAsia" w:ascii="宋体" w:hAnsi="宋体" w:eastAsia="宋体" w:cs="宋体"/>
          <w:color w:val="auto"/>
          <w:spacing w:val="-1"/>
          <w:sz w:val="24"/>
          <w:szCs w:val="24"/>
          <w:highlight w:val="none"/>
        </w:rPr>
        <w:t>求承包人立即进行更换。更换后的材料（或</w:t>
      </w:r>
      <w:r>
        <w:rPr>
          <w:rFonts w:hint="eastAsia" w:ascii="宋体" w:hAnsi="宋体" w:eastAsia="宋体" w:cs="宋体"/>
          <w:color w:val="auto"/>
          <w:spacing w:val="-2"/>
          <w:sz w:val="24"/>
          <w:szCs w:val="24"/>
          <w:highlight w:val="none"/>
        </w:rPr>
        <w:t>工程设备）应再次进行检查和检验。由此增</w:t>
      </w:r>
      <w:r>
        <w:rPr>
          <w:rFonts w:hint="eastAsia" w:ascii="宋体" w:hAnsi="宋体" w:eastAsia="宋体" w:cs="宋体"/>
          <w:color w:val="auto"/>
          <w:spacing w:val="-1"/>
          <w:sz w:val="24"/>
          <w:szCs w:val="24"/>
          <w:highlight w:val="none"/>
        </w:rPr>
        <w:t>加的费用和（或）工期延误由承包人承担。</w:t>
      </w:r>
    </w:p>
    <w:p w14:paraId="3BFF8CF0">
      <w:pPr>
        <w:spacing w:before="152" w:line="360" w:lineRule="auto"/>
        <w:ind w:left="8" w:right="38" w:firstLine="559"/>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 xml:space="preserve">2.9 </w:t>
      </w:r>
      <w:r>
        <w:rPr>
          <w:rFonts w:hint="eastAsia" w:ascii="宋体" w:hAnsi="宋体" w:eastAsia="宋体" w:cs="宋体"/>
          <w:color w:val="auto"/>
          <w:spacing w:val="-1"/>
          <w:sz w:val="24"/>
          <w:szCs w:val="24"/>
          <w:highlight w:val="none"/>
        </w:rPr>
        <w:t>承包人已标价工程量清单中没有的材料（或工程设备）结算价格确定原则：按施工当月项目所在地工程造价管理机构发布的信息价格；若当地信息价格缺项的，由承包人根据变更工程资料依次参考韶关、清远、佛山、东莞、肇庆、惠州、广州等广东省内地区信息价执行；若以上城市均没有信息价则按厂商信息价、电商平台价格（优先从京东、国美、苏宁等大型电商平台查询取其平均价）；若以上方式均无法确定材料价格的，则采用厂商报价或市场询价等方式取得有合法依据的市场价格，报发包人确认。</w:t>
      </w:r>
    </w:p>
    <w:p w14:paraId="2CF9924F">
      <w:pPr>
        <w:spacing w:before="151" w:line="360" w:lineRule="auto"/>
        <w:ind w:left="476"/>
        <w:outlineLvl w:val="2"/>
        <w:rPr>
          <w:rFonts w:hint="eastAsia" w:ascii="宋体" w:hAnsi="宋体" w:eastAsia="宋体" w:cs="宋体"/>
          <w:b/>
          <w:bCs/>
          <w:color w:val="auto"/>
          <w:spacing w:val="-11"/>
          <w:sz w:val="24"/>
          <w:szCs w:val="24"/>
          <w:highlight w:val="none"/>
        </w:rPr>
      </w:pPr>
      <w:bookmarkStart w:id="191" w:name="_Toc21454"/>
      <w:bookmarkStart w:id="192" w:name="_Toc1816"/>
      <w:bookmarkStart w:id="193" w:name="_Toc10496"/>
      <w:r>
        <w:rPr>
          <w:rFonts w:hint="eastAsia" w:ascii="宋体" w:hAnsi="宋体" w:eastAsia="宋体" w:cs="宋体"/>
          <w:b/>
          <w:bCs/>
          <w:color w:val="auto"/>
          <w:spacing w:val="-11"/>
          <w:sz w:val="24"/>
          <w:szCs w:val="24"/>
          <w:highlight w:val="none"/>
        </w:rPr>
        <w:t>3. 工程付款办法</w:t>
      </w:r>
      <w:bookmarkEnd w:id="191"/>
      <w:bookmarkEnd w:id="192"/>
    </w:p>
    <w:p w14:paraId="72E37181">
      <w:pPr>
        <w:keepNext w:val="0"/>
        <w:keepLines w:val="0"/>
        <w:pageBreakBefore w:val="0"/>
        <w:kinsoku/>
        <w:overflowPunct/>
        <w:autoSpaceDE/>
        <w:autoSpaceDN/>
        <w:bidi w:val="0"/>
        <w:snapToGrid w:val="0"/>
        <w:spacing w:line="360" w:lineRule="auto"/>
        <w:ind w:firstLine="472" w:firstLineChars="196"/>
        <w:rPr>
          <w:rStyle w:val="48"/>
          <w:rFonts w:hint="eastAsia" w:ascii="宋体" w:hAnsi="宋体" w:eastAsia="宋体" w:cs="宋体"/>
          <w:b w:val="0"/>
          <w:bCs w:val="0"/>
          <w:color w:val="auto"/>
          <w:kern w:val="1"/>
          <w:sz w:val="24"/>
          <w:szCs w:val="24"/>
          <w:highlight w:val="none"/>
        </w:rPr>
      </w:pPr>
      <w:bookmarkStart w:id="194" w:name="_Toc26143"/>
      <w:r>
        <w:rPr>
          <w:rStyle w:val="48"/>
          <w:rFonts w:hint="eastAsia" w:ascii="宋体" w:hAnsi="宋体" w:eastAsia="宋体" w:cs="宋体"/>
          <w:b/>
          <w:bCs/>
          <w:color w:val="auto"/>
          <w:kern w:val="0"/>
          <w:sz w:val="24"/>
          <w:szCs w:val="24"/>
          <w:highlight w:val="none"/>
          <w:lang w:val="en-US" w:eastAsia="zh-CN" w:bidi="ar-SA"/>
        </w:rPr>
        <w:t>3.1</w:t>
      </w:r>
      <w:r>
        <w:rPr>
          <w:rStyle w:val="48"/>
          <w:rFonts w:hint="eastAsia" w:ascii="宋体" w:hAnsi="宋体" w:eastAsia="宋体" w:cs="宋体"/>
          <w:b w:val="0"/>
          <w:bCs w:val="0"/>
          <w:color w:val="auto"/>
          <w:kern w:val="0"/>
          <w:sz w:val="24"/>
          <w:szCs w:val="24"/>
          <w:highlight w:val="none"/>
          <w:lang w:val="en-US" w:eastAsia="zh-CN" w:bidi="ar-SA"/>
        </w:rPr>
        <w:t xml:space="preserve"> </w:t>
      </w:r>
      <w:r>
        <w:rPr>
          <w:rStyle w:val="48"/>
          <w:rFonts w:hint="eastAsia" w:ascii="宋体" w:hAnsi="宋体" w:eastAsia="宋体" w:cs="宋体"/>
          <w:b w:val="0"/>
          <w:bCs w:val="0"/>
          <w:color w:val="auto"/>
          <w:kern w:val="1"/>
          <w:sz w:val="24"/>
          <w:szCs w:val="24"/>
          <w:highlight w:val="none"/>
        </w:rPr>
        <w:t>本项目</w:t>
      </w:r>
      <w:r>
        <w:rPr>
          <w:rStyle w:val="48"/>
          <w:rFonts w:hint="eastAsia" w:ascii="宋体" w:hAnsi="宋体" w:eastAsia="宋体" w:cs="宋体"/>
          <w:b w:val="0"/>
          <w:bCs w:val="0"/>
          <w:color w:val="auto"/>
          <w:kern w:val="1"/>
          <w:sz w:val="24"/>
          <w:szCs w:val="24"/>
          <w:highlight w:val="none"/>
          <w:u w:val="single"/>
        </w:rPr>
        <w:t>支付</w:t>
      </w:r>
      <w:r>
        <w:rPr>
          <w:rStyle w:val="48"/>
          <w:rFonts w:hint="eastAsia" w:ascii="宋体" w:hAnsi="宋体" w:eastAsia="宋体" w:cs="宋体"/>
          <w:b w:val="0"/>
          <w:bCs w:val="0"/>
          <w:color w:val="auto"/>
          <w:kern w:val="1"/>
          <w:sz w:val="24"/>
          <w:szCs w:val="24"/>
          <w:highlight w:val="none"/>
        </w:rPr>
        <w:t>施工预付款。</w:t>
      </w:r>
    </w:p>
    <w:p w14:paraId="622A5F7D">
      <w:pPr>
        <w:keepNext w:val="0"/>
        <w:keepLines w:val="0"/>
        <w:pageBreakBefore w:val="0"/>
        <w:kinsoku/>
        <w:overflowPunct/>
        <w:autoSpaceDE/>
        <w:autoSpaceDN/>
        <w:bidi w:val="0"/>
        <w:snapToGrid w:val="0"/>
        <w:spacing w:line="360" w:lineRule="auto"/>
        <w:ind w:firstLine="482" w:firstLineChars="200"/>
        <w:rPr>
          <w:rStyle w:val="48"/>
          <w:rFonts w:hint="eastAsia" w:ascii="宋体" w:hAnsi="宋体" w:eastAsia="宋体" w:cs="宋体"/>
          <w:b w:val="0"/>
          <w:bCs w:val="0"/>
          <w:color w:val="auto"/>
          <w:kern w:val="0"/>
          <w:sz w:val="24"/>
          <w:szCs w:val="24"/>
          <w:highlight w:val="none"/>
        </w:rPr>
      </w:pPr>
      <w:r>
        <w:rPr>
          <w:rStyle w:val="48"/>
          <w:rFonts w:hint="eastAsia" w:ascii="宋体" w:hAnsi="宋体" w:eastAsia="宋体" w:cs="宋体"/>
          <w:b/>
          <w:bCs/>
          <w:color w:val="auto"/>
          <w:kern w:val="0"/>
          <w:sz w:val="24"/>
          <w:szCs w:val="24"/>
          <w:highlight w:val="none"/>
          <w:lang w:val="en-US" w:eastAsia="zh-CN" w:bidi="ar-SA"/>
        </w:rPr>
        <w:t>3.2</w:t>
      </w:r>
      <w:r>
        <w:rPr>
          <w:rStyle w:val="48"/>
          <w:rFonts w:hint="eastAsia" w:ascii="宋体" w:hAnsi="宋体" w:eastAsia="宋体" w:cs="宋体"/>
          <w:b w:val="0"/>
          <w:bCs w:val="0"/>
          <w:color w:val="auto"/>
          <w:kern w:val="1"/>
          <w:sz w:val="24"/>
          <w:szCs w:val="24"/>
          <w:highlight w:val="none"/>
        </w:rPr>
        <w:t xml:space="preserve"> </w:t>
      </w:r>
      <w:r>
        <w:rPr>
          <w:rStyle w:val="48"/>
          <w:rFonts w:hint="eastAsia" w:ascii="宋体" w:hAnsi="宋体" w:eastAsia="宋体" w:cs="宋体"/>
          <w:b w:val="0"/>
          <w:bCs w:val="0"/>
          <w:color w:val="auto"/>
          <w:kern w:val="0"/>
          <w:sz w:val="24"/>
          <w:szCs w:val="24"/>
          <w:highlight w:val="none"/>
        </w:rPr>
        <w:t>施工预付款必须专用于合同工程，并按以下原则支付和抵扣：</w:t>
      </w:r>
    </w:p>
    <w:p w14:paraId="7FA6A2EA">
      <w:pPr>
        <w:keepNext w:val="0"/>
        <w:keepLines w:val="0"/>
        <w:pageBreakBefore w:val="0"/>
        <w:kinsoku/>
        <w:overflowPunct/>
        <w:autoSpaceDE/>
        <w:autoSpaceDN/>
        <w:bidi w:val="0"/>
        <w:snapToGrid w:val="0"/>
        <w:spacing w:line="360" w:lineRule="auto"/>
        <w:ind w:firstLine="480" w:firstLineChars="200"/>
        <w:rPr>
          <w:rStyle w:val="48"/>
          <w:rFonts w:hint="eastAsia" w:ascii="宋体" w:hAnsi="宋体" w:eastAsia="宋体" w:cs="宋体"/>
          <w:b w:val="0"/>
          <w:bCs w:val="0"/>
          <w:color w:val="auto"/>
          <w:kern w:val="0"/>
          <w:sz w:val="24"/>
          <w:szCs w:val="24"/>
          <w:highlight w:val="none"/>
        </w:rPr>
      </w:pPr>
      <w:r>
        <w:rPr>
          <w:rStyle w:val="48"/>
          <w:rFonts w:hint="eastAsia" w:ascii="宋体" w:hAnsi="宋体" w:eastAsia="宋体" w:cs="宋体"/>
          <w:b w:val="0"/>
          <w:bCs w:val="0"/>
          <w:color w:val="auto"/>
          <w:kern w:val="0"/>
          <w:sz w:val="24"/>
          <w:szCs w:val="24"/>
          <w:highlight w:val="none"/>
        </w:rPr>
        <w:t>3.2.1 施工预付款支付比例为：按施工合同价的</w:t>
      </w:r>
      <w:r>
        <w:rPr>
          <w:rStyle w:val="48"/>
          <w:rFonts w:hint="eastAsia" w:ascii="宋体" w:hAnsi="宋体" w:eastAsia="宋体" w:cs="宋体"/>
          <w:b w:val="0"/>
          <w:bCs w:val="0"/>
          <w:color w:val="auto"/>
          <w:kern w:val="0"/>
          <w:sz w:val="24"/>
          <w:szCs w:val="24"/>
          <w:highlight w:val="none"/>
          <w:u w:val="single"/>
        </w:rPr>
        <w:t xml:space="preserve"> </w:t>
      </w:r>
      <w:r>
        <w:rPr>
          <w:rStyle w:val="48"/>
          <w:rFonts w:hint="eastAsia" w:ascii="宋体" w:hAnsi="宋体" w:eastAsia="宋体" w:cs="宋体"/>
          <w:b w:val="0"/>
          <w:bCs w:val="0"/>
          <w:color w:val="auto"/>
          <w:kern w:val="0"/>
          <w:sz w:val="24"/>
          <w:szCs w:val="24"/>
          <w:highlight w:val="none"/>
          <w:u w:val="single"/>
          <w:lang w:val="en-US" w:eastAsia="zh-CN"/>
        </w:rPr>
        <w:t>3</w:t>
      </w:r>
      <w:r>
        <w:rPr>
          <w:rStyle w:val="48"/>
          <w:rFonts w:hint="eastAsia" w:ascii="宋体" w:hAnsi="宋体" w:eastAsia="宋体" w:cs="宋体"/>
          <w:b w:val="0"/>
          <w:bCs w:val="0"/>
          <w:color w:val="auto"/>
          <w:kern w:val="0"/>
          <w:sz w:val="24"/>
          <w:szCs w:val="24"/>
          <w:highlight w:val="none"/>
          <w:u w:val="single"/>
        </w:rPr>
        <w:t xml:space="preserve">0% </w:t>
      </w:r>
      <w:r>
        <w:rPr>
          <w:rStyle w:val="48"/>
          <w:rFonts w:hint="eastAsia" w:ascii="宋体" w:hAnsi="宋体" w:eastAsia="宋体" w:cs="宋体"/>
          <w:b w:val="0"/>
          <w:bCs w:val="0"/>
          <w:color w:val="auto"/>
          <w:kern w:val="0"/>
          <w:sz w:val="24"/>
          <w:szCs w:val="24"/>
          <w:highlight w:val="none"/>
        </w:rPr>
        <w:t>支付</w:t>
      </w:r>
      <w:r>
        <w:rPr>
          <w:rStyle w:val="48"/>
          <w:rFonts w:hint="eastAsia" w:ascii="宋体" w:hAnsi="宋体" w:eastAsia="宋体" w:cs="宋体"/>
          <w:b w:val="0"/>
          <w:bCs w:val="0"/>
          <w:color w:val="auto"/>
          <w:kern w:val="0"/>
          <w:sz w:val="24"/>
          <w:szCs w:val="24"/>
          <w:highlight w:val="none"/>
          <w:lang w:eastAsia="zh-CN"/>
        </w:rPr>
        <w:t>（暂列金除外）</w:t>
      </w:r>
      <w:r>
        <w:rPr>
          <w:rStyle w:val="48"/>
          <w:rFonts w:hint="eastAsia" w:ascii="宋体" w:hAnsi="宋体" w:eastAsia="宋体" w:cs="宋体"/>
          <w:b w:val="0"/>
          <w:bCs w:val="0"/>
          <w:color w:val="auto"/>
          <w:kern w:val="0"/>
          <w:sz w:val="24"/>
          <w:szCs w:val="24"/>
          <w:highlight w:val="none"/>
        </w:rPr>
        <w:t>。</w:t>
      </w:r>
    </w:p>
    <w:p w14:paraId="5AC88A41">
      <w:pPr>
        <w:keepNext w:val="0"/>
        <w:keepLines w:val="0"/>
        <w:pageBreakBefore w:val="0"/>
        <w:kinsoku/>
        <w:overflowPunct/>
        <w:autoSpaceDE/>
        <w:autoSpaceDN/>
        <w:bidi w:val="0"/>
        <w:snapToGrid w:val="0"/>
        <w:spacing w:line="360" w:lineRule="auto"/>
        <w:ind w:firstLine="480" w:firstLineChars="200"/>
        <w:rPr>
          <w:rStyle w:val="48"/>
          <w:rFonts w:hint="eastAsia" w:ascii="宋体" w:hAnsi="宋体" w:eastAsia="宋体" w:cs="宋体"/>
          <w:b w:val="0"/>
          <w:bCs w:val="0"/>
          <w:color w:val="auto"/>
          <w:kern w:val="0"/>
          <w:sz w:val="24"/>
          <w:szCs w:val="24"/>
          <w:highlight w:val="none"/>
        </w:rPr>
      </w:pPr>
      <w:r>
        <w:rPr>
          <w:rStyle w:val="48"/>
          <w:rFonts w:hint="eastAsia" w:ascii="宋体" w:hAnsi="宋体" w:eastAsia="宋体" w:cs="宋体"/>
          <w:b w:val="0"/>
          <w:bCs w:val="0"/>
          <w:color w:val="auto"/>
          <w:kern w:val="0"/>
          <w:sz w:val="24"/>
          <w:szCs w:val="24"/>
          <w:highlight w:val="none"/>
        </w:rPr>
        <w:t>3.2.2 本招标项目要求承包人提供与预付款等额的预付款保函，且预付款保函期限原则上不少于总工期的一半，且承包单位的预付款保函有效期应保证在扣回预付款前有效，未扣回预付款但保函过期的承包人应重新开具预付款保函。</w:t>
      </w:r>
    </w:p>
    <w:p w14:paraId="7679C453">
      <w:pPr>
        <w:keepNext w:val="0"/>
        <w:keepLines w:val="0"/>
        <w:pageBreakBefore w:val="0"/>
        <w:kinsoku/>
        <w:overflowPunct/>
        <w:autoSpaceDE/>
        <w:autoSpaceDN/>
        <w:bidi w:val="0"/>
        <w:snapToGrid w:val="0"/>
        <w:spacing w:line="360" w:lineRule="auto"/>
        <w:ind w:firstLine="480" w:firstLineChars="200"/>
        <w:rPr>
          <w:rStyle w:val="48"/>
          <w:rFonts w:hint="eastAsia" w:ascii="宋体" w:hAnsi="宋体" w:eastAsia="宋体" w:cs="宋体"/>
          <w:b w:val="0"/>
          <w:bCs w:val="0"/>
          <w:color w:val="auto"/>
          <w:kern w:val="0"/>
          <w:sz w:val="24"/>
          <w:szCs w:val="24"/>
          <w:highlight w:val="none"/>
        </w:rPr>
      </w:pPr>
      <w:r>
        <w:rPr>
          <w:rStyle w:val="48"/>
          <w:rFonts w:hint="eastAsia" w:ascii="宋体" w:hAnsi="宋体" w:eastAsia="宋体" w:cs="宋体"/>
          <w:b w:val="0"/>
          <w:bCs w:val="0"/>
          <w:color w:val="auto"/>
          <w:kern w:val="0"/>
          <w:sz w:val="24"/>
          <w:szCs w:val="24"/>
          <w:highlight w:val="none"/>
        </w:rPr>
        <w:t>3.2.3 承包人应在签订合同后，在具备施工条件的前提下，向发包人提交预付款支付申请。发包人应对在收到支付申请的7天内进行核实后向承包人发出预付款支付证书，并在签发支付证书后的7天内向承包人支付预付款。凡未签订合同或不具备施工条件的工程，发包人不得预付工程款。</w:t>
      </w:r>
    </w:p>
    <w:p w14:paraId="4342A8C0">
      <w:pPr>
        <w:pStyle w:val="51"/>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baseline"/>
        <w:rPr>
          <w:rStyle w:val="48"/>
          <w:rFonts w:hint="eastAsia" w:ascii="宋体" w:hAnsi="宋体" w:eastAsia="宋体" w:cs="宋体"/>
          <w:b w:val="0"/>
          <w:bCs w:val="0"/>
          <w:color w:val="auto"/>
          <w:sz w:val="24"/>
          <w:szCs w:val="24"/>
          <w:highlight w:val="none"/>
        </w:rPr>
      </w:pPr>
      <w:r>
        <w:rPr>
          <w:rStyle w:val="48"/>
          <w:rFonts w:hint="eastAsia" w:ascii="宋体" w:hAnsi="宋体" w:eastAsia="宋体" w:cs="宋体"/>
          <w:b w:val="0"/>
          <w:bCs w:val="0"/>
          <w:color w:val="auto"/>
          <w:sz w:val="24"/>
          <w:szCs w:val="24"/>
          <w:highlight w:val="none"/>
        </w:rPr>
        <w:t>3.2.</w:t>
      </w:r>
      <w:r>
        <w:rPr>
          <w:rStyle w:val="48"/>
          <w:rFonts w:hint="eastAsia" w:ascii="宋体" w:hAnsi="宋体" w:eastAsia="宋体" w:cs="宋体"/>
          <w:b w:val="0"/>
          <w:bCs w:val="0"/>
          <w:color w:val="auto"/>
          <w:sz w:val="24"/>
          <w:szCs w:val="24"/>
          <w:highlight w:val="none"/>
          <w:lang w:val="en-US" w:eastAsia="zh-CN"/>
        </w:rPr>
        <w:t>4</w:t>
      </w:r>
      <w:r>
        <w:rPr>
          <w:rStyle w:val="48"/>
          <w:rFonts w:hint="eastAsia" w:ascii="宋体" w:hAnsi="宋体" w:eastAsia="宋体" w:cs="宋体"/>
          <w:b w:val="0"/>
          <w:bCs w:val="0"/>
          <w:color w:val="auto"/>
          <w:sz w:val="24"/>
          <w:szCs w:val="24"/>
          <w:highlight w:val="none"/>
        </w:rPr>
        <w:t xml:space="preserve"> </w:t>
      </w:r>
      <w:r>
        <w:rPr>
          <w:rFonts w:hint="eastAsia" w:ascii="宋体" w:hAnsi="宋体" w:eastAsia="宋体" w:cs="宋体"/>
          <w:b w:val="0"/>
          <w:bCs w:val="0"/>
          <w:caps w:val="0"/>
          <w:smallCaps w:val="0"/>
          <w:snapToGrid w:val="0"/>
          <w:color w:val="auto"/>
          <w:spacing w:val="0"/>
          <w:kern w:val="0"/>
          <w:sz w:val="24"/>
          <w:szCs w:val="24"/>
          <w:highlight w:val="none"/>
          <w:u w:val="none" w:color="auto"/>
        </w:rPr>
        <w:t>预付款应从每支付期应支付给承包人的工程进度款中</w:t>
      </w:r>
      <w:r>
        <w:rPr>
          <w:rFonts w:hint="eastAsia" w:ascii="宋体" w:hAnsi="宋体" w:eastAsia="宋体" w:cs="宋体"/>
          <w:b w:val="0"/>
          <w:bCs w:val="0"/>
          <w:caps w:val="0"/>
          <w:smallCaps w:val="0"/>
          <w:snapToGrid w:val="0"/>
          <w:color w:val="auto"/>
          <w:spacing w:val="0"/>
          <w:kern w:val="0"/>
          <w:sz w:val="24"/>
          <w:szCs w:val="24"/>
          <w:highlight w:val="none"/>
          <w:u w:val="none" w:color="auto"/>
          <w:lang w:val="en-US" w:eastAsia="zh-CN"/>
        </w:rPr>
        <w:t>按比例</w:t>
      </w:r>
      <w:r>
        <w:rPr>
          <w:rFonts w:hint="eastAsia" w:ascii="宋体" w:hAnsi="宋体" w:eastAsia="宋体" w:cs="宋体"/>
          <w:b w:val="0"/>
          <w:bCs w:val="0"/>
          <w:caps w:val="0"/>
          <w:smallCaps w:val="0"/>
          <w:snapToGrid w:val="0"/>
          <w:color w:val="auto"/>
          <w:spacing w:val="0"/>
          <w:kern w:val="0"/>
          <w:sz w:val="24"/>
          <w:szCs w:val="24"/>
          <w:highlight w:val="none"/>
          <w:u w:val="none" w:color="auto"/>
        </w:rPr>
        <w:t>扣回，</w:t>
      </w:r>
      <w:r>
        <w:rPr>
          <w:rFonts w:hint="eastAsia" w:ascii="宋体" w:hAnsi="宋体" w:eastAsia="宋体" w:cs="宋体"/>
          <w:b w:val="0"/>
          <w:bCs/>
          <w:snapToGrid w:val="0"/>
          <w:color w:val="auto"/>
          <w:kern w:val="0"/>
          <w:sz w:val="24"/>
          <w:szCs w:val="24"/>
          <w:highlight w:val="none"/>
        </w:rPr>
        <w:t>扣回比例为每月的工程进度款的</w:t>
      </w:r>
      <w:r>
        <w:rPr>
          <w:rFonts w:hint="eastAsia" w:ascii="宋体" w:hAnsi="宋体" w:eastAsia="宋体" w:cs="宋体"/>
          <w:b w:val="0"/>
          <w:bCs/>
          <w:snapToGrid w:val="0"/>
          <w:color w:val="auto"/>
          <w:kern w:val="0"/>
          <w:sz w:val="24"/>
          <w:szCs w:val="24"/>
          <w:highlight w:val="none"/>
          <w:lang w:val="en-US" w:eastAsia="zh-CN"/>
        </w:rPr>
        <w:t>40</w:t>
      </w:r>
      <w:r>
        <w:rPr>
          <w:rFonts w:hint="eastAsia" w:ascii="宋体" w:hAnsi="宋体" w:eastAsia="宋体" w:cs="宋体"/>
          <w:b w:val="0"/>
          <w:bCs/>
          <w:snapToGrid w:val="0"/>
          <w:color w:val="auto"/>
          <w:kern w:val="0"/>
          <w:sz w:val="24"/>
          <w:szCs w:val="24"/>
          <w:highlight w:val="none"/>
        </w:rPr>
        <w:t>%</w:t>
      </w:r>
      <w:r>
        <w:rPr>
          <w:rFonts w:hint="eastAsia" w:ascii="宋体" w:hAnsi="宋体" w:eastAsia="宋体" w:cs="宋体"/>
          <w:b w:val="0"/>
          <w:bCs/>
          <w:snapToGrid w:val="0"/>
          <w:color w:val="auto"/>
          <w:kern w:val="0"/>
          <w:sz w:val="24"/>
          <w:szCs w:val="24"/>
          <w:highlight w:val="none"/>
          <w:lang w:eastAsia="zh-CN"/>
        </w:rPr>
        <w:t>，</w:t>
      </w:r>
      <w:r>
        <w:rPr>
          <w:rFonts w:hint="eastAsia" w:ascii="宋体" w:hAnsi="宋体" w:eastAsia="宋体" w:cs="宋体"/>
          <w:b w:val="0"/>
          <w:bCs w:val="0"/>
          <w:caps w:val="0"/>
          <w:smallCaps w:val="0"/>
          <w:snapToGrid w:val="0"/>
          <w:color w:val="auto"/>
          <w:spacing w:val="0"/>
          <w:kern w:val="0"/>
          <w:sz w:val="24"/>
          <w:szCs w:val="24"/>
          <w:highlight w:val="none"/>
          <w:u w:val="none" w:color="auto"/>
        </w:rPr>
        <w:t>直到扣回的金额达到合同约定的预付款金额为止</w:t>
      </w:r>
      <w:r>
        <w:rPr>
          <w:rFonts w:hint="eastAsia" w:ascii="宋体" w:hAnsi="宋体" w:eastAsia="宋体" w:cs="宋体"/>
          <w:b w:val="0"/>
          <w:bCs w:val="0"/>
          <w:caps w:val="0"/>
          <w:smallCaps w:val="0"/>
          <w:snapToGrid w:val="0"/>
          <w:color w:val="auto"/>
          <w:spacing w:val="0"/>
          <w:kern w:val="0"/>
          <w:sz w:val="24"/>
          <w:szCs w:val="24"/>
          <w:highlight w:val="none"/>
          <w:u w:val="none" w:color="auto"/>
          <w:lang w:eastAsia="zh-CN"/>
        </w:rPr>
        <w:t>。</w:t>
      </w:r>
    </w:p>
    <w:p w14:paraId="120FFA22">
      <w:pPr>
        <w:pStyle w:val="51"/>
        <w:keepNext w:val="0"/>
        <w:keepLines w:val="0"/>
        <w:pageBreakBefore w:val="0"/>
        <w:kinsoku/>
        <w:overflowPunct/>
        <w:autoSpaceDE/>
        <w:autoSpaceDN/>
        <w:bidi w:val="0"/>
        <w:snapToGrid w:val="0"/>
        <w:spacing w:line="360" w:lineRule="auto"/>
        <w:ind w:firstLine="482" w:firstLineChars="200"/>
        <w:rPr>
          <w:rStyle w:val="48"/>
          <w:rFonts w:hint="eastAsia" w:ascii="宋体" w:hAnsi="宋体" w:eastAsia="宋体" w:cs="宋体"/>
          <w:b w:val="0"/>
          <w:bCs w:val="0"/>
          <w:color w:val="auto"/>
          <w:kern w:val="1"/>
          <w:sz w:val="24"/>
          <w:szCs w:val="24"/>
          <w:highlight w:val="none"/>
        </w:rPr>
      </w:pPr>
      <w:r>
        <w:rPr>
          <w:rStyle w:val="48"/>
          <w:rFonts w:hint="eastAsia" w:ascii="宋体" w:hAnsi="宋体" w:eastAsia="宋体" w:cs="宋体"/>
          <w:b/>
          <w:bCs/>
          <w:color w:val="auto"/>
          <w:sz w:val="24"/>
          <w:szCs w:val="24"/>
          <w:highlight w:val="none"/>
        </w:rPr>
        <w:t>3.3</w:t>
      </w:r>
      <w:r>
        <w:rPr>
          <w:rStyle w:val="48"/>
          <w:rFonts w:hint="eastAsia" w:ascii="宋体" w:hAnsi="宋体" w:eastAsia="宋体" w:cs="宋体"/>
          <w:b w:val="0"/>
          <w:bCs w:val="0"/>
          <w:color w:val="auto"/>
          <w:sz w:val="24"/>
          <w:szCs w:val="24"/>
          <w:highlight w:val="none"/>
          <w:lang w:val="en-US" w:eastAsia="zh-CN"/>
        </w:rPr>
        <w:t xml:space="preserve"> </w:t>
      </w:r>
      <w:r>
        <w:rPr>
          <w:rStyle w:val="48"/>
          <w:rFonts w:hint="eastAsia" w:ascii="宋体" w:hAnsi="宋体" w:eastAsia="宋体" w:cs="宋体"/>
          <w:b w:val="0"/>
          <w:bCs w:val="0"/>
          <w:color w:val="auto"/>
          <w:kern w:val="1"/>
          <w:sz w:val="24"/>
          <w:szCs w:val="24"/>
          <w:highlight w:val="none"/>
        </w:rPr>
        <w:t>施工过程中按月支付工程进度款：承包</w:t>
      </w:r>
      <w:r>
        <w:rPr>
          <w:rStyle w:val="48"/>
          <w:rFonts w:hint="eastAsia" w:ascii="宋体" w:hAnsi="宋体" w:eastAsia="宋体" w:cs="宋体"/>
          <w:b w:val="0"/>
          <w:bCs w:val="0"/>
          <w:color w:val="auto"/>
          <w:kern w:val="1"/>
          <w:sz w:val="24"/>
          <w:szCs w:val="24"/>
          <w:highlight w:val="none"/>
          <w:lang w:eastAsia="zh-CN"/>
        </w:rPr>
        <w:t>人</w:t>
      </w:r>
      <w:r>
        <w:rPr>
          <w:rStyle w:val="48"/>
          <w:rFonts w:hint="eastAsia" w:ascii="宋体" w:hAnsi="宋体" w:eastAsia="宋体" w:cs="宋体"/>
          <w:b w:val="0"/>
          <w:bCs w:val="0"/>
          <w:color w:val="auto"/>
          <w:kern w:val="1"/>
          <w:sz w:val="24"/>
          <w:szCs w:val="24"/>
          <w:highlight w:val="none"/>
        </w:rPr>
        <w:t>每月按工程实际完成工程量</w:t>
      </w:r>
      <w:r>
        <w:rPr>
          <w:rStyle w:val="48"/>
          <w:rFonts w:hint="eastAsia" w:ascii="宋体" w:hAnsi="宋体" w:eastAsia="宋体" w:cs="宋体"/>
          <w:b w:val="0"/>
          <w:bCs w:val="0"/>
          <w:color w:val="auto"/>
          <w:kern w:val="1"/>
          <w:sz w:val="24"/>
          <w:szCs w:val="24"/>
          <w:highlight w:val="none"/>
          <w:lang w:eastAsia="zh-CN"/>
        </w:rPr>
        <w:t>（</w:t>
      </w:r>
      <w:r>
        <w:rPr>
          <w:rStyle w:val="48"/>
          <w:rFonts w:hint="eastAsia" w:ascii="宋体" w:hAnsi="宋体" w:eastAsia="宋体" w:cs="宋体"/>
          <w:b w:val="0"/>
          <w:bCs w:val="0"/>
          <w:color w:val="auto"/>
          <w:kern w:val="1"/>
          <w:sz w:val="24"/>
          <w:szCs w:val="24"/>
          <w:highlight w:val="none"/>
        </w:rPr>
        <w:t>含变更及增加工程</w:t>
      </w:r>
      <w:r>
        <w:rPr>
          <w:rStyle w:val="48"/>
          <w:rFonts w:hint="eastAsia" w:ascii="宋体" w:hAnsi="宋体" w:eastAsia="宋体" w:cs="宋体"/>
          <w:b w:val="0"/>
          <w:bCs w:val="0"/>
          <w:color w:val="auto"/>
          <w:kern w:val="1"/>
          <w:sz w:val="24"/>
          <w:szCs w:val="24"/>
          <w:highlight w:val="none"/>
          <w:lang w:eastAsia="zh-CN"/>
        </w:rPr>
        <w:t>）</w:t>
      </w:r>
      <w:r>
        <w:rPr>
          <w:rStyle w:val="48"/>
          <w:rFonts w:hint="eastAsia" w:ascii="宋体" w:hAnsi="宋体" w:eastAsia="宋体" w:cs="宋体"/>
          <w:b w:val="0"/>
          <w:bCs w:val="0"/>
          <w:color w:val="auto"/>
          <w:kern w:val="1"/>
          <w:sz w:val="24"/>
          <w:szCs w:val="24"/>
          <w:highlight w:val="none"/>
        </w:rPr>
        <w:t>申报，</w:t>
      </w:r>
      <w:r>
        <w:rPr>
          <w:rStyle w:val="48"/>
          <w:rFonts w:hint="eastAsia" w:ascii="宋体" w:hAnsi="宋体" w:eastAsia="宋体" w:cs="宋体"/>
          <w:b w:val="0"/>
          <w:bCs w:val="0"/>
          <w:color w:val="auto"/>
          <w:kern w:val="1"/>
          <w:sz w:val="24"/>
          <w:szCs w:val="24"/>
          <w:highlight w:val="none"/>
          <w:lang w:eastAsia="zh-CN"/>
        </w:rPr>
        <w:t>承包</w:t>
      </w:r>
      <w:r>
        <w:rPr>
          <w:rStyle w:val="48"/>
          <w:rFonts w:hint="eastAsia" w:ascii="宋体" w:hAnsi="宋体" w:eastAsia="宋体" w:cs="宋体"/>
          <w:b w:val="0"/>
          <w:bCs w:val="0"/>
          <w:color w:val="auto"/>
          <w:kern w:val="1"/>
          <w:sz w:val="24"/>
          <w:szCs w:val="24"/>
          <w:highlight w:val="none"/>
        </w:rPr>
        <w:t>人必须将《已完成工程量报表》和《工程付款申请书》于当月</w:t>
      </w:r>
      <w:r>
        <w:rPr>
          <w:rStyle w:val="48"/>
          <w:rFonts w:hint="eastAsia" w:ascii="宋体" w:hAnsi="宋体" w:eastAsia="宋体" w:cs="宋体"/>
          <w:b w:val="0"/>
          <w:bCs w:val="0"/>
          <w:color w:val="auto"/>
          <w:kern w:val="1"/>
          <w:sz w:val="24"/>
          <w:szCs w:val="24"/>
          <w:highlight w:val="none"/>
          <w:lang w:val="en-US" w:eastAsia="zh-CN"/>
        </w:rPr>
        <w:t>26日前</w:t>
      </w:r>
      <w:r>
        <w:rPr>
          <w:rStyle w:val="48"/>
          <w:rFonts w:hint="eastAsia" w:ascii="宋体" w:hAnsi="宋体" w:eastAsia="宋体" w:cs="宋体"/>
          <w:b w:val="0"/>
          <w:bCs w:val="0"/>
          <w:color w:val="auto"/>
          <w:kern w:val="1"/>
          <w:sz w:val="24"/>
          <w:szCs w:val="24"/>
          <w:highlight w:val="none"/>
        </w:rPr>
        <w:t>报监理</w:t>
      </w:r>
      <w:r>
        <w:rPr>
          <w:rStyle w:val="48"/>
          <w:rFonts w:hint="eastAsia" w:ascii="宋体" w:hAnsi="宋体" w:eastAsia="宋体" w:cs="宋体"/>
          <w:b w:val="0"/>
          <w:bCs w:val="0"/>
          <w:color w:val="auto"/>
          <w:kern w:val="1"/>
          <w:sz w:val="24"/>
          <w:szCs w:val="24"/>
          <w:highlight w:val="none"/>
          <w:lang w:eastAsia="zh-CN"/>
        </w:rPr>
        <w:t>单位</w:t>
      </w:r>
      <w:r>
        <w:rPr>
          <w:rStyle w:val="48"/>
          <w:rFonts w:hint="eastAsia" w:ascii="宋体" w:hAnsi="宋体" w:eastAsia="宋体" w:cs="宋体"/>
          <w:b w:val="0"/>
          <w:bCs w:val="0"/>
          <w:color w:val="auto"/>
          <w:kern w:val="1"/>
          <w:sz w:val="24"/>
          <w:szCs w:val="24"/>
          <w:highlight w:val="none"/>
        </w:rPr>
        <w:t>核</w:t>
      </w:r>
      <w:bookmarkStart w:id="195" w:name="_Hlt127094354"/>
      <w:bookmarkEnd w:id="195"/>
      <w:r>
        <w:rPr>
          <w:rStyle w:val="48"/>
          <w:rFonts w:hint="eastAsia" w:ascii="宋体" w:hAnsi="宋体" w:eastAsia="宋体" w:cs="宋体"/>
          <w:b w:val="0"/>
          <w:bCs w:val="0"/>
          <w:color w:val="auto"/>
          <w:kern w:val="1"/>
          <w:sz w:val="24"/>
          <w:szCs w:val="24"/>
          <w:highlight w:val="none"/>
        </w:rPr>
        <w:t>实</w:t>
      </w:r>
      <w:r>
        <w:rPr>
          <w:rStyle w:val="48"/>
          <w:rFonts w:hint="eastAsia" w:ascii="宋体" w:hAnsi="宋体" w:eastAsia="宋体" w:cs="宋体"/>
          <w:b w:val="0"/>
          <w:bCs w:val="0"/>
          <w:color w:val="auto"/>
          <w:kern w:val="1"/>
          <w:sz w:val="24"/>
          <w:szCs w:val="24"/>
          <w:highlight w:val="none"/>
          <w:lang w:eastAsia="zh-CN"/>
        </w:rPr>
        <w:t>。</w:t>
      </w:r>
      <w:r>
        <w:rPr>
          <w:rStyle w:val="48"/>
          <w:rFonts w:hint="eastAsia" w:ascii="宋体" w:hAnsi="宋体" w:eastAsia="宋体" w:cs="宋体"/>
          <w:b w:val="0"/>
          <w:bCs w:val="0"/>
          <w:color w:val="auto"/>
          <w:kern w:val="1"/>
          <w:sz w:val="24"/>
          <w:szCs w:val="24"/>
          <w:highlight w:val="none"/>
        </w:rPr>
        <w:t>经监理</w:t>
      </w:r>
      <w:r>
        <w:rPr>
          <w:rStyle w:val="48"/>
          <w:rFonts w:hint="eastAsia" w:ascii="宋体" w:hAnsi="宋体" w:eastAsia="宋体" w:cs="宋体"/>
          <w:b w:val="0"/>
          <w:bCs w:val="0"/>
          <w:color w:val="auto"/>
          <w:kern w:val="1"/>
          <w:sz w:val="24"/>
          <w:szCs w:val="24"/>
          <w:highlight w:val="none"/>
          <w:lang w:eastAsia="zh-CN"/>
        </w:rPr>
        <w:t>单位审核、发包</w:t>
      </w:r>
      <w:r>
        <w:rPr>
          <w:rStyle w:val="48"/>
          <w:rFonts w:hint="eastAsia" w:ascii="宋体" w:hAnsi="宋体" w:eastAsia="宋体" w:cs="宋体"/>
          <w:b w:val="0"/>
          <w:bCs w:val="0"/>
          <w:color w:val="auto"/>
          <w:kern w:val="1"/>
          <w:sz w:val="24"/>
          <w:szCs w:val="24"/>
          <w:highlight w:val="none"/>
        </w:rPr>
        <w:t>人</w:t>
      </w:r>
      <w:r>
        <w:rPr>
          <w:rStyle w:val="48"/>
          <w:rFonts w:hint="eastAsia" w:ascii="宋体" w:hAnsi="宋体" w:eastAsia="宋体" w:cs="宋体"/>
          <w:b w:val="0"/>
          <w:bCs w:val="0"/>
          <w:color w:val="auto"/>
          <w:kern w:val="1"/>
          <w:sz w:val="24"/>
          <w:szCs w:val="24"/>
          <w:highlight w:val="none"/>
          <w:lang w:eastAsia="zh-CN"/>
        </w:rPr>
        <w:t>审定</w:t>
      </w:r>
      <w:r>
        <w:rPr>
          <w:rStyle w:val="48"/>
          <w:rFonts w:hint="eastAsia" w:ascii="宋体" w:hAnsi="宋体" w:eastAsia="宋体" w:cs="宋体"/>
          <w:b w:val="0"/>
          <w:bCs w:val="0"/>
          <w:color w:val="auto"/>
          <w:kern w:val="1"/>
          <w:sz w:val="24"/>
          <w:szCs w:val="24"/>
          <w:highlight w:val="none"/>
        </w:rPr>
        <w:t>后</w:t>
      </w:r>
      <w:r>
        <w:rPr>
          <w:rStyle w:val="48"/>
          <w:rFonts w:hint="eastAsia" w:ascii="宋体" w:hAnsi="宋体" w:eastAsia="宋体" w:cs="宋体"/>
          <w:b w:val="0"/>
          <w:bCs w:val="0"/>
          <w:color w:val="auto"/>
          <w:kern w:val="1"/>
          <w:sz w:val="24"/>
          <w:szCs w:val="24"/>
          <w:highlight w:val="none"/>
          <w:lang w:eastAsia="zh-CN"/>
        </w:rPr>
        <w:t>的工程进度款（指已经按照合同约定，扣除该支付期内因承包人违约而应扣除的管理费）</w:t>
      </w:r>
      <w:r>
        <w:rPr>
          <w:rStyle w:val="48"/>
          <w:rFonts w:hint="eastAsia" w:ascii="宋体" w:hAnsi="宋体" w:eastAsia="宋体" w:cs="宋体"/>
          <w:b w:val="0"/>
          <w:bCs w:val="0"/>
          <w:color w:val="auto"/>
          <w:kern w:val="1"/>
          <w:sz w:val="24"/>
          <w:szCs w:val="24"/>
          <w:highlight w:val="none"/>
        </w:rPr>
        <w:t>，于申报次月支付。</w:t>
      </w:r>
    </w:p>
    <w:p w14:paraId="612C1547">
      <w:pPr>
        <w:pStyle w:val="51"/>
        <w:keepNext w:val="0"/>
        <w:keepLines w:val="0"/>
        <w:pageBreakBefore w:val="0"/>
        <w:kinsoku/>
        <w:overflowPunct/>
        <w:autoSpaceDE/>
        <w:autoSpaceDN/>
        <w:bidi w:val="0"/>
        <w:snapToGrid w:val="0"/>
        <w:spacing w:line="360" w:lineRule="auto"/>
        <w:ind w:firstLine="480" w:firstLineChars="200"/>
        <w:rPr>
          <w:rStyle w:val="48"/>
          <w:rFonts w:hint="eastAsia" w:ascii="宋体" w:hAnsi="宋体" w:eastAsia="宋体" w:cs="宋体"/>
          <w:b w:val="0"/>
          <w:bCs w:val="0"/>
          <w:color w:val="auto"/>
          <w:kern w:val="1"/>
          <w:sz w:val="24"/>
          <w:szCs w:val="24"/>
          <w:highlight w:val="none"/>
        </w:rPr>
      </w:pPr>
      <w:r>
        <w:rPr>
          <w:rStyle w:val="48"/>
          <w:rFonts w:hint="eastAsia" w:ascii="宋体" w:hAnsi="宋体" w:eastAsia="宋体" w:cs="宋体"/>
          <w:b w:val="0"/>
          <w:bCs w:val="0"/>
          <w:color w:val="auto"/>
          <w:sz w:val="24"/>
          <w:szCs w:val="24"/>
          <w:highlight w:val="none"/>
          <w:lang w:val="en-US" w:eastAsia="zh-CN"/>
        </w:rPr>
        <w:t>3.3.1</w:t>
      </w:r>
      <w:r>
        <w:rPr>
          <w:rFonts w:hint="eastAsia" w:ascii="宋体" w:hAnsi="宋体" w:eastAsia="宋体" w:cs="宋体"/>
          <w:b w:val="0"/>
          <w:bCs w:val="0"/>
          <w:caps w:val="0"/>
          <w:smallCaps w:val="0"/>
          <w:snapToGrid w:val="0"/>
          <w:color w:val="auto"/>
          <w:spacing w:val="0"/>
          <w:kern w:val="0"/>
          <w:sz w:val="24"/>
          <w:szCs w:val="24"/>
          <w:highlight w:val="none"/>
        </w:rPr>
        <w:t>每月的工程进度款按</w:t>
      </w:r>
      <w:r>
        <w:rPr>
          <w:rFonts w:hint="eastAsia" w:ascii="宋体" w:hAnsi="宋体" w:eastAsia="宋体" w:cs="宋体"/>
          <w:b w:val="0"/>
          <w:bCs w:val="0"/>
          <w:caps w:val="0"/>
          <w:smallCaps w:val="0"/>
          <w:snapToGrid w:val="0"/>
          <w:color w:val="auto"/>
          <w:spacing w:val="0"/>
          <w:kern w:val="0"/>
          <w:sz w:val="24"/>
          <w:szCs w:val="24"/>
          <w:highlight w:val="none"/>
          <w:lang w:eastAsia="zh-CN"/>
        </w:rPr>
        <w:t>工程实际完成工程量</w:t>
      </w:r>
      <w:r>
        <w:rPr>
          <w:rFonts w:hint="eastAsia" w:ascii="宋体" w:hAnsi="宋体" w:eastAsia="宋体" w:cs="宋体"/>
          <w:b w:val="0"/>
          <w:bCs w:val="0"/>
          <w:caps w:val="0"/>
          <w:smallCaps w:val="0"/>
          <w:snapToGrid w:val="0"/>
          <w:color w:val="auto"/>
          <w:spacing w:val="0"/>
          <w:kern w:val="0"/>
          <w:sz w:val="24"/>
          <w:szCs w:val="24"/>
          <w:highlight w:val="none"/>
        </w:rPr>
        <w:t>的</w:t>
      </w:r>
      <w:r>
        <w:rPr>
          <w:rFonts w:hint="eastAsia" w:ascii="宋体" w:hAnsi="宋体" w:eastAsia="宋体" w:cs="宋体"/>
          <w:b w:val="0"/>
          <w:bCs w:val="0"/>
          <w:caps w:val="0"/>
          <w:smallCaps w:val="0"/>
          <w:snapToGrid w:val="0"/>
          <w:color w:val="auto"/>
          <w:spacing w:val="0"/>
          <w:kern w:val="0"/>
          <w:sz w:val="24"/>
          <w:szCs w:val="24"/>
          <w:highlight w:val="none"/>
          <w:u w:val="single" w:color="auto"/>
          <w:lang w:val="en-US" w:eastAsia="zh-CN"/>
        </w:rPr>
        <w:t xml:space="preserve"> 80%</w:t>
      </w:r>
      <w:r>
        <w:rPr>
          <w:rFonts w:hint="eastAsia" w:ascii="宋体" w:hAnsi="宋体" w:eastAsia="宋体" w:cs="宋体"/>
          <w:b w:val="0"/>
          <w:bCs w:val="0"/>
          <w:caps w:val="0"/>
          <w:smallCaps w:val="0"/>
          <w:snapToGrid w:val="0"/>
          <w:color w:val="auto"/>
          <w:spacing w:val="0"/>
          <w:kern w:val="0"/>
          <w:sz w:val="24"/>
          <w:szCs w:val="24"/>
          <w:highlight w:val="none"/>
          <w:u w:val="single"/>
          <w:lang w:val="en-US" w:eastAsia="zh-CN"/>
        </w:rPr>
        <w:t xml:space="preserve"> </w:t>
      </w:r>
      <w:r>
        <w:rPr>
          <w:rFonts w:hint="eastAsia" w:ascii="宋体" w:hAnsi="宋体" w:eastAsia="宋体" w:cs="宋体"/>
          <w:b w:val="0"/>
          <w:bCs w:val="0"/>
          <w:caps w:val="0"/>
          <w:smallCaps w:val="0"/>
          <w:snapToGrid w:val="0"/>
          <w:color w:val="auto"/>
          <w:spacing w:val="0"/>
          <w:kern w:val="0"/>
          <w:sz w:val="24"/>
          <w:szCs w:val="24"/>
          <w:highlight w:val="none"/>
        </w:rPr>
        <w:t>支付</w:t>
      </w:r>
      <w:r>
        <w:rPr>
          <w:rFonts w:hint="eastAsia" w:ascii="宋体" w:hAnsi="宋体" w:eastAsia="宋体" w:cs="宋体"/>
          <w:b w:val="0"/>
          <w:bCs w:val="0"/>
          <w:caps w:val="0"/>
          <w:smallCaps w:val="0"/>
          <w:snapToGrid w:val="0"/>
          <w:color w:val="auto"/>
          <w:spacing w:val="0"/>
          <w:kern w:val="0"/>
          <w:sz w:val="24"/>
          <w:szCs w:val="24"/>
          <w:highlight w:val="none"/>
          <w:lang w:eastAsia="zh-CN"/>
        </w:rPr>
        <w:t>（不含人工费）</w:t>
      </w:r>
      <w:r>
        <w:rPr>
          <w:rFonts w:hint="eastAsia" w:ascii="宋体" w:hAnsi="宋体" w:eastAsia="宋体" w:cs="宋体"/>
          <w:b w:val="0"/>
          <w:bCs w:val="0"/>
          <w:caps w:val="0"/>
          <w:smallCaps w:val="0"/>
          <w:snapToGrid w:val="0"/>
          <w:color w:val="auto"/>
          <w:spacing w:val="0"/>
          <w:kern w:val="0"/>
          <w:sz w:val="24"/>
          <w:szCs w:val="24"/>
          <w:highlight w:val="none"/>
        </w:rPr>
        <w:t>，工程</w:t>
      </w:r>
      <w:r>
        <w:rPr>
          <w:rFonts w:hint="eastAsia" w:ascii="宋体" w:hAnsi="宋体" w:eastAsia="宋体" w:cs="宋体"/>
          <w:b w:val="0"/>
          <w:bCs w:val="0"/>
          <w:caps w:val="0"/>
          <w:smallCaps w:val="0"/>
          <w:snapToGrid w:val="0"/>
          <w:color w:val="auto"/>
          <w:spacing w:val="0"/>
          <w:kern w:val="0"/>
          <w:sz w:val="24"/>
          <w:szCs w:val="24"/>
          <w:highlight w:val="none"/>
          <w:lang w:eastAsia="zh-CN"/>
        </w:rPr>
        <w:t>进度</w:t>
      </w:r>
      <w:r>
        <w:rPr>
          <w:rFonts w:hint="eastAsia" w:ascii="宋体" w:hAnsi="宋体" w:eastAsia="宋体" w:cs="宋体"/>
          <w:b w:val="0"/>
          <w:bCs w:val="0"/>
          <w:caps w:val="0"/>
          <w:smallCaps w:val="0"/>
          <w:snapToGrid w:val="0"/>
          <w:color w:val="auto"/>
          <w:spacing w:val="0"/>
          <w:kern w:val="0"/>
          <w:sz w:val="24"/>
          <w:szCs w:val="24"/>
          <w:highlight w:val="none"/>
        </w:rPr>
        <w:t>款中的作业工人工资款项由发包人单独足额拨付到承包人的工资专户</w:t>
      </w:r>
      <w:r>
        <w:rPr>
          <w:rFonts w:hint="eastAsia" w:ascii="宋体" w:hAnsi="宋体" w:eastAsia="宋体" w:cs="宋体"/>
          <w:b w:val="0"/>
          <w:bCs w:val="0"/>
          <w:caps w:val="0"/>
          <w:smallCaps w:val="0"/>
          <w:snapToGrid w:val="0"/>
          <w:color w:val="auto"/>
          <w:spacing w:val="0"/>
          <w:kern w:val="0"/>
          <w:sz w:val="24"/>
          <w:szCs w:val="24"/>
          <w:highlight w:val="none"/>
          <w:lang w:eastAsia="zh-CN"/>
        </w:rPr>
        <w:t>。</w:t>
      </w:r>
    </w:p>
    <w:p w14:paraId="339F2C0F">
      <w:pPr>
        <w:keepNext w:val="0"/>
        <w:keepLines w:val="0"/>
        <w:pageBreakBefore w:val="0"/>
        <w:kinsoku/>
        <w:overflowPunct/>
        <w:autoSpaceDE/>
        <w:autoSpaceDN/>
        <w:bidi w:val="0"/>
        <w:snapToGrid w:val="0"/>
        <w:spacing w:line="360" w:lineRule="auto"/>
        <w:ind w:firstLine="482" w:firstLineChars="200"/>
        <w:rPr>
          <w:rStyle w:val="48"/>
          <w:rFonts w:hint="eastAsia" w:ascii="宋体" w:hAnsi="宋体" w:eastAsia="宋体" w:cs="宋体"/>
          <w:b w:val="0"/>
          <w:bCs w:val="0"/>
          <w:color w:val="auto"/>
          <w:kern w:val="1"/>
          <w:sz w:val="24"/>
          <w:szCs w:val="24"/>
          <w:highlight w:val="none"/>
        </w:rPr>
      </w:pPr>
      <w:r>
        <w:rPr>
          <w:rStyle w:val="48"/>
          <w:rFonts w:hint="eastAsia" w:ascii="宋体" w:hAnsi="宋体" w:eastAsia="宋体" w:cs="宋体"/>
          <w:b/>
          <w:bCs/>
          <w:color w:val="auto"/>
          <w:kern w:val="1"/>
          <w:sz w:val="24"/>
          <w:szCs w:val="24"/>
          <w:highlight w:val="none"/>
        </w:rPr>
        <w:t>3.4</w:t>
      </w:r>
      <w:r>
        <w:rPr>
          <w:rStyle w:val="48"/>
          <w:rFonts w:hint="eastAsia" w:ascii="宋体" w:hAnsi="宋体" w:eastAsia="宋体" w:cs="宋体"/>
          <w:b w:val="0"/>
          <w:bCs w:val="0"/>
          <w:color w:val="auto"/>
          <w:kern w:val="1"/>
          <w:sz w:val="24"/>
          <w:szCs w:val="24"/>
          <w:highlight w:val="none"/>
          <w:lang w:val="en-US" w:eastAsia="zh-CN"/>
        </w:rPr>
        <w:t xml:space="preserve"> </w:t>
      </w:r>
      <w:r>
        <w:rPr>
          <w:rFonts w:hint="eastAsia" w:ascii="宋体" w:hAnsi="宋体" w:eastAsia="宋体" w:cs="宋体"/>
          <w:b w:val="0"/>
          <w:bCs w:val="0"/>
          <w:snapToGrid w:val="0"/>
          <w:color w:val="auto"/>
          <w:kern w:val="0"/>
          <w:sz w:val="24"/>
          <w:szCs w:val="24"/>
          <w:highlight w:val="none"/>
        </w:rPr>
        <w:t>措施项目费中的“绿色施工安全防护措施费”拨付按照《广东省建设工程计价依据（2018）》执行，按照项目所在地的建设行政主管部门有关规定支付。发生一般事故及以上等级重大安全事故的，发包人可扣除承包人金额相当于所有“绿色施工安全防护措施费”的工程管理费。</w:t>
      </w:r>
    </w:p>
    <w:p w14:paraId="78EE1D7F">
      <w:pPr>
        <w:keepNext w:val="0"/>
        <w:keepLines w:val="0"/>
        <w:pageBreakBefore w:val="0"/>
        <w:kinsoku/>
        <w:overflowPunct/>
        <w:autoSpaceDE/>
        <w:autoSpaceDN/>
        <w:bidi w:val="0"/>
        <w:snapToGrid w:val="0"/>
        <w:spacing w:line="360" w:lineRule="auto"/>
        <w:ind w:firstLine="482" w:firstLineChars="200"/>
        <w:rPr>
          <w:rStyle w:val="48"/>
          <w:rFonts w:hint="eastAsia" w:ascii="宋体" w:hAnsi="宋体" w:eastAsia="宋体" w:cs="宋体"/>
          <w:b w:val="0"/>
          <w:bCs w:val="0"/>
          <w:color w:val="auto"/>
          <w:kern w:val="1"/>
          <w:sz w:val="24"/>
          <w:szCs w:val="24"/>
          <w:highlight w:val="none"/>
        </w:rPr>
      </w:pPr>
      <w:r>
        <w:rPr>
          <w:rStyle w:val="48"/>
          <w:rFonts w:hint="eastAsia" w:ascii="宋体" w:hAnsi="宋体" w:eastAsia="宋体" w:cs="宋体"/>
          <w:b/>
          <w:bCs/>
          <w:color w:val="auto"/>
          <w:kern w:val="1"/>
          <w:sz w:val="24"/>
          <w:szCs w:val="24"/>
          <w:highlight w:val="none"/>
        </w:rPr>
        <w:t>3.5</w:t>
      </w:r>
      <w:r>
        <w:rPr>
          <w:rStyle w:val="48"/>
          <w:rFonts w:hint="eastAsia" w:ascii="宋体" w:hAnsi="宋体" w:eastAsia="宋体" w:cs="宋体"/>
          <w:b w:val="0"/>
          <w:bCs w:val="0"/>
          <w:color w:val="auto"/>
          <w:kern w:val="1"/>
          <w:sz w:val="24"/>
          <w:szCs w:val="24"/>
          <w:highlight w:val="none"/>
          <w:lang w:val="en-US" w:eastAsia="zh-CN"/>
        </w:rPr>
        <w:t xml:space="preserve"> </w:t>
      </w:r>
      <w:r>
        <w:rPr>
          <w:rStyle w:val="48"/>
          <w:rFonts w:hint="eastAsia" w:ascii="宋体" w:hAnsi="宋体" w:eastAsia="宋体" w:cs="宋体"/>
          <w:b w:val="0"/>
          <w:bCs w:val="0"/>
          <w:color w:val="auto"/>
          <w:kern w:val="0"/>
          <w:sz w:val="24"/>
          <w:szCs w:val="24"/>
          <w:highlight w:val="none"/>
        </w:rPr>
        <w:t>变更工程造价必须经监理单位核实，并经发包人核定后方可支付。</w:t>
      </w:r>
    </w:p>
    <w:p w14:paraId="221BB690">
      <w:pPr>
        <w:keepNext w:val="0"/>
        <w:keepLines w:val="0"/>
        <w:pageBreakBefore w:val="0"/>
        <w:kinsoku/>
        <w:overflowPunct/>
        <w:autoSpaceDE/>
        <w:autoSpaceDN/>
        <w:bidi w:val="0"/>
        <w:snapToGrid w:val="0"/>
        <w:spacing w:line="360" w:lineRule="auto"/>
        <w:ind w:firstLine="482" w:firstLineChars="200"/>
        <w:rPr>
          <w:rFonts w:hint="eastAsia" w:ascii="宋体" w:hAnsi="宋体" w:eastAsia="宋体" w:cs="宋体"/>
          <w:b w:val="0"/>
          <w:bCs w:val="0"/>
          <w:caps w:val="0"/>
          <w:smallCaps w:val="0"/>
          <w:snapToGrid w:val="0"/>
          <w:color w:val="auto"/>
          <w:spacing w:val="0"/>
          <w:kern w:val="0"/>
          <w:sz w:val="24"/>
          <w:szCs w:val="24"/>
          <w:highlight w:val="none"/>
          <w:lang w:val="en-US" w:eastAsia="zh-CN"/>
        </w:rPr>
      </w:pPr>
      <w:r>
        <w:rPr>
          <w:rStyle w:val="48"/>
          <w:rFonts w:hint="eastAsia" w:ascii="宋体" w:hAnsi="宋体" w:eastAsia="宋体" w:cs="宋体"/>
          <w:b/>
          <w:bCs/>
          <w:color w:val="auto"/>
          <w:kern w:val="1"/>
          <w:sz w:val="24"/>
          <w:szCs w:val="24"/>
          <w:highlight w:val="none"/>
        </w:rPr>
        <w:t>3.6</w:t>
      </w:r>
      <w:r>
        <w:rPr>
          <w:rStyle w:val="48"/>
          <w:rFonts w:hint="eastAsia" w:ascii="宋体" w:hAnsi="宋体" w:eastAsia="宋体" w:cs="宋体"/>
          <w:b w:val="0"/>
          <w:bCs w:val="0"/>
          <w:color w:val="auto"/>
          <w:kern w:val="1"/>
          <w:sz w:val="24"/>
          <w:szCs w:val="24"/>
          <w:highlight w:val="none"/>
        </w:rPr>
        <w:t xml:space="preserve"> </w:t>
      </w:r>
      <w:r>
        <w:rPr>
          <w:rFonts w:hint="eastAsia" w:ascii="宋体" w:hAnsi="宋体" w:eastAsia="宋体" w:cs="宋体"/>
          <w:b w:val="0"/>
          <w:bCs w:val="0"/>
          <w:caps w:val="0"/>
          <w:smallCaps w:val="0"/>
          <w:snapToGrid w:val="0"/>
          <w:color w:val="auto"/>
          <w:spacing w:val="0"/>
          <w:kern w:val="0"/>
          <w:sz w:val="24"/>
          <w:szCs w:val="24"/>
          <w:highlight w:val="none"/>
          <w:lang w:eastAsia="zh-CN"/>
        </w:rPr>
        <w:t>结算审核完成后，于次月支付至审核价格的97%（以高新区财审审定后的价格为准），剩余3%转为质量保证金；承包人提交了等额质量保证担保或质量保证保险的，于次月一次性结清合同价格。</w:t>
      </w:r>
    </w:p>
    <w:p w14:paraId="12E62EB8">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right="0" w:rightChars="0" w:firstLine="480" w:firstLineChars="200"/>
        <w:textAlignment w:val="auto"/>
        <w:rPr>
          <w:rFonts w:hint="eastAsia" w:ascii="宋体" w:hAnsi="宋体" w:eastAsia="宋体" w:cs="宋体"/>
          <w:b w:val="0"/>
          <w:bCs w:val="0"/>
          <w:caps w:val="0"/>
          <w:smallCaps w:val="0"/>
          <w:snapToGrid w:val="0"/>
          <w:color w:val="auto"/>
          <w:spacing w:val="0"/>
          <w:kern w:val="0"/>
          <w:sz w:val="24"/>
          <w:szCs w:val="24"/>
          <w:highlight w:val="none"/>
          <w:lang w:val="en-US" w:eastAsia="zh-CN"/>
        </w:rPr>
      </w:pPr>
      <w:r>
        <w:rPr>
          <w:rFonts w:hint="eastAsia" w:ascii="宋体" w:hAnsi="宋体" w:eastAsia="宋体" w:cs="宋体"/>
          <w:b w:val="0"/>
          <w:bCs w:val="0"/>
          <w:caps w:val="0"/>
          <w:smallCaps w:val="0"/>
          <w:snapToGrid w:val="0"/>
          <w:color w:val="auto"/>
          <w:spacing w:val="0"/>
          <w:kern w:val="0"/>
          <w:sz w:val="24"/>
          <w:szCs w:val="24"/>
          <w:highlight w:val="none"/>
          <w:lang w:val="en-US" w:eastAsia="zh-CN"/>
        </w:rPr>
        <w:t>注：招标人在前款规定的付款时间为向支付部门提出办理支付申请手续的时间（不含支付部门审核的时间），在规定时间内提出支付申请手续后即视为招标人已经按期支付。</w:t>
      </w:r>
    </w:p>
    <w:p w14:paraId="6EB20441">
      <w:pPr>
        <w:keepNext w:val="0"/>
        <w:keepLines w:val="0"/>
        <w:pageBreakBefore w:val="0"/>
        <w:kinsoku/>
        <w:overflowPunct/>
        <w:autoSpaceDE/>
        <w:autoSpaceDN/>
        <w:bidi w:val="0"/>
        <w:snapToGrid w:val="0"/>
        <w:spacing w:line="360" w:lineRule="auto"/>
        <w:ind w:firstLine="482" w:firstLineChars="200"/>
        <w:rPr>
          <w:rStyle w:val="48"/>
          <w:rFonts w:hint="eastAsia" w:ascii="宋体" w:hAnsi="宋体" w:eastAsia="宋体" w:cs="宋体"/>
          <w:b w:val="0"/>
          <w:bCs w:val="0"/>
          <w:color w:val="auto"/>
          <w:kern w:val="1"/>
          <w:sz w:val="24"/>
          <w:szCs w:val="24"/>
          <w:highlight w:val="none"/>
          <w:lang w:val="en-US" w:eastAsia="zh-CN"/>
        </w:rPr>
      </w:pPr>
      <w:r>
        <w:rPr>
          <w:rStyle w:val="48"/>
          <w:rFonts w:hint="eastAsia" w:ascii="宋体" w:hAnsi="宋体" w:eastAsia="宋体" w:cs="宋体"/>
          <w:b/>
          <w:bCs/>
          <w:color w:val="auto"/>
          <w:kern w:val="1"/>
          <w:sz w:val="24"/>
          <w:szCs w:val="24"/>
          <w:highlight w:val="none"/>
        </w:rPr>
        <w:t>3.7</w:t>
      </w:r>
      <w:r>
        <w:rPr>
          <w:rStyle w:val="48"/>
          <w:rFonts w:hint="eastAsia" w:ascii="宋体" w:hAnsi="宋体" w:eastAsia="宋体" w:cs="宋体"/>
          <w:b w:val="0"/>
          <w:bCs w:val="0"/>
          <w:color w:val="auto"/>
          <w:kern w:val="1"/>
          <w:sz w:val="24"/>
          <w:szCs w:val="24"/>
          <w:highlight w:val="none"/>
          <w:lang w:val="en-US" w:eastAsia="zh-CN"/>
        </w:rPr>
        <w:t xml:space="preserve"> </w:t>
      </w:r>
      <w:r>
        <w:rPr>
          <w:rFonts w:hint="eastAsia" w:ascii="宋体" w:hAnsi="宋体" w:eastAsia="宋体" w:cs="宋体"/>
          <w:b w:val="0"/>
          <w:bCs w:val="0"/>
          <w:snapToGrid w:val="0"/>
          <w:color w:val="auto"/>
          <w:kern w:val="0"/>
          <w:sz w:val="24"/>
          <w:szCs w:val="24"/>
          <w:highlight w:val="none"/>
        </w:rPr>
        <w:t>本工程缺陷责任期为</w:t>
      </w:r>
      <w:r>
        <w:rPr>
          <w:rFonts w:hint="eastAsia" w:ascii="宋体" w:hAnsi="宋体" w:eastAsia="宋体" w:cs="宋体"/>
          <w:b w:val="0"/>
          <w:bCs w:val="0"/>
          <w:snapToGrid w:val="0"/>
          <w:color w:val="auto"/>
          <w:kern w:val="0"/>
          <w:sz w:val="24"/>
          <w:szCs w:val="24"/>
          <w:highlight w:val="none"/>
          <w:u w:val="single"/>
        </w:rPr>
        <w:t xml:space="preserve"> 2 </w:t>
      </w:r>
      <w:r>
        <w:rPr>
          <w:rFonts w:hint="eastAsia" w:ascii="宋体" w:hAnsi="宋体" w:eastAsia="宋体" w:cs="宋体"/>
          <w:b w:val="0"/>
          <w:bCs w:val="0"/>
          <w:snapToGrid w:val="0"/>
          <w:color w:val="auto"/>
          <w:kern w:val="0"/>
          <w:sz w:val="24"/>
          <w:szCs w:val="24"/>
          <w:highlight w:val="none"/>
        </w:rPr>
        <w:t>年（自通过竣工验收之日起计）。缺陷责任期到期后，承包人向发包人申请退还质量保证金。发包人收到退还申请后，于</w:t>
      </w:r>
      <w:r>
        <w:rPr>
          <w:rFonts w:hint="eastAsia" w:ascii="宋体" w:hAnsi="宋体" w:eastAsia="宋体" w:cs="宋体"/>
          <w:b w:val="0"/>
          <w:bCs w:val="0"/>
          <w:snapToGrid w:val="0"/>
          <w:color w:val="auto"/>
          <w:kern w:val="0"/>
          <w:sz w:val="24"/>
          <w:szCs w:val="24"/>
          <w:highlight w:val="none"/>
          <w:u w:val="single"/>
        </w:rPr>
        <w:t xml:space="preserve"> 14 </w:t>
      </w:r>
      <w:r>
        <w:rPr>
          <w:rFonts w:hint="eastAsia" w:ascii="宋体" w:hAnsi="宋体" w:eastAsia="宋体" w:cs="宋体"/>
          <w:b w:val="0"/>
          <w:bCs w:val="0"/>
          <w:snapToGrid w:val="0"/>
          <w:color w:val="auto"/>
          <w:kern w:val="0"/>
          <w:sz w:val="24"/>
          <w:szCs w:val="24"/>
          <w:highlight w:val="none"/>
        </w:rPr>
        <w:t>天内会同承包人进行核实。经双方核实且均无异议后，发包人在核实之日起</w:t>
      </w:r>
      <w:r>
        <w:rPr>
          <w:rFonts w:hint="eastAsia" w:ascii="宋体" w:hAnsi="宋体" w:eastAsia="宋体" w:cs="宋体"/>
          <w:b w:val="0"/>
          <w:bCs w:val="0"/>
          <w:snapToGrid w:val="0"/>
          <w:color w:val="auto"/>
          <w:kern w:val="0"/>
          <w:sz w:val="24"/>
          <w:szCs w:val="24"/>
          <w:highlight w:val="none"/>
          <w:u w:val="single"/>
        </w:rPr>
        <w:t xml:space="preserve"> 14 </w:t>
      </w:r>
      <w:r>
        <w:rPr>
          <w:rFonts w:hint="eastAsia" w:ascii="宋体" w:hAnsi="宋体" w:eastAsia="宋体" w:cs="宋体"/>
          <w:b w:val="0"/>
          <w:bCs w:val="0"/>
          <w:snapToGrid w:val="0"/>
          <w:color w:val="auto"/>
          <w:kern w:val="0"/>
          <w:sz w:val="24"/>
          <w:szCs w:val="24"/>
          <w:highlight w:val="none"/>
        </w:rPr>
        <w:t>天内将应返保证金（或质量保证担保或质量保证保险）退还承包人。</w:t>
      </w:r>
    </w:p>
    <w:p w14:paraId="54E0EE63">
      <w:pPr>
        <w:keepNext w:val="0"/>
        <w:keepLines w:val="0"/>
        <w:pageBreakBefore w:val="0"/>
        <w:kinsoku/>
        <w:overflowPunct/>
        <w:autoSpaceDE/>
        <w:autoSpaceDN/>
        <w:bidi w:val="0"/>
        <w:snapToGrid w:val="0"/>
        <w:spacing w:line="360" w:lineRule="auto"/>
        <w:ind w:firstLine="482" w:firstLineChars="200"/>
        <w:rPr>
          <w:rStyle w:val="48"/>
          <w:rFonts w:hint="eastAsia" w:ascii="宋体" w:hAnsi="宋体" w:eastAsia="宋体" w:cs="宋体"/>
          <w:b/>
          <w:bCs/>
          <w:color w:val="auto"/>
          <w:kern w:val="1"/>
          <w:sz w:val="24"/>
          <w:szCs w:val="24"/>
          <w:highlight w:val="none"/>
        </w:rPr>
      </w:pPr>
      <w:r>
        <w:rPr>
          <w:rStyle w:val="48"/>
          <w:rFonts w:hint="eastAsia" w:ascii="宋体" w:hAnsi="宋体" w:eastAsia="宋体" w:cs="宋体"/>
          <w:b/>
          <w:bCs/>
          <w:color w:val="auto"/>
          <w:kern w:val="1"/>
          <w:sz w:val="24"/>
          <w:szCs w:val="24"/>
          <w:highlight w:val="none"/>
        </w:rPr>
        <w:t>3.8</w:t>
      </w:r>
      <w:r>
        <w:rPr>
          <w:rStyle w:val="48"/>
          <w:rFonts w:hint="eastAsia" w:ascii="宋体" w:hAnsi="宋体" w:eastAsia="宋体" w:cs="宋体"/>
          <w:b w:val="0"/>
          <w:bCs w:val="0"/>
          <w:color w:val="auto"/>
          <w:kern w:val="1"/>
          <w:sz w:val="24"/>
          <w:szCs w:val="24"/>
          <w:highlight w:val="none"/>
        </w:rPr>
        <w:t xml:space="preserve"> </w:t>
      </w:r>
      <w:r>
        <w:rPr>
          <w:rFonts w:hint="eastAsia" w:ascii="宋体" w:hAnsi="宋体" w:eastAsia="宋体" w:cs="宋体"/>
          <w:b/>
          <w:bCs/>
          <w:snapToGrid w:val="0"/>
          <w:color w:val="auto"/>
          <w:kern w:val="0"/>
          <w:sz w:val="24"/>
          <w:szCs w:val="24"/>
          <w:highlight w:val="none"/>
        </w:rPr>
        <w:t>发包人每次支付工程款前，承包人均应提供</w:t>
      </w:r>
      <w:r>
        <w:rPr>
          <w:rFonts w:hint="eastAsia" w:ascii="宋体" w:hAnsi="宋体" w:eastAsia="宋体" w:cs="宋体"/>
          <w:b/>
          <w:bCs/>
          <w:snapToGrid w:val="0"/>
          <w:color w:val="auto"/>
          <w:kern w:val="0"/>
          <w:sz w:val="24"/>
          <w:szCs w:val="24"/>
          <w:highlight w:val="none"/>
          <w:lang w:val="en-US" w:eastAsia="zh-CN"/>
        </w:rPr>
        <w:t>符合项目业主单位要求的</w:t>
      </w:r>
      <w:r>
        <w:rPr>
          <w:rFonts w:hint="eastAsia" w:ascii="宋体" w:hAnsi="宋体" w:eastAsia="宋体" w:cs="宋体"/>
          <w:b/>
          <w:bCs/>
          <w:snapToGrid w:val="0"/>
          <w:color w:val="auto"/>
          <w:kern w:val="0"/>
          <w:sz w:val="24"/>
          <w:szCs w:val="24"/>
          <w:highlight w:val="none"/>
        </w:rPr>
        <w:t>有效的增值税发票。如果承包人无法提供符合要求的发票，由此造成的相应损失由承包人承担。</w:t>
      </w:r>
    </w:p>
    <w:p w14:paraId="26F4FEF7">
      <w:pPr>
        <w:keepNext w:val="0"/>
        <w:keepLines w:val="0"/>
        <w:pageBreakBefore w:val="0"/>
        <w:kinsoku/>
        <w:overflowPunct/>
        <w:autoSpaceDE/>
        <w:autoSpaceDN/>
        <w:bidi w:val="0"/>
        <w:snapToGrid w:val="0"/>
        <w:spacing w:line="360" w:lineRule="auto"/>
        <w:ind w:firstLine="482" w:firstLineChars="200"/>
        <w:rPr>
          <w:rStyle w:val="48"/>
          <w:rFonts w:hint="eastAsia" w:ascii="宋体" w:hAnsi="宋体" w:eastAsia="宋体" w:cs="宋体"/>
          <w:b w:val="0"/>
          <w:bCs w:val="0"/>
          <w:color w:val="auto"/>
          <w:kern w:val="1"/>
          <w:sz w:val="24"/>
          <w:szCs w:val="24"/>
          <w:highlight w:val="none"/>
        </w:rPr>
      </w:pPr>
      <w:r>
        <w:rPr>
          <w:rStyle w:val="48"/>
          <w:rFonts w:hint="eastAsia" w:ascii="宋体" w:hAnsi="宋体" w:eastAsia="宋体" w:cs="宋体"/>
          <w:b/>
          <w:bCs/>
          <w:color w:val="auto"/>
          <w:kern w:val="1"/>
          <w:sz w:val="24"/>
          <w:szCs w:val="24"/>
          <w:highlight w:val="none"/>
        </w:rPr>
        <w:t>3.</w:t>
      </w:r>
      <w:r>
        <w:rPr>
          <w:rStyle w:val="48"/>
          <w:rFonts w:hint="eastAsia" w:ascii="宋体" w:hAnsi="宋体" w:eastAsia="宋体" w:cs="宋体"/>
          <w:b/>
          <w:bCs/>
          <w:color w:val="auto"/>
          <w:kern w:val="1"/>
          <w:sz w:val="24"/>
          <w:szCs w:val="24"/>
          <w:highlight w:val="none"/>
          <w:lang w:val="en-US" w:eastAsia="zh-CN"/>
        </w:rPr>
        <w:t>10</w:t>
      </w:r>
      <w:r>
        <w:rPr>
          <w:rStyle w:val="48"/>
          <w:rFonts w:hint="eastAsia" w:ascii="宋体" w:hAnsi="宋体" w:eastAsia="宋体" w:cs="宋体"/>
          <w:b w:val="0"/>
          <w:bCs w:val="0"/>
          <w:color w:val="auto"/>
          <w:kern w:val="1"/>
          <w:sz w:val="24"/>
          <w:szCs w:val="24"/>
          <w:highlight w:val="none"/>
        </w:rPr>
        <w:t xml:space="preserve"> 暂列金额结算方式：</w:t>
      </w:r>
      <w:r>
        <w:rPr>
          <w:rStyle w:val="48"/>
          <w:rFonts w:hint="eastAsia" w:ascii="宋体" w:hAnsi="宋体" w:eastAsia="宋体" w:cs="宋体"/>
          <w:b w:val="0"/>
          <w:bCs w:val="0"/>
          <w:color w:val="auto"/>
          <w:kern w:val="1"/>
          <w:sz w:val="24"/>
          <w:szCs w:val="24"/>
          <w:highlight w:val="none"/>
          <w:u w:val="single"/>
        </w:rPr>
        <w:t>承包人需根据发包人的要求完善工程变更签证相关程序后，与每个月的工程进度款一并报送”。若承包人原因未按上述办法在规定时间内完善工程变更签证相关程序的，次月工程进度款暂停拨付。在暂列金额的范围内，最终经发包人确认后支付至该部分实际完成工程量的80％，其余部分待最终结算完成审核后支付至97%，剩余3%为工程质量保修金。</w:t>
      </w:r>
    </w:p>
    <w:p w14:paraId="48E7C2E3">
      <w:pPr>
        <w:keepNext w:val="0"/>
        <w:keepLines w:val="0"/>
        <w:pageBreakBefore w:val="0"/>
        <w:kinsoku/>
        <w:overflowPunct/>
        <w:autoSpaceDE/>
        <w:autoSpaceDN/>
        <w:bidi w:val="0"/>
        <w:snapToGrid w:val="0"/>
        <w:spacing w:line="360" w:lineRule="auto"/>
        <w:ind w:firstLine="482" w:firstLineChars="200"/>
        <w:rPr>
          <w:rStyle w:val="48"/>
          <w:rFonts w:hint="eastAsia" w:ascii="宋体" w:hAnsi="宋体" w:eastAsia="宋体" w:cs="宋体"/>
          <w:b w:val="0"/>
          <w:bCs w:val="0"/>
          <w:color w:val="auto"/>
          <w:kern w:val="1"/>
          <w:sz w:val="24"/>
          <w:szCs w:val="24"/>
          <w:highlight w:val="none"/>
        </w:rPr>
      </w:pPr>
      <w:r>
        <w:rPr>
          <w:rStyle w:val="48"/>
          <w:rFonts w:hint="eastAsia" w:ascii="宋体" w:hAnsi="宋体" w:eastAsia="宋体" w:cs="宋体"/>
          <w:b/>
          <w:bCs/>
          <w:color w:val="auto"/>
          <w:kern w:val="1"/>
          <w:sz w:val="24"/>
          <w:szCs w:val="24"/>
          <w:highlight w:val="none"/>
        </w:rPr>
        <w:t>3.</w:t>
      </w:r>
      <w:r>
        <w:rPr>
          <w:rStyle w:val="48"/>
          <w:rFonts w:hint="eastAsia" w:ascii="宋体" w:hAnsi="宋体" w:eastAsia="宋体" w:cs="宋体"/>
          <w:b/>
          <w:bCs/>
          <w:color w:val="auto"/>
          <w:kern w:val="1"/>
          <w:sz w:val="24"/>
          <w:szCs w:val="24"/>
          <w:highlight w:val="none"/>
          <w:lang w:val="en-US" w:eastAsia="zh-CN"/>
        </w:rPr>
        <w:t>11</w:t>
      </w:r>
      <w:r>
        <w:rPr>
          <w:rStyle w:val="48"/>
          <w:rFonts w:hint="eastAsia" w:ascii="宋体" w:hAnsi="宋体" w:eastAsia="宋体" w:cs="宋体"/>
          <w:b w:val="0"/>
          <w:bCs w:val="0"/>
          <w:color w:val="auto"/>
          <w:kern w:val="1"/>
          <w:sz w:val="24"/>
          <w:szCs w:val="24"/>
          <w:highlight w:val="none"/>
        </w:rPr>
        <w:t>材料暂估价、专业工程暂估价支付方式：材料暂估价、专业工程暂估价与每个月的工程进度款一并报送，但需要列明详细项目内容，该部分材料暂估价、专业工程暂估价按该部分实际完成工程量的80%支付，剩余部分待最终结算完成后支付至97%，剩余3%为工程质量保修金。</w:t>
      </w:r>
    </w:p>
    <w:p w14:paraId="250F0574">
      <w:pPr>
        <w:spacing w:before="151" w:line="360" w:lineRule="auto"/>
        <w:ind w:left="476"/>
        <w:outlineLvl w:val="2"/>
        <w:rPr>
          <w:rFonts w:hint="eastAsia" w:ascii="宋体" w:hAnsi="宋体" w:eastAsia="宋体" w:cs="宋体"/>
          <w:b/>
          <w:bCs/>
          <w:color w:val="auto"/>
          <w:spacing w:val="-11"/>
          <w:sz w:val="24"/>
          <w:szCs w:val="24"/>
          <w:highlight w:val="none"/>
        </w:rPr>
      </w:pPr>
      <w:r>
        <w:rPr>
          <w:rFonts w:hint="eastAsia" w:ascii="宋体" w:hAnsi="宋体" w:eastAsia="宋体" w:cs="宋体"/>
          <w:b/>
          <w:bCs/>
          <w:color w:val="auto"/>
          <w:spacing w:val="-11"/>
          <w:sz w:val="24"/>
          <w:szCs w:val="24"/>
          <w:highlight w:val="none"/>
        </w:rPr>
        <w:t>4</w:t>
      </w:r>
      <w:r>
        <w:rPr>
          <w:rFonts w:hint="eastAsia" w:ascii="宋体" w:hAnsi="宋体" w:eastAsia="宋体" w:cs="宋体"/>
          <w:b/>
          <w:bCs/>
          <w:color w:val="auto"/>
          <w:spacing w:val="-11"/>
          <w:sz w:val="24"/>
          <w:szCs w:val="24"/>
          <w:highlight w:val="none"/>
          <w:lang w:eastAsia="zh-CN"/>
        </w:rPr>
        <w:t>.</w:t>
      </w:r>
      <w:r>
        <w:rPr>
          <w:rFonts w:hint="eastAsia" w:ascii="宋体" w:hAnsi="宋体" w:eastAsia="宋体" w:cs="宋体"/>
          <w:b/>
          <w:bCs/>
          <w:color w:val="auto"/>
          <w:spacing w:val="-11"/>
          <w:sz w:val="24"/>
          <w:szCs w:val="24"/>
          <w:highlight w:val="none"/>
        </w:rPr>
        <w:t>其他专用合同条款</w:t>
      </w:r>
      <w:bookmarkEnd w:id="193"/>
      <w:bookmarkEnd w:id="194"/>
    </w:p>
    <w:p w14:paraId="66D497E1">
      <w:pPr>
        <w:keepNext w:val="0"/>
        <w:keepLines w:val="0"/>
        <w:pageBreakBefore w:val="0"/>
        <w:kinsoku/>
        <w:overflowPunct/>
        <w:topLinePunct w:val="0"/>
        <w:autoSpaceDE/>
        <w:autoSpaceDN/>
        <w:bidi w:val="0"/>
        <w:snapToGrid w:val="0"/>
        <w:spacing w:line="360" w:lineRule="auto"/>
        <w:ind w:firstLine="480" w:firstLineChars="200"/>
        <w:rPr>
          <w:rFonts w:hint="eastAsia" w:ascii="宋体" w:hAnsi="宋体" w:eastAsia="宋体" w:cs="宋体"/>
          <w:b w:val="0"/>
          <w:snapToGrid w:val="0"/>
          <w:color w:val="auto"/>
          <w:kern w:val="0"/>
          <w:sz w:val="24"/>
          <w:szCs w:val="24"/>
          <w:highlight w:val="none"/>
          <w:u w:val="single"/>
          <w:lang w:val="en-US" w:eastAsia="zh-CN" w:bidi="ar-SA"/>
        </w:rPr>
      </w:pPr>
      <w:r>
        <w:rPr>
          <w:rFonts w:hint="eastAsia" w:ascii="宋体" w:hAnsi="宋体" w:eastAsia="宋体" w:cs="宋体"/>
          <w:b w:val="0"/>
          <w:snapToGrid w:val="0"/>
          <w:color w:val="auto"/>
          <w:kern w:val="0"/>
          <w:sz w:val="24"/>
          <w:szCs w:val="24"/>
          <w:highlight w:val="none"/>
          <w:u w:val="single"/>
          <w:lang w:val="en-US" w:eastAsia="zh-CN" w:bidi="ar-SA"/>
        </w:rPr>
        <w:t>由招标人根据本工程实际情况和地方政策与中标人自行协商签定相关专用合同条款。</w:t>
      </w:r>
    </w:p>
    <w:p w14:paraId="7C0E449D">
      <w:pPr>
        <w:keepNext w:val="0"/>
        <w:keepLines w:val="0"/>
        <w:pageBreakBefore w:val="0"/>
        <w:widowControl/>
        <w:kinsoku/>
        <w:wordWrap w:val="0"/>
        <w:overflowPunct/>
        <w:topLinePunct w:val="0"/>
        <w:autoSpaceDE/>
        <w:autoSpaceDN/>
        <w:bidi w:val="0"/>
        <w:adjustRightInd w:val="0"/>
        <w:snapToGrid w:val="0"/>
        <w:spacing w:line="360" w:lineRule="auto"/>
        <w:ind w:firstLine="482" w:firstLineChars="200"/>
        <w:textAlignment w:val="baseline"/>
        <w:rPr>
          <w:rFonts w:hint="eastAsia" w:ascii="宋体" w:hAnsi="宋体" w:eastAsia="宋体" w:cs="宋体"/>
          <w:b w:val="0"/>
          <w:bCs w:val="0"/>
          <w:snapToGrid w:val="0"/>
          <w:color w:val="auto"/>
          <w:kern w:val="0"/>
          <w:sz w:val="24"/>
          <w:szCs w:val="24"/>
          <w:highlight w:val="none"/>
          <w:lang w:val="en-US" w:eastAsia="zh-CN"/>
        </w:rPr>
      </w:pPr>
      <w:bookmarkStart w:id="196" w:name="_Toc10299"/>
      <w:r>
        <w:rPr>
          <w:rFonts w:hint="eastAsia" w:ascii="宋体" w:hAnsi="宋体" w:eastAsia="宋体" w:cs="宋体"/>
          <w:b/>
          <w:bCs/>
          <w:snapToGrid w:val="0"/>
          <w:color w:val="auto"/>
          <w:kern w:val="0"/>
          <w:sz w:val="24"/>
          <w:szCs w:val="24"/>
          <w:highlight w:val="none"/>
          <w:lang w:val="en-US" w:eastAsia="zh-CN"/>
        </w:rPr>
        <w:t>4.1</w:t>
      </w:r>
      <w:r>
        <w:rPr>
          <w:rFonts w:hint="eastAsia" w:ascii="宋体" w:hAnsi="宋体" w:eastAsia="宋体" w:cs="宋体"/>
          <w:b w:val="0"/>
          <w:bCs w:val="0"/>
          <w:snapToGrid w:val="0"/>
          <w:color w:val="auto"/>
          <w:kern w:val="0"/>
          <w:sz w:val="24"/>
          <w:szCs w:val="24"/>
          <w:highlight w:val="none"/>
          <w:lang w:val="en-US" w:eastAsia="zh-CN"/>
        </w:rPr>
        <w:t>专业工程分包</w:t>
      </w:r>
      <w:bookmarkEnd w:id="196"/>
    </w:p>
    <w:p w14:paraId="09D90C92">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w:t>
      </w:r>
    </w:p>
    <w:p w14:paraId="6EFBAFD8">
      <w:pPr>
        <w:keepNext w:val="0"/>
        <w:keepLines w:val="0"/>
        <w:pageBreakBefore w:val="0"/>
        <w:widowControl/>
        <w:kinsoku/>
        <w:wordWrap w:val="0"/>
        <w:overflowPunct/>
        <w:topLinePunct w:val="0"/>
        <w:autoSpaceDE/>
        <w:autoSpaceDN/>
        <w:bidi w:val="0"/>
        <w:adjustRightInd w:val="0"/>
        <w:snapToGrid w:val="0"/>
        <w:spacing w:line="360" w:lineRule="auto"/>
        <w:ind w:firstLine="482" w:firstLineChars="200"/>
        <w:textAlignment w:val="baseline"/>
        <w:rPr>
          <w:rFonts w:hint="eastAsia" w:ascii="宋体" w:hAnsi="宋体" w:eastAsia="宋体" w:cs="宋体"/>
          <w:b w:val="0"/>
          <w:bCs w:val="0"/>
          <w:snapToGrid w:val="0"/>
          <w:color w:val="auto"/>
          <w:kern w:val="0"/>
          <w:sz w:val="24"/>
          <w:szCs w:val="24"/>
          <w:highlight w:val="none"/>
          <w:lang w:val="en-US" w:eastAsia="en-US"/>
        </w:rPr>
      </w:pPr>
      <w:bookmarkStart w:id="197" w:name="_Toc15504"/>
      <w:bookmarkStart w:id="198" w:name="_Toc4288"/>
      <w:bookmarkStart w:id="199" w:name="_Toc23958"/>
      <w:bookmarkStart w:id="200" w:name="_Toc24421"/>
      <w:bookmarkStart w:id="201" w:name="_Toc7163"/>
      <w:r>
        <w:rPr>
          <w:rFonts w:hint="eastAsia" w:ascii="宋体" w:hAnsi="宋体" w:eastAsia="宋体" w:cs="宋体"/>
          <w:b/>
          <w:bCs/>
          <w:snapToGrid w:val="0"/>
          <w:color w:val="auto"/>
          <w:kern w:val="0"/>
          <w:sz w:val="24"/>
          <w:szCs w:val="24"/>
          <w:highlight w:val="none"/>
          <w:lang w:val="en-US" w:eastAsia="zh-CN"/>
        </w:rPr>
        <w:t>4.2</w:t>
      </w:r>
      <w:r>
        <w:rPr>
          <w:rFonts w:hint="eastAsia" w:ascii="宋体" w:hAnsi="宋体" w:eastAsia="宋体" w:cs="宋体"/>
          <w:b w:val="0"/>
          <w:bCs w:val="0"/>
          <w:snapToGrid w:val="0"/>
          <w:color w:val="auto"/>
          <w:kern w:val="0"/>
          <w:sz w:val="24"/>
          <w:szCs w:val="24"/>
          <w:highlight w:val="none"/>
          <w:lang w:val="en-US" w:eastAsia="zh-CN"/>
        </w:rPr>
        <w:t xml:space="preserve"> </w:t>
      </w:r>
      <w:r>
        <w:rPr>
          <w:rFonts w:hint="eastAsia" w:ascii="宋体" w:hAnsi="宋体" w:eastAsia="宋体" w:cs="宋体"/>
          <w:b w:val="0"/>
          <w:bCs w:val="0"/>
          <w:snapToGrid w:val="0"/>
          <w:color w:val="auto"/>
          <w:kern w:val="0"/>
          <w:sz w:val="24"/>
          <w:szCs w:val="24"/>
          <w:highlight w:val="none"/>
          <w:lang w:val="en-US" w:eastAsia="en-US"/>
        </w:rPr>
        <w:t>工人工资支付专用账户</w:t>
      </w:r>
      <w:bookmarkEnd w:id="197"/>
      <w:bookmarkEnd w:id="198"/>
      <w:bookmarkEnd w:id="199"/>
      <w:bookmarkEnd w:id="200"/>
      <w:bookmarkEnd w:id="201"/>
    </w:p>
    <w:p w14:paraId="39CC6A01">
      <w:pPr>
        <w:keepNext w:val="0"/>
        <w:keepLines w:val="0"/>
        <w:pageBreakBefore w:val="0"/>
        <w:kinsoku/>
        <w:wordWrap w:val="0"/>
        <w:overflowPunct/>
        <w:topLinePunct w:val="0"/>
        <w:bidi w:val="0"/>
        <w:adjustRightInd w:val="0"/>
        <w:snapToGrid w:val="0"/>
        <w:spacing w:line="360" w:lineRule="auto"/>
        <w:ind w:firstLine="482" w:firstLineChars="200"/>
        <w:rPr>
          <w:rFonts w:hint="eastAsia" w:ascii="宋体" w:hAnsi="宋体" w:eastAsia="宋体" w:cs="宋体"/>
          <w:b w:val="0"/>
          <w:bCs w:val="0"/>
          <w:snapToGrid w:val="0"/>
          <w:color w:val="auto"/>
          <w:kern w:val="0"/>
          <w:sz w:val="24"/>
          <w:szCs w:val="24"/>
          <w:highlight w:val="none"/>
          <w:lang w:val="en-US" w:eastAsia="en-US" w:bidi="ar-SA"/>
        </w:rPr>
      </w:pPr>
      <w:r>
        <w:rPr>
          <w:rFonts w:hint="eastAsia" w:ascii="宋体" w:hAnsi="宋体" w:eastAsia="宋体" w:cs="宋体"/>
          <w:b/>
          <w:bCs/>
          <w:snapToGrid w:val="0"/>
          <w:color w:val="auto"/>
          <w:kern w:val="0"/>
          <w:sz w:val="24"/>
          <w:szCs w:val="24"/>
          <w:highlight w:val="none"/>
          <w:lang w:val="en-US" w:eastAsia="zh-CN" w:bidi="ar-SA"/>
        </w:rPr>
        <w:t>4.2</w:t>
      </w:r>
      <w:r>
        <w:rPr>
          <w:rFonts w:hint="eastAsia" w:ascii="宋体" w:hAnsi="宋体" w:eastAsia="宋体" w:cs="宋体"/>
          <w:b/>
          <w:bCs/>
          <w:snapToGrid w:val="0"/>
          <w:color w:val="auto"/>
          <w:kern w:val="0"/>
          <w:sz w:val="24"/>
          <w:szCs w:val="24"/>
          <w:highlight w:val="none"/>
          <w:lang w:val="en-US" w:eastAsia="en-US" w:bidi="ar-SA"/>
        </w:rPr>
        <w:t>.1</w:t>
      </w:r>
      <w:r>
        <w:rPr>
          <w:rFonts w:hint="eastAsia" w:ascii="宋体" w:hAnsi="宋体" w:eastAsia="宋体" w:cs="宋体"/>
          <w:b w:val="0"/>
          <w:bCs w:val="0"/>
          <w:snapToGrid w:val="0"/>
          <w:color w:val="auto"/>
          <w:kern w:val="0"/>
          <w:sz w:val="24"/>
          <w:szCs w:val="24"/>
          <w:highlight w:val="none"/>
          <w:lang w:val="en-US" w:eastAsia="en-US" w:bidi="ar-SA"/>
        </w:rPr>
        <w:t xml:space="preserve"> 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w:t>
      </w:r>
    </w:p>
    <w:p w14:paraId="52B3B8ED">
      <w:pPr>
        <w:keepNext w:val="0"/>
        <w:keepLines w:val="0"/>
        <w:pageBreakBefore w:val="0"/>
        <w:widowControl/>
        <w:suppressLineNumbers w:val="0"/>
        <w:kinsoku/>
        <w:overflowPunct/>
        <w:topLinePunct w:val="0"/>
        <w:bidi w:val="0"/>
        <w:spacing w:line="360" w:lineRule="auto"/>
        <w:ind w:firstLine="482" w:firstLineChars="20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b/>
          <w:bCs/>
          <w:strike w:val="0"/>
          <w:dstrike w:val="0"/>
          <w:snapToGrid w:val="0"/>
          <w:color w:val="auto"/>
          <w:kern w:val="0"/>
          <w:sz w:val="24"/>
          <w:szCs w:val="24"/>
          <w:highlight w:val="none"/>
          <w:lang w:val="en-US" w:eastAsia="zh-CN"/>
        </w:rPr>
        <w:t>4.2</w:t>
      </w:r>
      <w:r>
        <w:rPr>
          <w:rFonts w:hint="eastAsia" w:ascii="宋体" w:hAnsi="宋体" w:eastAsia="宋体" w:cs="宋体"/>
          <w:b/>
          <w:bCs/>
          <w:strike w:val="0"/>
          <w:dstrike w:val="0"/>
          <w:snapToGrid w:val="0"/>
          <w:color w:val="auto"/>
          <w:kern w:val="0"/>
          <w:sz w:val="24"/>
          <w:szCs w:val="24"/>
          <w:highlight w:val="none"/>
        </w:rPr>
        <w:t>.2</w:t>
      </w:r>
      <w:r>
        <w:rPr>
          <w:rFonts w:hint="eastAsia" w:ascii="宋体" w:hAnsi="宋体" w:eastAsia="宋体" w:cs="宋体"/>
          <w:color w:val="auto"/>
          <w:kern w:val="0"/>
          <w:sz w:val="24"/>
          <w:szCs w:val="24"/>
          <w:highlight w:val="none"/>
          <w:lang w:val="en-US" w:eastAsia="zh-CN" w:bidi="ar"/>
        </w:rPr>
        <w:t>依据人力资源社会保障部等十部门印发的《工程建设领域农民工工资专用账户管理暂行办法》（人社部发〔2021〕53 号）文件规定，承包人中标后，须到银行设立工人工资支付专用账户，用于支付工人工资。发包人支付工程款时，将按工程款（不含工人工资）和工人工资两部分分开支付，工人工资支付至专用账户。承包人应建立劳动用工管理台账，并按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建设单位支付工程款凭证；（4）花名册及身份证复印件；（5）劳动合同：（6）委托书（写明委托代发工资情况）；（7）缴纳保证金的凭证；（8）总包企业或承包企业设立工资专用账户的凭证；（9）维权信息告示牌情况。</w:t>
      </w:r>
    </w:p>
    <w:p w14:paraId="75121020">
      <w:pPr>
        <w:keepNext w:val="0"/>
        <w:keepLines w:val="0"/>
        <w:pageBreakBefore w:val="0"/>
        <w:widowControl/>
        <w:suppressLineNumbers w:val="0"/>
        <w:kinsoku/>
        <w:overflowPunct/>
        <w:topLinePunct w:val="0"/>
        <w:bidi w:val="0"/>
        <w:spacing w:line="360" w:lineRule="auto"/>
        <w:ind w:firstLine="480" w:firstLineChars="20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按韶关市人力资源和社会、保障局韶关市住房和城乡建设管理局、韶关市交通运输局、韶关市水务局、韶关市金融工作局、国家金融监督管理总局韶关监管分局关于印发《韶关市工程建设领域农民工工资保证金管理实施细则》的通知(韶人社规〔2023〕2号)及《韶关市工程建设领域农民工工资保证金管理实施细则》（韶法审〔2023〕19号）规定执行。承包人在签订工程施工承包合同后一个月内必须办妥该事项，并将办妥回执交发包人。</w:t>
      </w:r>
    </w:p>
    <w:p w14:paraId="72B308BD">
      <w:pPr>
        <w:keepNext w:val="0"/>
        <w:keepLines w:val="0"/>
        <w:pageBreakBefore w:val="0"/>
        <w:widowControl/>
        <w:suppressLineNumbers w:val="0"/>
        <w:kinsoku/>
        <w:overflowPunct/>
        <w:topLinePunct w:val="0"/>
        <w:bidi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如发生承包人拖欠民工工资并且向政府或发包人索要承包人拖欠工资的，发包人有权使用工人工资保证金或在剩余进度款范围内代承包人向民工支付工资，承包人对发包人垫付工资的人员范围和工资数额均不得提异议。发包人代支的工资除了从当期工程款内直接扣除外,承包人须按照发包人所垫付的民工工资2倍向发包人支付违约金。</w:t>
      </w:r>
    </w:p>
    <w:p w14:paraId="3D1AEF70">
      <w:pPr>
        <w:keepNext w:val="0"/>
        <w:keepLines w:val="0"/>
        <w:pageBreakBefore w:val="0"/>
        <w:widowControl/>
        <w:suppressLineNumbers w:val="0"/>
        <w:kinsoku/>
        <w:overflowPunct/>
        <w:topLinePunct w:val="0"/>
        <w:bidi w:val="0"/>
        <w:spacing w:line="360" w:lineRule="auto"/>
        <w:ind w:firstLine="241" w:firstLineChars="100"/>
        <w:jc w:val="left"/>
        <w:rPr>
          <w:rFonts w:hint="eastAsia" w:ascii="宋体" w:hAnsi="宋体" w:eastAsia="宋体" w:cs="宋体"/>
          <w:color w:val="auto"/>
          <w:sz w:val="24"/>
          <w:szCs w:val="24"/>
          <w:highlight w:val="none"/>
        </w:rPr>
      </w:pPr>
      <w:r>
        <w:rPr>
          <w:rFonts w:hint="eastAsia" w:ascii="宋体" w:hAnsi="宋体" w:eastAsia="宋体" w:cs="宋体"/>
          <w:b/>
          <w:bCs/>
          <w:strike w:val="0"/>
          <w:dstrike w:val="0"/>
          <w:snapToGrid w:val="0"/>
          <w:color w:val="auto"/>
          <w:kern w:val="0"/>
          <w:sz w:val="24"/>
          <w:szCs w:val="24"/>
          <w:highlight w:val="none"/>
          <w:lang w:val="en-US" w:eastAsia="zh-CN"/>
        </w:rPr>
        <w:t>4.2</w:t>
      </w:r>
      <w:r>
        <w:rPr>
          <w:rFonts w:hint="eastAsia" w:ascii="宋体" w:hAnsi="宋体" w:eastAsia="宋体" w:cs="宋体"/>
          <w:b/>
          <w:bCs/>
          <w:strike w:val="0"/>
          <w:dstrike w:val="0"/>
          <w:snapToGrid w:val="0"/>
          <w:color w:val="auto"/>
          <w:kern w:val="0"/>
          <w:sz w:val="24"/>
          <w:szCs w:val="24"/>
          <w:highlight w:val="none"/>
        </w:rPr>
        <w:t>.3</w:t>
      </w:r>
      <w:r>
        <w:rPr>
          <w:rFonts w:hint="eastAsia" w:ascii="宋体" w:hAnsi="宋体" w:eastAsia="宋体" w:cs="宋体"/>
          <w:strike w:val="0"/>
          <w:dstrike w:val="0"/>
          <w:snapToGrid w:val="0"/>
          <w:color w:val="auto"/>
          <w:kern w:val="0"/>
          <w:sz w:val="24"/>
          <w:szCs w:val="24"/>
          <w:highlight w:val="none"/>
        </w:rPr>
        <w:t xml:space="preserve"> </w:t>
      </w:r>
      <w:r>
        <w:rPr>
          <w:rFonts w:hint="eastAsia" w:ascii="宋体" w:hAnsi="宋体" w:eastAsia="宋体" w:cs="宋体"/>
          <w:color w:val="auto"/>
          <w:kern w:val="0"/>
          <w:sz w:val="24"/>
          <w:szCs w:val="24"/>
          <w:highlight w:val="none"/>
          <w:lang w:val="en-US" w:eastAsia="zh-CN" w:bidi="ar"/>
        </w:rPr>
        <w:t>承包人应在工资专户开立后2个工作日内，将开户银行及其账号、开户协议等资料提交给发包人。</w:t>
      </w:r>
    </w:p>
    <w:p w14:paraId="558B9954">
      <w:pPr>
        <w:keepNext w:val="0"/>
        <w:keepLines w:val="0"/>
        <w:pageBreakBefore w:val="0"/>
        <w:widowControl/>
        <w:suppressLineNumbers w:val="0"/>
        <w:kinsoku/>
        <w:overflowPunct/>
        <w:topLinePunct w:val="0"/>
        <w:bidi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（1）用人单位应当在建设项目动工前，在建设项目所在地商业银行设立工人工资支付专用账户。</w:t>
      </w:r>
    </w:p>
    <w:p w14:paraId="5B108B2D">
      <w:pPr>
        <w:keepNext w:val="0"/>
        <w:keepLines w:val="0"/>
        <w:pageBreakBefore w:val="0"/>
        <w:widowControl/>
        <w:suppressLineNumbers w:val="0"/>
        <w:kinsoku/>
        <w:overflowPunct/>
        <w:topLinePunct w:val="0"/>
        <w:bidi w:val="0"/>
        <w:spacing w:line="360" w:lineRule="auto"/>
        <w:ind w:firstLine="480" w:firstLineChars="20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（2）用人单位应当在用工之日起 15 日内为每一位工人办理个人银行账户。</w:t>
      </w:r>
    </w:p>
    <w:p w14:paraId="42CD3A43">
      <w:pPr>
        <w:keepNext w:val="0"/>
        <w:keepLines w:val="0"/>
        <w:pageBreakBefore w:val="0"/>
        <w:widowControl/>
        <w:suppressLineNumbers w:val="0"/>
        <w:kinsoku/>
        <w:overflowPunct/>
        <w:topLinePunct w:val="0"/>
        <w:bidi w:val="0"/>
        <w:spacing w:line="360" w:lineRule="auto"/>
        <w:ind w:firstLine="480" w:firstLineChars="20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（3）用人单位应当指定专人负责建设项目施工现场台账管理，真实、准确记录工人名册、劳务合同、劳动合同、工程进度、工时台账、劳务承包款和工人工资支付等信息，并保存两年以上备查。</w:t>
      </w:r>
    </w:p>
    <w:p w14:paraId="4645E9C1">
      <w:pPr>
        <w:keepNext w:val="0"/>
        <w:keepLines w:val="0"/>
        <w:pageBreakBefore w:val="0"/>
        <w:widowControl/>
        <w:suppressLineNumbers w:val="0"/>
        <w:kinsoku/>
        <w:overflowPunct/>
        <w:topLinePunct w:val="0"/>
        <w:bidi w:val="0"/>
        <w:spacing w:line="360" w:lineRule="auto"/>
        <w:ind w:firstLine="480" w:firstLineChars="20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4）用人单位应当按照“及时支付，按实结算”的原则，在规定日期前通过银行工人工资支付专用账户将工人工资直接支付到工人的个人银行账户，并按月将工人工资支付明细表报施工总承包单位和建设单位备案。用人单位未建立、保存用工管理台账，或者伪造相关台账的，按照《广东省劳动保障监察条例》第五十条的规定，由人力资源社会保障部门责令改正，并可处以二千元以上二万元以下的人民币罚款。</w:t>
      </w:r>
    </w:p>
    <w:p w14:paraId="1ECE605D">
      <w:pPr>
        <w:keepNext w:val="0"/>
        <w:keepLines w:val="0"/>
        <w:pageBreakBefore w:val="0"/>
        <w:widowControl/>
        <w:suppressLineNumbers w:val="0"/>
        <w:kinsoku/>
        <w:overflowPunct/>
        <w:topLinePunct w:val="0"/>
        <w:bidi w:val="0"/>
        <w:spacing w:line="360" w:lineRule="auto"/>
        <w:ind w:firstLine="482" w:firstLineChars="200"/>
        <w:jc w:val="left"/>
        <w:rPr>
          <w:rStyle w:val="48"/>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
        </w:rPr>
        <w:t xml:space="preserve">4.2.4 </w:t>
      </w:r>
      <w:r>
        <w:rPr>
          <w:rFonts w:hint="eastAsia" w:ascii="宋体" w:hAnsi="宋体" w:eastAsia="宋体" w:cs="宋体"/>
          <w:color w:val="auto"/>
          <w:kern w:val="0"/>
          <w:sz w:val="24"/>
          <w:szCs w:val="24"/>
          <w:highlight w:val="none"/>
          <w:lang w:val="en-US" w:eastAsia="zh-CN" w:bidi="ar"/>
        </w:rPr>
        <w:t>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w:t>
      </w:r>
    </w:p>
    <w:p w14:paraId="75D35AD0">
      <w:pPr>
        <w:spacing w:before="151" w:line="360" w:lineRule="auto"/>
        <w:ind w:left="476"/>
        <w:outlineLvl w:val="2"/>
        <w:rPr>
          <w:rFonts w:hint="eastAsia" w:ascii="宋体" w:hAnsi="宋体" w:eastAsia="宋体" w:cs="宋体"/>
          <w:b/>
          <w:bCs/>
          <w:color w:val="auto"/>
          <w:spacing w:val="-11"/>
          <w:sz w:val="24"/>
          <w:szCs w:val="24"/>
          <w:highlight w:val="none"/>
        </w:rPr>
      </w:pPr>
      <w:bookmarkStart w:id="202" w:name="_Toc17187"/>
      <w:r>
        <w:rPr>
          <w:rFonts w:hint="eastAsia" w:ascii="宋体" w:hAnsi="宋体" w:eastAsia="宋体" w:cs="宋体"/>
          <w:b/>
          <w:bCs/>
          <w:color w:val="auto"/>
          <w:spacing w:val="-11"/>
          <w:sz w:val="24"/>
          <w:szCs w:val="24"/>
          <w:highlight w:val="none"/>
          <w:lang w:val="en-US" w:eastAsia="zh-CN"/>
        </w:rPr>
        <w:t>5.</w:t>
      </w:r>
      <w:r>
        <w:rPr>
          <w:rFonts w:hint="eastAsia" w:ascii="宋体" w:hAnsi="宋体" w:eastAsia="宋体" w:cs="宋体"/>
          <w:b/>
          <w:bCs/>
          <w:color w:val="auto"/>
          <w:spacing w:val="-11"/>
          <w:sz w:val="24"/>
          <w:szCs w:val="24"/>
          <w:highlight w:val="none"/>
        </w:rPr>
        <w:t>工期进度</w:t>
      </w:r>
      <w:bookmarkEnd w:id="202"/>
    </w:p>
    <w:p w14:paraId="0ED9DECC">
      <w:pPr>
        <w:snapToGrid w:val="0"/>
        <w:spacing w:line="360" w:lineRule="auto"/>
        <w:ind w:firstLine="482" w:firstLineChars="200"/>
        <w:rPr>
          <w:rStyle w:val="48"/>
          <w:rFonts w:hint="eastAsia" w:ascii="宋体" w:hAnsi="宋体" w:eastAsia="宋体" w:cs="宋体"/>
          <w:color w:val="auto"/>
          <w:kern w:val="0"/>
          <w:sz w:val="24"/>
          <w:szCs w:val="24"/>
          <w:highlight w:val="none"/>
        </w:rPr>
      </w:pPr>
      <w:r>
        <w:rPr>
          <w:rStyle w:val="48"/>
          <w:rFonts w:hint="eastAsia" w:ascii="宋体" w:hAnsi="宋体" w:eastAsia="宋体" w:cs="宋体"/>
          <w:b/>
          <w:bCs/>
          <w:color w:val="auto"/>
          <w:kern w:val="0"/>
          <w:sz w:val="24"/>
          <w:szCs w:val="24"/>
          <w:highlight w:val="none"/>
          <w:lang w:val="en-US" w:eastAsia="zh-CN"/>
        </w:rPr>
        <w:t>5</w:t>
      </w:r>
      <w:r>
        <w:rPr>
          <w:rStyle w:val="48"/>
          <w:rFonts w:hint="eastAsia" w:ascii="宋体" w:hAnsi="宋体" w:eastAsia="宋体" w:cs="宋体"/>
          <w:b/>
          <w:bCs/>
          <w:color w:val="auto"/>
          <w:kern w:val="0"/>
          <w:sz w:val="24"/>
          <w:szCs w:val="24"/>
          <w:highlight w:val="none"/>
        </w:rPr>
        <w:t>.1</w:t>
      </w:r>
      <w:r>
        <w:rPr>
          <w:rStyle w:val="48"/>
          <w:rFonts w:hint="eastAsia" w:ascii="宋体" w:hAnsi="宋体" w:eastAsia="宋体" w:cs="宋体"/>
          <w:color w:val="auto"/>
          <w:kern w:val="0"/>
          <w:sz w:val="24"/>
          <w:szCs w:val="24"/>
          <w:highlight w:val="none"/>
          <w:lang w:eastAsia="zh-CN"/>
        </w:rPr>
        <w:t>本工程施工招标工期为</w:t>
      </w:r>
      <w:r>
        <w:rPr>
          <w:rStyle w:val="48"/>
          <w:rFonts w:hint="eastAsia" w:ascii="宋体" w:hAnsi="宋体" w:eastAsia="宋体" w:cs="宋体"/>
          <w:color w:val="auto"/>
          <w:kern w:val="0"/>
          <w:sz w:val="24"/>
          <w:szCs w:val="24"/>
          <w:highlight w:val="none"/>
          <w:lang w:val="en-US" w:eastAsia="zh-CN"/>
        </w:rPr>
        <w:t>120</w:t>
      </w:r>
      <w:r>
        <w:rPr>
          <w:rStyle w:val="48"/>
          <w:rFonts w:hint="eastAsia" w:ascii="宋体" w:hAnsi="宋体" w:eastAsia="宋体" w:cs="宋体"/>
          <w:color w:val="auto"/>
          <w:kern w:val="0"/>
          <w:sz w:val="24"/>
          <w:szCs w:val="24"/>
          <w:highlight w:val="none"/>
          <w:lang w:eastAsia="zh-CN"/>
        </w:rPr>
        <w:t>个日历天。</w:t>
      </w:r>
      <w:r>
        <w:rPr>
          <w:rStyle w:val="48"/>
          <w:rFonts w:hint="eastAsia" w:ascii="宋体" w:hAnsi="宋体" w:eastAsia="宋体" w:cs="宋体"/>
          <w:color w:val="auto"/>
          <w:kern w:val="0"/>
          <w:sz w:val="24"/>
          <w:szCs w:val="24"/>
          <w:highlight w:val="none"/>
        </w:rPr>
        <w:t>承包人必须在招标工期内完成本工程招标范围内的全部内容。</w:t>
      </w:r>
    </w:p>
    <w:p w14:paraId="4A0D1E64">
      <w:pPr>
        <w:snapToGrid w:val="0"/>
        <w:spacing w:line="360" w:lineRule="auto"/>
        <w:ind w:firstLine="482" w:firstLineChars="200"/>
        <w:rPr>
          <w:rStyle w:val="48"/>
          <w:rFonts w:hint="eastAsia" w:ascii="宋体" w:hAnsi="宋体" w:eastAsia="宋体" w:cs="宋体"/>
          <w:color w:val="auto"/>
          <w:kern w:val="0"/>
          <w:sz w:val="24"/>
          <w:szCs w:val="24"/>
          <w:highlight w:val="none"/>
        </w:rPr>
      </w:pPr>
      <w:r>
        <w:rPr>
          <w:rStyle w:val="48"/>
          <w:rFonts w:hint="eastAsia" w:ascii="宋体" w:hAnsi="宋体" w:eastAsia="宋体" w:cs="宋体"/>
          <w:b/>
          <w:bCs/>
          <w:color w:val="auto"/>
          <w:kern w:val="0"/>
          <w:sz w:val="24"/>
          <w:szCs w:val="24"/>
          <w:highlight w:val="none"/>
          <w:lang w:val="en-US" w:eastAsia="zh-CN"/>
        </w:rPr>
        <w:t>5</w:t>
      </w:r>
      <w:r>
        <w:rPr>
          <w:rStyle w:val="48"/>
          <w:rFonts w:hint="eastAsia" w:ascii="宋体" w:hAnsi="宋体" w:eastAsia="宋体" w:cs="宋体"/>
          <w:b/>
          <w:bCs/>
          <w:color w:val="auto"/>
          <w:kern w:val="0"/>
          <w:sz w:val="24"/>
          <w:szCs w:val="24"/>
          <w:highlight w:val="none"/>
        </w:rPr>
        <w:t>.2</w:t>
      </w:r>
      <w:r>
        <w:rPr>
          <w:rStyle w:val="48"/>
          <w:rFonts w:hint="eastAsia" w:ascii="宋体" w:hAnsi="宋体" w:eastAsia="宋体" w:cs="宋体"/>
          <w:color w:val="auto"/>
          <w:kern w:val="0"/>
          <w:sz w:val="24"/>
          <w:szCs w:val="24"/>
          <w:highlight w:val="none"/>
        </w:rPr>
        <w:t xml:space="preserve"> 施工工期从承包人收到监理单位签发的开工令之日起计，至竣工验收合格之日止。</w:t>
      </w:r>
    </w:p>
    <w:p w14:paraId="455E5A89">
      <w:pPr>
        <w:snapToGrid w:val="0"/>
        <w:spacing w:line="360" w:lineRule="auto"/>
        <w:ind w:firstLine="482" w:firstLineChars="200"/>
        <w:rPr>
          <w:rFonts w:hint="eastAsia" w:ascii="宋体" w:hAnsi="宋体" w:eastAsia="宋体" w:cs="宋体"/>
          <w:color w:val="auto"/>
          <w:highlight w:val="none"/>
        </w:rPr>
      </w:pPr>
      <w:r>
        <w:rPr>
          <w:rStyle w:val="48"/>
          <w:rFonts w:hint="eastAsia" w:ascii="宋体" w:hAnsi="宋体" w:eastAsia="宋体" w:cs="宋体"/>
          <w:b/>
          <w:bCs/>
          <w:color w:val="auto"/>
          <w:kern w:val="0"/>
          <w:sz w:val="24"/>
          <w:szCs w:val="24"/>
          <w:highlight w:val="none"/>
          <w:lang w:val="en-US" w:eastAsia="zh-CN"/>
        </w:rPr>
        <w:t>5</w:t>
      </w:r>
      <w:r>
        <w:rPr>
          <w:rStyle w:val="48"/>
          <w:rFonts w:hint="eastAsia" w:ascii="宋体" w:hAnsi="宋体" w:eastAsia="宋体" w:cs="宋体"/>
          <w:b/>
          <w:bCs/>
          <w:color w:val="auto"/>
          <w:kern w:val="0"/>
          <w:sz w:val="24"/>
          <w:szCs w:val="24"/>
          <w:highlight w:val="none"/>
        </w:rPr>
        <w:t>.3</w:t>
      </w:r>
      <w:r>
        <w:rPr>
          <w:rStyle w:val="48"/>
          <w:rFonts w:hint="eastAsia" w:ascii="宋体" w:hAnsi="宋体" w:eastAsia="宋体" w:cs="宋体"/>
          <w:color w:val="auto"/>
          <w:kern w:val="0"/>
          <w:sz w:val="24"/>
          <w:szCs w:val="24"/>
          <w:highlight w:val="none"/>
        </w:rPr>
        <w:t xml:space="preserve"> 由于承包人原因造成工期延误的，承包人须在逾期第壹天起每天按合同价的</w:t>
      </w:r>
      <w:r>
        <w:rPr>
          <w:rStyle w:val="48"/>
          <w:rFonts w:hint="eastAsia" w:ascii="宋体" w:hAnsi="宋体" w:eastAsia="宋体" w:cs="宋体"/>
          <w:color w:val="auto"/>
          <w:kern w:val="0"/>
          <w:sz w:val="24"/>
          <w:szCs w:val="24"/>
          <w:highlight w:val="none"/>
          <w:u w:val="single"/>
          <w:lang w:val="en-US" w:eastAsia="zh-CN"/>
        </w:rPr>
        <w:t>3</w:t>
      </w:r>
      <w:r>
        <w:rPr>
          <w:rStyle w:val="48"/>
          <w:rFonts w:hint="eastAsia" w:ascii="宋体" w:hAnsi="宋体" w:eastAsia="宋体" w:cs="宋体"/>
          <w:color w:val="auto"/>
          <w:kern w:val="0"/>
          <w:sz w:val="24"/>
          <w:szCs w:val="24"/>
          <w:highlight w:val="none"/>
          <w:u w:val="single"/>
        </w:rPr>
        <w:t>‰</w:t>
      </w:r>
      <w:r>
        <w:rPr>
          <w:rStyle w:val="48"/>
          <w:rFonts w:hint="eastAsia" w:ascii="宋体" w:hAnsi="宋体" w:eastAsia="宋体" w:cs="宋体"/>
          <w:color w:val="auto"/>
          <w:kern w:val="0"/>
          <w:sz w:val="24"/>
          <w:szCs w:val="24"/>
          <w:highlight w:val="none"/>
        </w:rPr>
        <w:t>向招标人返纳逾期竣工违约金。</w:t>
      </w:r>
    </w:p>
    <w:p w14:paraId="55CDADE5">
      <w:pPr>
        <w:spacing w:before="151" w:line="360" w:lineRule="auto"/>
        <w:ind w:left="476"/>
        <w:outlineLvl w:val="2"/>
        <w:rPr>
          <w:rFonts w:hint="eastAsia" w:ascii="宋体" w:hAnsi="宋体" w:eastAsia="宋体" w:cs="宋体"/>
          <w:b/>
          <w:bCs/>
          <w:color w:val="auto"/>
          <w:spacing w:val="-11"/>
          <w:sz w:val="24"/>
          <w:szCs w:val="24"/>
          <w:highlight w:val="none"/>
          <w:lang w:val="en-US" w:eastAsia="zh-CN"/>
        </w:rPr>
      </w:pPr>
      <w:bookmarkStart w:id="203" w:name="_Toc11809"/>
      <w:r>
        <w:rPr>
          <w:rFonts w:hint="eastAsia" w:ascii="宋体" w:hAnsi="宋体" w:eastAsia="宋体" w:cs="宋体"/>
          <w:b/>
          <w:bCs/>
          <w:color w:val="auto"/>
          <w:spacing w:val="-11"/>
          <w:sz w:val="24"/>
          <w:szCs w:val="24"/>
          <w:highlight w:val="none"/>
          <w:lang w:val="en-US" w:eastAsia="zh-CN"/>
        </w:rPr>
        <w:t>6.项目管理机构</w:t>
      </w:r>
      <w:bookmarkEnd w:id="203"/>
    </w:p>
    <w:p w14:paraId="43840DFE">
      <w:pPr>
        <w:snapToGrid w:val="0"/>
        <w:spacing w:line="360" w:lineRule="auto"/>
        <w:ind w:firstLine="482" w:firstLineChars="200"/>
        <w:rPr>
          <w:rStyle w:val="48"/>
          <w:rFonts w:hint="eastAsia" w:ascii="宋体" w:hAnsi="宋体" w:eastAsia="宋体" w:cs="宋体"/>
          <w:color w:val="auto"/>
          <w:kern w:val="0"/>
          <w:sz w:val="24"/>
          <w:szCs w:val="24"/>
          <w:highlight w:val="none"/>
        </w:rPr>
      </w:pPr>
      <w:r>
        <w:rPr>
          <w:rStyle w:val="48"/>
          <w:rFonts w:hint="eastAsia" w:ascii="宋体" w:hAnsi="宋体" w:eastAsia="宋体" w:cs="宋体"/>
          <w:b/>
          <w:bCs/>
          <w:color w:val="auto"/>
          <w:kern w:val="0"/>
          <w:sz w:val="24"/>
          <w:szCs w:val="24"/>
          <w:highlight w:val="none"/>
          <w:lang w:val="en-US" w:eastAsia="zh-CN"/>
        </w:rPr>
        <w:t>6</w:t>
      </w:r>
      <w:r>
        <w:rPr>
          <w:rStyle w:val="48"/>
          <w:rFonts w:hint="eastAsia" w:ascii="宋体" w:hAnsi="宋体" w:eastAsia="宋体" w:cs="宋体"/>
          <w:b/>
          <w:bCs/>
          <w:color w:val="auto"/>
          <w:kern w:val="0"/>
          <w:sz w:val="24"/>
          <w:szCs w:val="24"/>
          <w:highlight w:val="none"/>
        </w:rPr>
        <w:t>.1</w:t>
      </w:r>
      <w:r>
        <w:rPr>
          <w:rStyle w:val="48"/>
          <w:rFonts w:hint="eastAsia" w:ascii="宋体" w:hAnsi="宋体" w:eastAsia="宋体" w:cs="宋体"/>
          <w:color w:val="auto"/>
          <w:kern w:val="0"/>
          <w:sz w:val="24"/>
          <w:szCs w:val="24"/>
          <w:highlight w:val="none"/>
        </w:rPr>
        <w:t xml:space="preserve"> 承包人派驻的项目管理班子成员必须为其投标文件确定的人员，否则发包人有权终止合同。</w:t>
      </w:r>
    </w:p>
    <w:p w14:paraId="50A7E8C9">
      <w:pPr>
        <w:snapToGrid w:val="0"/>
        <w:spacing w:line="360" w:lineRule="auto"/>
        <w:ind w:firstLine="482" w:firstLineChars="200"/>
        <w:rPr>
          <w:rStyle w:val="48"/>
          <w:rFonts w:hint="eastAsia" w:ascii="宋体" w:hAnsi="宋体" w:eastAsia="宋体" w:cs="宋体"/>
          <w:b w:val="0"/>
          <w:bCs w:val="0"/>
          <w:color w:val="auto"/>
          <w:kern w:val="0"/>
          <w:sz w:val="24"/>
          <w:szCs w:val="24"/>
          <w:highlight w:val="none"/>
          <w:lang w:val="en-US" w:eastAsia="zh-CN"/>
        </w:rPr>
      </w:pPr>
      <w:bookmarkStart w:id="204" w:name="_Toc32659"/>
      <w:r>
        <w:rPr>
          <w:rStyle w:val="48"/>
          <w:rFonts w:hint="eastAsia" w:ascii="宋体" w:hAnsi="宋体" w:eastAsia="宋体" w:cs="宋体"/>
          <w:b/>
          <w:bCs/>
          <w:color w:val="auto"/>
          <w:kern w:val="0"/>
          <w:sz w:val="24"/>
          <w:szCs w:val="24"/>
          <w:highlight w:val="none"/>
          <w:lang w:val="en-US" w:eastAsia="zh-CN"/>
        </w:rPr>
        <w:t xml:space="preserve">6.2 </w:t>
      </w:r>
      <w:r>
        <w:rPr>
          <w:rStyle w:val="48"/>
          <w:rFonts w:hint="eastAsia" w:ascii="宋体" w:hAnsi="宋体" w:eastAsia="宋体" w:cs="宋体"/>
          <w:b w:val="0"/>
          <w:bCs w:val="0"/>
          <w:color w:val="auto"/>
          <w:kern w:val="0"/>
          <w:sz w:val="24"/>
          <w:szCs w:val="24"/>
          <w:highlight w:val="none"/>
          <w:lang w:val="en-US" w:eastAsia="zh-CN"/>
        </w:rPr>
        <w:t>项目管理班子成员不得擅自变更。其中，项目经理若有《广东省住房和城乡建设厅关于建设工程项目招标中标后监督检查的办法》（粤建市〔2009〕8号，以下简称“《办法》”）第九条所述除外情形之一确需变更的，承包人应填写《建设工程项目管理班子变更情况报告表》（《办法》附件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w:t>
      </w:r>
      <w:bookmarkEnd w:id="204"/>
    </w:p>
    <w:p w14:paraId="768123B5">
      <w:pPr>
        <w:keepNext w:val="0"/>
        <w:keepLines w:val="0"/>
        <w:pageBreakBefore w:val="0"/>
        <w:widowControl w:val="0"/>
        <w:kinsoku w:val="0"/>
        <w:wordWrap/>
        <w:overflowPunct/>
        <w:topLinePunct w:val="0"/>
        <w:autoSpaceDE w:val="0"/>
        <w:autoSpaceDN w:val="0"/>
        <w:bidi w:val="0"/>
        <w:adjustRightInd w:val="0"/>
        <w:snapToGrid w:val="0"/>
        <w:spacing w:before="151" w:line="360" w:lineRule="auto"/>
        <w:ind w:left="476"/>
        <w:textAlignment w:val="baseline"/>
        <w:outlineLvl w:val="2"/>
        <w:rPr>
          <w:rFonts w:hint="eastAsia" w:ascii="宋体" w:hAnsi="宋体" w:eastAsia="宋体" w:cs="宋体"/>
          <w:b/>
          <w:bCs/>
          <w:color w:val="auto"/>
          <w:spacing w:val="-11"/>
          <w:sz w:val="24"/>
          <w:szCs w:val="24"/>
          <w:highlight w:val="none"/>
          <w:lang w:val="en-US" w:eastAsia="zh-CN"/>
        </w:rPr>
      </w:pPr>
      <w:bookmarkStart w:id="205" w:name="_Toc27956"/>
      <w:r>
        <w:rPr>
          <w:rFonts w:hint="eastAsia" w:ascii="宋体" w:hAnsi="宋体" w:eastAsia="宋体" w:cs="宋体"/>
          <w:b/>
          <w:bCs/>
          <w:color w:val="auto"/>
          <w:spacing w:val="-11"/>
          <w:sz w:val="24"/>
          <w:szCs w:val="24"/>
          <w:highlight w:val="none"/>
          <w:lang w:val="en-US" w:eastAsia="zh-CN"/>
        </w:rPr>
        <w:t>7.现场管理</w:t>
      </w:r>
      <w:bookmarkEnd w:id="205"/>
    </w:p>
    <w:p w14:paraId="46D4FAC0">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2" w:firstLineChars="200"/>
        <w:textAlignment w:val="baseline"/>
        <w:rPr>
          <w:rStyle w:val="48"/>
          <w:rFonts w:hint="eastAsia" w:ascii="宋体" w:hAnsi="宋体" w:eastAsia="宋体" w:cs="宋体"/>
          <w:b w:val="0"/>
          <w:bCs w:val="0"/>
          <w:color w:val="auto"/>
          <w:kern w:val="0"/>
          <w:sz w:val="24"/>
          <w:szCs w:val="24"/>
          <w:highlight w:val="none"/>
          <w:lang w:val="en-US" w:eastAsia="zh-CN"/>
        </w:rPr>
      </w:pPr>
      <w:bookmarkStart w:id="206" w:name="_Toc7562"/>
      <w:r>
        <w:rPr>
          <w:rStyle w:val="48"/>
          <w:rFonts w:hint="eastAsia" w:ascii="宋体" w:hAnsi="宋体" w:eastAsia="宋体" w:cs="宋体"/>
          <w:b/>
          <w:bCs/>
          <w:color w:val="auto"/>
          <w:kern w:val="0"/>
          <w:sz w:val="24"/>
          <w:szCs w:val="24"/>
          <w:highlight w:val="none"/>
          <w:lang w:val="en-US" w:eastAsia="zh-CN"/>
        </w:rPr>
        <w:t xml:space="preserve">7.1 </w:t>
      </w:r>
      <w:r>
        <w:rPr>
          <w:rStyle w:val="48"/>
          <w:rFonts w:hint="eastAsia" w:ascii="宋体" w:hAnsi="宋体" w:eastAsia="宋体" w:cs="宋体"/>
          <w:b w:val="0"/>
          <w:bCs w:val="0"/>
          <w:color w:val="auto"/>
          <w:kern w:val="0"/>
          <w:sz w:val="24"/>
          <w:szCs w:val="24"/>
          <w:highlight w:val="none"/>
          <w:lang w:val="en-US" w:eastAsia="zh-CN"/>
        </w:rPr>
        <w:t>承包人在施工期间应严格遵守国家、广东省、韶关市有关绿色施工、文明施工、噪音扬尘、消防爆破、环境卫生、渣土清运、防火和治安保卫等方面的规定，并建立相应规章制度和保障措施。否则由此造成的经济损失和法律责任，均由承包人承担。</w:t>
      </w:r>
      <w:bookmarkEnd w:id="206"/>
    </w:p>
    <w:p w14:paraId="0CB4CBB7">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2" w:firstLineChars="200"/>
        <w:textAlignment w:val="baseline"/>
        <w:rPr>
          <w:rStyle w:val="48"/>
          <w:rFonts w:hint="eastAsia" w:ascii="宋体" w:hAnsi="宋体" w:eastAsia="宋体" w:cs="宋体"/>
          <w:color w:val="auto"/>
          <w:kern w:val="0"/>
          <w:sz w:val="24"/>
          <w:szCs w:val="24"/>
          <w:highlight w:val="none"/>
        </w:rPr>
      </w:pPr>
      <w:r>
        <w:rPr>
          <w:rStyle w:val="48"/>
          <w:rFonts w:hint="eastAsia" w:ascii="宋体" w:hAnsi="宋体" w:eastAsia="宋体" w:cs="宋体"/>
          <w:b/>
          <w:bCs/>
          <w:color w:val="auto"/>
          <w:kern w:val="0"/>
          <w:sz w:val="24"/>
          <w:szCs w:val="24"/>
          <w:highlight w:val="none"/>
          <w:lang w:val="en-US" w:eastAsia="zh-CN"/>
        </w:rPr>
        <w:t>7</w:t>
      </w:r>
      <w:r>
        <w:rPr>
          <w:rStyle w:val="48"/>
          <w:rFonts w:hint="eastAsia" w:ascii="宋体" w:hAnsi="宋体" w:eastAsia="宋体" w:cs="宋体"/>
          <w:b/>
          <w:bCs/>
          <w:color w:val="auto"/>
          <w:kern w:val="0"/>
          <w:sz w:val="24"/>
          <w:szCs w:val="24"/>
          <w:highlight w:val="none"/>
        </w:rPr>
        <w:t>.2</w:t>
      </w:r>
      <w:r>
        <w:rPr>
          <w:rStyle w:val="48"/>
          <w:rFonts w:hint="eastAsia" w:ascii="宋体" w:hAnsi="宋体" w:eastAsia="宋体" w:cs="宋体"/>
          <w:color w:val="auto"/>
          <w:kern w:val="0"/>
          <w:sz w:val="24"/>
          <w:szCs w:val="24"/>
          <w:highlight w:val="none"/>
        </w:rPr>
        <w:t xml:space="preserve"> 承包人应按安全施工有关规定，采取严格、科学的安全防护措施，确保施工和人员（包括第三者）的安全，承担由于自身安全防护措施不力所造成的安全事故责任和发生的费用。</w:t>
      </w:r>
    </w:p>
    <w:p w14:paraId="17AF49BA">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2" w:firstLineChars="200"/>
        <w:textAlignment w:val="baseline"/>
        <w:rPr>
          <w:rStyle w:val="48"/>
          <w:rFonts w:hint="eastAsia" w:ascii="宋体" w:hAnsi="宋体" w:eastAsia="宋体" w:cs="宋体"/>
          <w:b/>
          <w:bCs/>
          <w:color w:val="auto"/>
          <w:kern w:val="0"/>
          <w:sz w:val="24"/>
          <w:szCs w:val="24"/>
          <w:highlight w:val="none"/>
        </w:rPr>
      </w:pPr>
      <w:r>
        <w:rPr>
          <w:rStyle w:val="48"/>
          <w:rFonts w:hint="eastAsia" w:ascii="宋体" w:hAnsi="宋体" w:eastAsia="宋体" w:cs="宋体"/>
          <w:b/>
          <w:bCs/>
          <w:color w:val="auto"/>
          <w:kern w:val="0"/>
          <w:sz w:val="24"/>
          <w:szCs w:val="24"/>
          <w:highlight w:val="none"/>
          <w:lang w:val="en-US" w:eastAsia="zh-CN"/>
        </w:rPr>
        <w:t>7</w:t>
      </w:r>
      <w:r>
        <w:rPr>
          <w:rStyle w:val="48"/>
          <w:rFonts w:hint="eastAsia" w:ascii="宋体" w:hAnsi="宋体" w:eastAsia="宋体" w:cs="宋体"/>
          <w:b/>
          <w:bCs/>
          <w:color w:val="auto"/>
          <w:kern w:val="0"/>
          <w:sz w:val="24"/>
          <w:szCs w:val="24"/>
          <w:highlight w:val="none"/>
        </w:rPr>
        <w:t>.3</w:t>
      </w:r>
      <w:r>
        <w:rPr>
          <w:rStyle w:val="48"/>
          <w:rFonts w:hint="eastAsia" w:ascii="宋体" w:hAnsi="宋体" w:eastAsia="宋体" w:cs="宋体"/>
          <w:color w:val="auto"/>
          <w:kern w:val="0"/>
          <w:sz w:val="24"/>
          <w:szCs w:val="24"/>
          <w:highlight w:val="none"/>
        </w:rPr>
        <w:t xml:space="preserve"> 为保证施工现场的环境卫生，承包人在本工程施工过程中，所有的车辆必须按发包人规定的行车路线行驶。</w:t>
      </w:r>
    </w:p>
    <w:p w14:paraId="043DEA37">
      <w:pPr>
        <w:keepNext w:val="0"/>
        <w:keepLines w:val="0"/>
        <w:pageBreakBefore w:val="0"/>
        <w:widowControl w:val="0"/>
        <w:kinsoku w:val="0"/>
        <w:wordWrap/>
        <w:overflowPunct/>
        <w:topLinePunct w:val="0"/>
        <w:autoSpaceDE w:val="0"/>
        <w:autoSpaceDN w:val="0"/>
        <w:bidi w:val="0"/>
        <w:adjustRightInd w:val="0"/>
        <w:snapToGrid w:val="0"/>
        <w:spacing w:before="151" w:line="360" w:lineRule="auto"/>
        <w:ind w:left="476"/>
        <w:textAlignment w:val="baseline"/>
        <w:outlineLvl w:val="2"/>
        <w:rPr>
          <w:rFonts w:hint="eastAsia" w:ascii="宋体" w:hAnsi="宋体" w:eastAsia="宋体" w:cs="宋体"/>
          <w:b/>
          <w:bCs/>
          <w:color w:val="auto"/>
          <w:spacing w:val="-11"/>
          <w:sz w:val="24"/>
          <w:szCs w:val="24"/>
          <w:highlight w:val="none"/>
          <w:lang w:val="en-US" w:eastAsia="zh-CN"/>
        </w:rPr>
      </w:pPr>
      <w:bookmarkStart w:id="207" w:name="_Toc23878"/>
      <w:r>
        <w:rPr>
          <w:rFonts w:hint="eastAsia" w:ascii="宋体" w:hAnsi="宋体" w:eastAsia="宋体" w:cs="宋体"/>
          <w:b/>
          <w:bCs/>
          <w:color w:val="auto"/>
          <w:spacing w:val="-11"/>
          <w:sz w:val="24"/>
          <w:szCs w:val="24"/>
          <w:highlight w:val="none"/>
          <w:lang w:val="en-US" w:eastAsia="zh-CN"/>
        </w:rPr>
        <w:t>8.监督实施</w:t>
      </w:r>
      <w:bookmarkEnd w:id="207"/>
    </w:p>
    <w:p w14:paraId="7D8C2402">
      <w:pPr>
        <w:keepNext w:val="0"/>
        <w:keepLines w:val="0"/>
        <w:pageBreakBefore w:val="0"/>
        <w:widowControl w:val="0"/>
        <w:kinsoku w:val="0"/>
        <w:wordWrap/>
        <w:overflowPunct/>
        <w:topLinePunct w:val="0"/>
        <w:autoSpaceDE w:val="0"/>
        <w:autoSpaceDN w:val="0"/>
        <w:bidi w:val="0"/>
        <w:adjustRightInd w:val="0"/>
        <w:snapToGrid w:val="0"/>
        <w:spacing w:line="360" w:lineRule="auto"/>
        <w:ind w:firstLine="560"/>
        <w:textAlignment w:val="baseline"/>
        <w:rPr>
          <w:rStyle w:val="48"/>
          <w:rFonts w:hint="eastAsia" w:ascii="宋体" w:hAnsi="宋体" w:eastAsia="宋体" w:cs="宋体"/>
          <w:b/>
          <w:bCs/>
          <w:color w:val="auto"/>
          <w:kern w:val="0"/>
          <w:sz w:val="24"/>
          <w:szCs w:val="24"/>
          <w:highlight w:val="none"/>
        </w:rPr>
      </w:pPr>
      <w:r>
        <w:rPr>
          <w:rStyle w:val="48"/>
          <w:rFonts w:hint="eastAsia" w:ascii="宋体" w:hAnsi="宋体" w:eastAsia="宋体" w:cs="宋体"/>
          <w:color w:val="auto"/>
          <w:kern w:val="0"/>
          <w:sz w:val="24"/>
          <w:szCs w:val="24"/>
          <w:highlight w:val="none"/>
        </w:rPr>
        <w:t>承包人须服从发包人对工程质量、进度、成本的全方位监督，施工中的年度计划、季度计划、月度计划、施工方案等应报送监理单位审批和发包人备案。施工中的质量保证措施等资料均应及时报送监理单位和发包人备案。</w:t>
      </w:r>
    </w:p>
    <w:p w14:paraId="151C2662">
      <w:pPr>
        <w:keepNext w:val="0"/>
        <w:keepLines w:val="0"/>
        <w:pageBreakBefore w:val="0"/>
        <w:widowControl w:val="0"/>
        <w:kinsoku w:val="0"/>
        <w:wordWrap/>
        <w:overflowPunct/>
        <w:topLinePunct w:val="0"/>
        <w:autoSpaceDE w:val="0"/>
        <w:autoSpaceDN w:val="0"/>
        <w:bidi w:val="0"/>
        <w:adjustRightInd w:val="0"/>
        <w:snapToGrid w:val="0"/>
        <w:spacing w:before="151" w:line="360" w:lineRule="auto"/>
        <w:ind w:left="476"/>
        <w:textAlignment w:val="baseline"/>
        <w:outlineLvl w:val="2"/>
        <w:rPr>
          <w:rFonts w:hint="eastAsia" w:ascii="宋体" w:hAnsi="宋体" w:eastAsia="宋体" w:cs="宋体"/>
          <w:b/>
          <w:bCs/>
          <w:color w:val="auto"/>
          <w:spacing w:val="-11"/>
          <w:sz w:val="24"/>
          <w:szCs w:val="24"/>
          <w:highlight w:val="none"/>
          <w:lang w:val="en-US" w:eastAsia="zh-CN"/>
        </w:rPr>
      </w:pPr>
      <w:bookmarkStart w:id="208" w:name="_Toc15584"/>
      <w:r>
        <w:rPr>
          <w:rFonts w:hint="eastAsia" w:ascii="宋体" w:hAnsi="宋体" w:eastAsia="宋体" w:cs="宋体"/>
          <w:b/>
          <w:bCs/>
          <w:color w:val="auto"/>
          <w:spacing w:val="-11"/>
          <w:sz w:val="24"/>
          <w:szCs w:val="24"/>
          <w:highlight w:val="none"/>
          <w:lang w:val="en-US" w:eastAsia="zh-CN"/>
        </w:rPr>
        <w:t>9.主材的采购和使用</w:t>
      </w:r>
      <w:bookmarkEnd w:id="208"/>
    </w:p>
    <w:p w14:paraId="243E5AB1">
      <w:pPr>
        <w:keepNext w:val="0"/>
        <w:keepLines w:val="0"/>
        <w:pageBreakBefore w:val="0"/>
        <w:widowControl w:val="0"/>
        <w:kinsoku w:val="0"/>
        <w:wordWrap/>
        <w:overflowPunct/>
        <w:topLinePunct w:val="0"/>
        <w:autoSpaceDE w:val="0"/>
        <w:autoSpaceDN w:val="0"/>
        <w:bidi w:val="0"/>
        <w:adjustRightInd w:val="0"/>
        <w:snapToGrid w:val="0"/>
        <w:spacing w:line="360" w:lineRule="auto"/>
        <w:ind w:firstLine="560"/>
        <w:textAlignment w:val="baseline"/>
        <w:rPr>
          <w:rStyle w:val="48"/>
          <w:rFonts w:hint="eastAsia" w:ascii="宋体" w:hAnsi="宋体" w:eastAsia="宋体" w:cs="宋体"/>
          <w:b/>
          <w:bCs/>
          <w:color w:val="auto"/>
          <w:kern w:val="0"/>
          <w:sz w:val="24"/>
          <w:szCs w:val="24"/>
          <w:highlight w:val="none"/>
        </w:rPr>
      </w:pPr>
      <w:r>
        <w:rPr>
          <w:rStyle w:val="48"/>
          <w:rFonts w:hint="eastAsia" w:ascii="宋体" w:hAnsi="宋体" w:eastAsia="宋体" w:cs="宋体"/>
          <w:color w:val="auto"/>
          <w:kern w:val="0"/>
          <w:sz w:val="24"/>
          <w:szCs w:val="24"/>
          <w:highlight w:val="none"/>
        </w:rPr>
        <w:t>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w:t>
      </w:r>
    </w:p>
    <w:p w14:paraId="64951858">
      <w:pPr>
        <w:spacing w:before="151" w:line="360" w:lineRule="auto"/>
        <w:ind w:left="476"/>
        <w:outlineLvl w:val="2"/>
        <w:rPr>
          <w:rFonts w:hint="eastAsia" w:ascii="宋体" w:hAnsi="宋体" w:eastAsia="宋体" w:cs="宋体"/>
          <w:b/>
          <w:bCs/>
          <w:color w:val="auto"/>
          <w:spacing w:val="-11"/>
          <w:sz w:val="24"/>
          <w:szCs w:val="24"/>
          <w:highlight w:val="none"/>
          <w:lang w:val="en-US" w:eastAsia="zh-CN"/>
        </w:rPr>
      </w:pPr>
      <w:bookmarkStart w:id="209" w:name="_Toc10125"/>
      <w:r>
        <w:rPr>
          <w:rFonts w:hint="eastAsia" w:ascii="宋体" w:hAnsi="宋体" w:eastAsia="宋体" w:cs="宋体"/>
          <w:b/>
          <w:bCs/>
          <w:color w:val="auto"/>
          <w:spacing w:val="-11"/>
          <w:sz w:val="24"/>
          <w:szCs w:val="24"/>
          <w:highlight w:val="none"/>
          <w:lang w:val="en-US" w:eastAsia="zh-CN"/>
        </w:rPr>
        <w:t>10.竣工资料移交</w:t>
      </w:r>
      <w:bookmarkEnd w:id="209"/>
    </w:p>
    <w:p w14:paraId="317FC39D">
      <w:pPr>
        <w:widowControl w:val="0"/>
        <w:wordWrap w:val="0"/>
        <w:adjustRightInd w:val="0"/>
        <w:snapToGrid w:val="0"/>
        <w:spacing w:line="360" w:lineRule="auto"/>
        <w:ind w:firstLine="560"/>
        <w:textAlignment w:val="auto"/>
        <w:rPr>
          <w:rStyle w:val="48"/>
          <w:rFonts w:hint="eastAsia" w:ascii="宋体" w:hAnsi="宋体" w:eastAsia="宋体" w:cs="宋体"/>
          <w:b/>
          <w:bCs/>
          <w:color w:val="auto"/>
          <w:kern w:val="0"/>
          <w:sz w:val="24"/>
          <w:szCs w:val="24"/>
          <w:highlight w:val="none"/>
        </w:rPr>
      </w:pPr>
      <w:r>
        <w:rPr>
          <w:rFonts w:hint="eastAsia" w:ascii="宋体" w:hAnsi="宋体" w:eastAsia="宋体" w:cs="宋体"/>
          <w:bCs/>
          <w:snapToGrid w:val="0"/>
          <w:color w:val="auto"/>
          <w:kern w:val="0"/>
          <w:sz w:val="24"/>
          <w:szCs w:val="24"/>
          <w:highlight w:val="none"/>
        </w:rPr>
        <w:t>项目竣工验收时，</w:t>
      </w:r>
      <w:r>
        <w:rPr>
          <w:rFonts w:hint="eastAsia" w:ascii="宋体" w:hAnsi="宋体" w:eastAsia="宋体" w:cs="宋体"/>
          <w:snapToGrid w:val="0"/>
          <w:color w:val="auto"/>
          <w:kern w:val="0"/>
          <w:sz w:val="24"/>
          <w:szCs w:val="24"/>
          <w:highlight w:val="none"/>
        </w:rPr>
        <w:t>承包</w:t>
      </w:r>
      <w:r>
        <w:rPr>
          <w:rFonts w:hint="eastAsia" w:ascii="宋体" w:hAnsi="宋体" w:eastAsia="宋体" w:cs="宋体"/>
          <w:bCs/>
          <w:snapToGrid w:val="0"/>
          <w:color w:val="auto"/>
          <w:kern w:val="0"/>
          <w:sz w:val="24"/>
          <w:szCs w:val="24"/>
          <w:highlight w:val="none"/>
        </w:rPr>
        <w:t>人应向监理单位和</w:t>
      </w:r>
      <w:r>
        <w:rPr>
          <w:rFonts w:hint="eastAsia" w:ascii="宋体" w:hAnsi="宋体" w:eastAsia="宋体" w:cs="宋体"/>
          <w:snapToGrid w:val="0"/>
          <w:color w:val="auto"/>
          <w:kern w:val="0"/>
          <w:sz w:val="24"/>
          <w:szCs w:val="24"/>
          <w:highlight w:val="none"/>
        </w:rPr>
        <w:t>发包</w:t>
      </w:r>
      <w:r>
        <w:rPr>
          <w:rFonts w:hint="eastAsia" w:ascii="宋体" w:hAnsi="宋体" w:eastAsia="宋体" w:cs="宋体"/>
          <w:bCs/>
          <w:snapToGrid w:val="0"/>
          <w:color w:val="auto"/>
          <w:kern w:val="0"/>
          <w:sz w:val="24"/>
          <w:szCs w:val="24"/>
          <w:highlight w:val="none"/>
        </w:rPr>
        <w:t>人提供符合国家档案部门备案要求的，编制成册的竣工图及有关的技术档案资料（含声像档案）一式</w:t>
      </w:r>
      <w:r>
        <w:rPr>
          <w:rFonts w:hint="eastAsia" w:ascii="宋体" w:hAnsi="宋体" w:eastAsia="宋体" w:cs="宋体"/>
          <w:bCs/>
          <w:snapToGrid w:val="0"/>
          <w:color w:val="auto"/>
          <w:kern w:val="0"/>
          <w:sz w:val="24"/>
          <w:szCs w:val="24"/>
          <w:highlight w:val="none"/>
          <w:u w:val="single"/>
        </w:rPr>
        <w:t xml:space="preserve"> 八 </w:t>
      </w:r>
      <w:r>
        <w:rPr>
          <w:rFonts w:hint="eastAsia" w:ascii="宋体" w:hAnsi="宋体" w:eastAsia="宋体" w:cs="宋体"/>
          <w:bCs/>
          <w:snapToGrid w:val="0"/>
          <w:color w:val="auto"/>
          <w:kern w:val="0"/>
          <w:sz w:val="24"/>
          <w:szCs w:val="24"/>
          <w:highlight w:val="none"/>
        </w:rPr>
        <w:t>份。</w:t>
      </w:r>
    </w:p>
    <w:p w14:paraId="788DAA2C">
      <w:pPr>
        <w:spacing w:before="151" w:line="360" w:lineRule="auto"/>
        <w:ind w:left="476"/>
        <w:outlineLvl w:val="2"/>
        <w:rPr>
          <w:rFonts w:hint="eastAsia" w:ascii="宋体" w:hAnsi="宋体" w:eastAsia="宋体" w:cs="宋体"/>
          <w:b/>
          <w:bCs/>
          <w:color w:val="auto"/>
          <w:spacing w:val="-11"/>
          <w:sz w:val="24"/>
          <w:szCs w:val="24"/>
          <w:highlight w:val="none"/>
          <w:lang w:val="en-US" w:eastAsia="zh-CN"/>
        </w:rPr>
      </w:pPr>
      <w:bookmarkStart w:id="210" w:name="_Toc16452"/>
      <w:r>
        <w:rPr>
          <w:rFonts w:hint="eastAsia" w:ascii="宋体" w:hAnsi="宋体" w:eastAsia="宋体" w:cs="宋体"/>
          <w:b/>
          <w:bCs/>
          <w:color w:val="auto"/>
          <w:spacing w:val="-11"/>
          <w:sz w:val="24"/>
          <w:szCs w:val="24"/>
          <w:highlight w:val="none"/>
          <w:lang w:val="en-US" w:eastAsia="zh-CN"/>
        </w:rPr>
        <w:t>11.质量保证</w:t>
      </w:r>
      <w:bookmarkEnd w:id="210"/>
    </w:p>
    <w:p w14:paraId="67CE75A3">
      <w:pPr>
        <w:snapToGrid w:val="0"/>
        <w:spacing w:line="360" w:lineRule="auto"/>
        <w:ind w:firstLine="560"/>
        <w:rPr>
          <w:rStyle w:val="48"/>
          <w:rFonts w:hint="eastAsia" w:ascii="宋体" w:hAnsi="宋体" w:eastAsia="宋体" w:cs="宋体"/>
          <w:color w:val="auto"/>
          <w:kern w:val="0"/>
          <w:sz w:val="24"/>
          <w:szCs w:val="24"/>
          <w:highlight w:val="none"/>
        </w:rPr>
      </w:pPr>
      <w:r>
        <w:rPr>
          <w:rStyle w:val="48"/>
          <w:rFonts w:hint="eastAsia" w:ascii="宋体" w:hAnsi="宋体" w:eastAsia="宋体" w:cs="宋体"/>
          <w:b/>
          <w:bCs/>
          <w:color w:val="auto"/>
          <w:kern w:val="0"/>
          <w:sz w:val="24"/>
          <w:szCs w:val="24"/>
          <w:highlight w:val="none"/>
          <w:lang w:val="en-US" w:eastAsia="zh-CN"/>
        </w:rPr>
        <w:t>11</w:t>
      </w:r>
      <w:r>
        <w:rPr>
          <w:rStyle w:val="48"/>
          <w:rFonts w:hint="eastAsia" w:ascii="宋体" w:hAnsi="宋体" w:eastAsia="宋体" w:cs="宋体"/>
          <w:b/>
          <w:bCs/>
          <w:color w:val="auto"/>
          <w:kern w:val="0"/>
          <w:sz w:val="24"/>
          <w:szCs w:val="24"/>
          <w:highlight w:val="none"/>
        </w:rPr>
        <w:t>.1</w:t>
      </w:r>
      <w:r>
        <w:rPr>
          <w:rStyle w:val="48"/>
          <w:rFonts w:hint="eastAsia" w:ascii="宋体" w:hAnsi="宋体" w:eastAsia="宋体" w:cs="宋体"/>
          <w:color w:val="auto"/>
          <w:kern w:val="0"/>
          <w:sz w:val="24"/>
          <w:szCs w:val="24"/>
          <w:highlight w:val="none"/>
        </w:rPr>
        <w:t xml:space="preserve"> 本工程缺陷责任期为</w:t>
      </w:r>
      <w:r>
        <w:rPr>
          <w:rStyle w:val="48"/>
          <w:rFonts w:hint="eastAsia" w:ascii="宋体" w:hAnsi="宋体" w:eastAsia="宋体" w:cs="宋体"/>
          <w:color w:val="auto"/>
          <w:kern w:val="0"/>
          <w:sz w:val="24"/>
          <w:szCs w:val="24"/>
          <w:highlight w:val="none"/>
          <w:u w:val="single"/>
          <w:lang w:val="en-US" w:eastAsia="zh-CN"/>
        </w:rPr>
        <w:t xml:space="preserve"> 2 </w:t>
      </w:r>
      <w:r>
        <w:rPr>
          <w:rStyle w:val="48"/>
          <w:rFonts w:hint="eastAsia" w:ascii="宋体" w:hAnsi="宋体" w:eastAsia="宋体" w:cs="宋体"/>
          <w:color w:val="auto"/>
          <w:kern w:val="0"/>
          <w:sz w:val="24"/>
          <w:szCs w:val="24"/>
          <w:highlight w:val="none"/>
        </w:rPr>
        <w:t>年（自通过竣工验收之日起计），在此期间预留金额为结算价</w:t>
      </w:r>
      <w:r>
        <w:rPr>
          <w:rStyle w:val="48"/>
          <w:rFonts w:hint="eastAsia" w:ascii="宋体" w:hAnsi="宋体" w:eastAsia="宋体" w:cs="宋体"/>
          <w:color w:val="auto"/>
          <w:kern w:val="0"/>
          <w:sz w:val="24"/>
          <w:szCs w:val="24"/>
          <w:highlight w:val="none"/>
          <w:u w:val="single"/>
          <w:lang w:val="en-US" w:eastAsia="zh-CN"/>
        </w:rPr>
        <w:t>3</w:t>
      </w:r>
      <w:r>
        <w:rPr>
          <w:rStyle w:val="48"/>
          <w:rFonts w:hint="eastAsia" w:ascii="宋体" w:hAnsi="宋体" w:eastAsia="宋体" w:cs="宋体"/>
          <w:color w:val="auto"/>
          <w:kern w:val="0"/>
          <w:sz w:val="24"/>
          <w:szCs w:val="24"/>
          <w:highlight w:val="none"/>
          <w:u w:val="single"/>
        </w:rPr>
        <w:t>%</w:t>
      </w:r>
      <w:r>
        <w:rPr>
          <w:rStyle w:val="48"/>
          <w:rFonts w:hint="eastAsia" w:ascii="宋体" w:hAnsi="宋体" w:eastAsia="宋体" w:cs="宋体"/>
          <w:color w:val="auto"/>
          <w:kern w:val="0"/>
          <w:sz w:val="24"/>
          <w:szCs w:val="24"/>
          <w:highlight w:val="none"/>
        </w:rPr>
        <w:t>的质量保证。</w:t>
      </w:r>
    </w:p>
    <w:p w14:paraId="07ABFEEE">
      <w:pPr>
        <w:snapToGrid w:val="0"/>
        <w:spacing w:line="360" w:lineRule="auto"/>
        <w:ind w:firstLine="560"/>
        <w:rPr>
          <w:rStyle w:val="48"/>
          <w:rFonts w:hint="eastAsia" w:ascii="宋体" w:hAnsi="宋体" w:eastAsia="宋体" w:cs="宋体"/>
          <w:color w:val="auto"/>
          <w:kern w:val="0"/>
          <w:sz w:val="24"/>
          <w:szCs w:val="24"/>
          <w:highlight w:val="none"/>
        </w:rPr>
      </w:pPr>
      <w:r>
        <w:rPr>
          <w:rStyle w:val="48"/>
          <w:rFonts w:hint="eastAsia" w:ascii="宋体" w:hAnsi="宋体" w:eastAsia="宋体" w:cs="宋体"/>
          <w:b/>
          <w:bCs/>
          <w:color w:val="auto"/>
          <w:kern w:val="0"/>
          <w:sz w:val="24"/>
          <w:szCs w:val="24"/>
          <w:highlight w:val="none"/>
          <w:lang w:val="en-US" w:eastAsia="zh-CN"/>
        </w:rPr>
        <w:t>11</w:t>
      </w:r>
      <w:r>
        <w:rPr>
          <w:rStyle w:val="48"/>
          <w:rFonts w:hint="eastAsia" w:ascii="宋体" w:hAnsi="宋体" w:eastAsia="宋体" w:cs="宋体"/>
          <w:b/>
          <w:bCs/>
          <w:color w:val="auto"/>
          <w:kern w:val="0"/>
          <w:sz w:val="24"/>
          <w:szCs w:val="24"/>
          <w:highlight w:val="none"/>
        </w:rPr>
        <w:t>.2</w:t>
      </w:r>
      <w:r>
        <w:rPr>
          <w:rStyle w:val="48"/>
          <w:rFonts w:hint="eastAsia" w:ascii="宋体" w:hAnsi="宋体" w:eastAsia="宋体" w:cs="宋体"/>
          <w:color w:val="auto"/>
          <w:kern w:val="0"/>
          <w:sz w:val="24"/>
          <w:szCs w:val="24"/>
          <w:highlight w:val="none"/>
        </w:rPr>
        <w:t xml:space="preserve"> 质量保证的形式包括质量保证金、质量保证担保、质量保证保险三种，由承包人自主选择。</w:t>
      </w:r>
    </w:p>
    <w:p w14:paraId="64E4142E">
      <w:pPr>
        <w:snapToGrid w:val="0"/>
        <w:spacing w:line="360" w:lineRule="auto"/>
        <w:ind w:firstLine="560"/>
        <w:rPr>
          <w:rStyle w:val="48"/>
          <w:rFonts w:hint="eastAsia" w:ascii="宋体" w:hAnsi="宋体" w:eastAsia="宋体" w:cs="宋体"/>
          <w:color w:val="auto"/>
          <w:kern w:val="0"/>
          <w:sz w:val="24"/>
          <w:szCs w:val="24"/>
          <w:highlight w:val="none"/>
        </w:rPr>
      </w:pPr>
      <w:r>
        <w:rPr>
          <w:rStyle w:val="48"/>
          <w:rFonts w:hint="eastAsia" w:ascii="宋体" w:hAnsi="宋体" w:eastAsia="宋体" w:cs="宋体"/>
          <w:color w:val="auto"/>
          <w:kern w:val="0"/>
          <w:sz w:val="24"/>
          <w:szCs w:val="24"/>
          <w:highlight w:val="none"/>
        </w:rPr>
        <w:t>（1）采用质量保证金形式的，在结清审定总造价时一次性扣留相应金额作为质量保证金。</w:t>
      </w:r>
    </w:p>
    <w:p w14:paraId="55DF4775">
      <w:pPr>
        <w:keepNext w:val="0"/>
        <w:keepLines w:val="0"/>
        <w:pageBreakBefore w:val="0"/>
        <w:widowControl w:val="0"/>
        <w:wordWrap/>
        <w:overflowPunct/>
        <w:topLinePunct w:val="0"/>
        <w:bidi w:val="0"/>
        <w:snapToGrid w:val="0"/>
        <w:spacing w:line="360" w:lineRule="auto"/>
        <w:ind w:firstLine="560"/>
        <w:textAlignment w:val="baseline"/>
        <w:rPr>
          <w:rStyle w:val="48"/>
          <w:rFonts w:hint="eastAsia" w:ascii="宋体" w:hAnsi="宋体" w:eastAsia="宋体" w:cs="宋体"/>
          <w:color w:val="auto"/>
          <w:kern w:val="0"/>
          <w:sz w:val="24"/>
          <w:szCs w:val="24"/>
          <w:highlight w:val="none"/>
        </w:rPr>
      </w:pPr>
      <w:r>
        <w:rPr>
          <w:rStyle w:val="48"/>
          <w:rFonts w:hint="eastAsia" w:ascii="宋体" w:hAnsi="宋体" w:eastAsia="宋体" w:cs="宋体"/>
          <w:color w:val="auto"/>
          <w:kern w:val="0"/>
          <w:sz w:val="24"/>
          <w:szCs w:val="24"/>
          <w:highlight w:val="none"/>
        </w:rPr>
        <w:t>（2）采用质量保证担保或质量保证保险的，承包人应在竣工验收时向发包人提交有效的</w:t>
      </w:r>
      <w:r>
        <w:rPr>
          <w:rFonts w:hint="eastAsia" w:ascii="宋体" w:hAnsi="宋体" w:eastAsia="宋体" w:cs="宋体"/>
          <w:b w:val="0"/>
          <w:bCs/>
          <w:caps w:val="0"/>
          <w:smallCaps w:val="0"/>
          <w:snapToGrid w:val="0"/>
          <w:color w:val="auto"/>
          <w:spacing w:val="0"/>
          <w:kern w:val="0"/>
          <w:sz w:val="24"/>
          <w:szCs w:val="24"/>
          <w:highlight w:val="none"/>
          <w:lang w:val="en-US" w:eastAsia="zh-CN"/>
        </w:rPr>
        <w:t>商业保函、</w:t>
      </w:r>
      <w:r>
        <w:rPr>
          <w:rStyle w:val="48"/>
          <w:rFonts w:hint="eastAsia" w:ascii="宋体" w:hAnsi="宋体" w:eastAsia="宋体" w:cs="宋体"/>
          <w:color w:val="auto"/>
          <w:kern w:val="0"/>
          <w:sz w:val="24"/>
          <w:szCs w:val="24"/>
          <w:highlight w:val="none"/>
        </w:rPr>
        <w:t>银行保函或保险合同（或保险单）原件，</w:t>
      </w:r>
      <w:r>
        <w:rPr>
          <w:rFonts w:hint="eastAsia" w:ascii="宋体" w:hAnsi="宋体" w:eastAsia="宋体" w:cs="宋体"/>
          <w:b w:val="0"/>
          <w:bCs/>
          <w:caps w:val="0"/>
          <w:smallCaps w:val="0"/>
          <w:snapToGrid w:val="0"/>
          <w:color w:val="auto"/>
          <w:spacing w:val="0"/>
          <w:kern w:val="0"/>
          <w:sz w:val="24"/>
          <w:szCs w:val="24"/>
          <w:highlight w:val="none"/>
          <w:lang w:val="en-US" w:eastAsia="zh-CN"/>
        </w:rPr>
        <w:t>商业保函、</w:t>
      </w:r>
      <w:r>
        <w:rPr>
          <w:rStyle w:val="48"/>
          <w:rFonts w:hint="eastAsia" w:ascii="宋体" w:hAnsi="宋体" w:eastAsia="宋体" w:cs="宋体"/>
          <w:color w:val="auto"/>
          <w:kern w:val="0"/>
          <w:sz w:val="24"/>
          <w:szCs w:val="24"/>
          <w:highlight w:val="none"/>
        </w:rPr>
        <w:t>银行保函或保险合同（或保险单）的有效期不得短于缺陷责任期。</w:t>
      </w:r>
    </w:p>
    <w:p w14:paraId="36C61C54">
      <w:pPr>
        <w:keepNext w:val="0"/>
        <w:keepLines w:val="0"/>
        <w:pageBreakBefore w:val="0"/>
        <w:widowControl w:val="0"/>
        <w:wordWrap/>
        <w:overflowPunct/>
        <w:topLinePunct w:val="0"/>
        <w:bidi w:val="0"/>
        <w:snapToGrid w:val="0"/>
        <w:spacing w:line="360" w:lineRule="auto"/>
        <w:ind w:firstLine="560"/>
        <w:textAlignment w:val="baseline"/>
        <w:rPr>
          <w:rStyle w:val="48"/>
          <w:rFonts w:hint="eastAsia" w:ascii="宋体" w:hAnsi="宋体" w:eastAsia="宋体" w:cs="宋体"/>
          <w:color w:val="auto"/>
          <w:kern w:val="0"/>
          <w:sz w:val="24"/>
          <w:szCs w:val="24"/>
          <w:highlight w:val="none"/>
        </w:rPr>
      </w:pPr>
      <w:r>
        <w:rPr>
          <w:rStyle w:val="48"/>
          <w:rFonts w:hint="eastAsia" w:ascii="宋体" w:hAnsi="宋体" w:eastAsia="宋体" w:cs="宋体"/>
          <w:b/>
          <w:bCs/>
          <w:color w:val="auto"/>
          <w:kern w:val="0"/>
          <w:sz w:val="24"/>
          <w:szCs w:val="24"/>
          <w:highlight w:val="none"/>
          <w:lang w:val="en-US" w:eastAsia="zh-CN"/>
        </w:rPr>
        <w:t>11</w:t>
      </w:r>
      <w:r>
        <w:rPr>
          <w:rStyle w:val="48"/>
          <w:rFonts w:hint="eastAsia" w:ascii="宋体" w:hAnsi="宋体" w:eastAsia="宋体" w:cs="宋体"/>
          <w:b/>
          <w:bCs/>
          <w:color w:val="auto"/>
          <w:kern w:val="0"/>
          <w:sz w:val="24"/>
          <w:szCs w:val="24"/>
          <w:highlight w:val="none"/>
        </w:rPr>
        <w:t>.3</w:t>
      </w:r>
      <w:r>
        <w:rPr>
          <w:rStyle w:val="48"/>
          <w:rFonts w:hint="eastAsia" w:ascii="宋体" w:hAnsi="宋体" w:eastAsia="宋体" w:cs="宋体"/>
          <w:color w:val="auto"/>
          <w:kern w:val="0"/>
          <w:sz w:val="24"/>
          <w:szCs w:val="24"/>
          <w:highlight w:val="none"/>
        </w:rPr>
        <w:t xml:space="preserve">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w:t>
      </w:r>
    </w:p>
    <w:p w14:paraId="7B5D93C6">
      <w:pPr>
        <w:keepNext w:val="0"/>
        <w:keepLines w:val="0"/>
        <w:pageBreakBefore w:val="0"/>
        <w:widowControl w:val="0"/>
        <w:wordWrap/>
        <w:overflowPunct/>
        <w:topLinePunct w:val="0"/>
        <w:bidi w:val="0"/>
        <w:snapToGrid w:val="0"/>
        <w:spacing w:line="360" w:lineRule="auto"/>
        <w:ind w:firstLine="560"/>
        <w:textAlignment w:val="baseline"/>
        <w:rPr>
          <w:rStyle w:val="48"/>
          <w:rFonts w:hint="eastAsia" w:ascii="宋体" w:hAnsi="宋体" w:eastAsia="宋体" w:cs="宋体"/>
          <w:color w:val="auto"/>
          <w:kern w:val="0"/>
          <w:sz w:val="24"/>
          <w:szCs w:val="24"/>
          <w:highlight w:val="none"/>
        </w:rPr>
      </w:pPr>
      <w:r>
        <w:rPr>
          <w:rStyle w:val="48"/>
          <w:rFonts w:hint="eastAsia" w:ascii="宋体" w:hAnsi="宋体" w:eastAsia="宋体" w:cs="宋体"/>
          <w:color w:val="auto"/>
          <w:kern w:val="0"/>
          <w:sz w:val="24"/>
          <w:szCs w:val="24"/>
          <w:highlight w:val="none"/>
        </w:rPr>
        <w:t>由他人原因造成的缺陷，发包人负责组织维修，承包人不承担费用，且发包人不得从质量保证中扣除费用。</w:t>
      </w:r>
    </w:p>
    <w:p w14:paraId="7F18C339">
      <w:pPr>
        <w:keepNext w:val="0"/>
        <w:keepLines w:val="0"/>
        <w:pageBreakBefore w:val="0"/>
        <w:widowControl w:val="0"/>
        <w:wordWrap/>
        <w:overflowPunct/>
        <w:topLinePunct w:val="0"/>
        <w:bidi w:val="0"/>
        <w:snapToGrid w:val="0"/>
        <w:spacing w:line="360" w:lineRule="auto"/>
        <w:ind w:firstLine="560"/>
        <w:textAlignment w:val="baseline"/>
        <w:rPr>
          <w:rStyle w:val="48"/>
          <w:rFonts w:hint="eastAsia" w:ascii="宋体" w:hAnsi="宋体" w:eastAsia="宋体" w:cs="宋体"/>
          <w:b/>
          <w:bCs/>
          <w:color w:val="auto"/>
          <w:kern w:val="0"/>
          <w:sz w:val="24"/>
          <w:szCs w:val="24"/>
          <w:highlight w:val="none"/>
        </w:rPr>
      </w:pPr>
      <w:r>
        <w:rPr>
          <w:rStyle w:val="48"/>
          <w:rFonts w:hint="eastAsia" w:ascii="宋体" w:hAnsi="宋体" w:eastAsia="宋体" w:cs="宋体"/>
          <w:b/>
          <w:bCs/>
          <w:color w:val="auto"/>
          <w:kern w:val="0"/>
          <w:sz w:val="24"/>
          <w:szCs w:val="24"/>
          <w:highlight w:val="none"/>
          <w:lang w:val="en-US" w:eastAsia="zh-CN"/>
        </w:rPr>
        <w:t>11</w:t>
      </w:r>
      <w:r>
        <w:rPr>
          <w:rStyle w:val="48"/>
          <w:rFonts w:hint="eastAsia" w:ascii="宋体" w:hAnsi="宋体" w:eastAsia="宋体" w:cs="宋体"/>
          <w:b/>
          <w:bCs/>
          <w:color w:val="auto"/>
          <w:kern w:val="0"/>
          <w:sz w:val="24"/>
          <w:szCs w:val="24"/>
          <w:highlight w:val="none"/>
        </w:rPr>
        <w:t>.4</w:t>
      </w:r>
      <w:r>
        <w:rPr>
          <w:rStyle w:val="48"/>
          <w:rFonts w:hint="eastAsia" w:ascii="宋体" w:hAnsi="宋体" w:eastAsia="宋体" w:cs="宋体"/>
          <w:color w:val="auto"/>
          <w:kern w:val="0"/>
          <w:sz w:val="24"/>
          <w:szCs w:val="24"/>
          <w:highlight w:val="none"/>
        </w:rPr>
        <w:t xml:space="preserve"> 缺陷责任期内，承包人应认真履行合同约定的责任。缺陷责任期到期后，承包人向发包人申请退还质量保证，发包人应按照《建设工程质量保证金管理办法》有关规定将质量保证退还给承包人。</w:t>
      </w:r>
    </w:p>
    <w:p w14:paraId="7C0FEC34">
      <w:pPr>
        <w:keepNext w:val="0"/>
        <w:keepLines w:val="0"/>
        <w:pageBreakBefore w:val="0"/>
        <w:widowControl w:val="0"/>
        <w:wordWrap/>
        <w:overflowPunct/>
        <w:topLinePunct w:val="0"/>
        <w:bidi w:val="0"/>
        <w:snapToGrid w:val="0"/>
        <w:spacing w:before="151" w:line="360" w:lineRule="auto"/>
        <w:ind w:left="476"/>
        <w:textAlignment w:val="baseline"/>
        <w:outlineLvl w:val="2"/>
        <w:rPr>
          <w:rFonts w:hint="eastAsia" w:ascii="宋体" w:hAnsi="宋体" w:eastAsia="宋体" w:cs="宋体"/>
          <w:b/>
          <w:bCs/>
          <w:color w:val="auto"/>
          <w:spacing w:val="-11"/>
          <w:sz w:val="24"/>
          <w:szCs w:val="24"/>
          <w:highlight w:val="none"/>
          <w:lang w:val="en-US" w:eastAsia="zh-CN"/>
        </w:rPr>
      </w:pPr>
      <w:bookmarkStart w:id="211" w:name="_Toc19544"/>
      <w:r>
        <w:rPr>
          <w:rFonts w:hint="eastAsia" w:ascii="宋体" w:hAnsi="宋体" w:eastAsia="宋体" w:cs="宋体"/>
          <w:b/>
          <w:bCs/>
          <w:color w:val="auto"/>
          <w:spacing w:val="-11"/>
          <w:sz w:val="24"/>
          <w:szCs w:val="24"/>
          <w:highlight w:val="none"/>
          <w:lang w:val="en-US" w:eastAsia="zh-CN"/>
        </w:rPr>
        <w:t>12.不良行为处理</w:t>
      </w:r>
      <w:bookmarkEnd w:id="211"/>
    </w:p>
    <w:p w14:paraId="78E3ACC1">
      <w:pPr>
        <w:pStyle w:val="52"/>
        <w:keepNext w:val="0"/>
        <w:keepLines w:val="0"/>
        <w:pageBreakBefore w:val="0"/>
        <w:widowControl w:val="0"/>
        <w:wordWrap/>
        <w:overflowPunct/>
        <w:topLinePunct w:val="0"/>
        <w:bidi w:val="0"/>
        <w:snapToGrid w:val="0"/>
        <w:spacing w:line="360" w:lineRule="auto"/>
        <w:ind w:firstLine="480" w:firstLineChars="200"/>
        <w:jc w:val="left"/>
        <w:textAlignment w:val="baseline"/>
        <w:rPr>
          <w:rStyle w:val="48"/>
          <w:rFonts w:hint="eastAsia" w:ascii="宋体" w:hAnsi="宋体" w:eastAsia="宋体" w:cs="宋体"/>
          <w:color w:val="auto"/>
          <w:kern w:val="0"/>
          <w:sz w:val="24"/>
          <w:szCs w:val="24"/>
          <w:highlight w:val="none"/>
        </w:rPr>
      </w:pPr>
      <w:r>
        <w:rPr>
          <w:rStyle w:val="48"/>
          <w:rFonts w:hint="eastAsia" w:ascii="宋体" w:hAnsi="宋体" w:eastAsia="宋体" w:cs="宋体"/>
          <w:color w:val="auto"/>
          <w:kern w:val="0"/>
          <w:sz w:val="24"/>
          <w:szCs w:val="24"/>
          <w:highlight w:val="none"/>
        </w:rPr>
        <w:t>承包人及其有关人员有下列行为之一的，发包人应及时向建设行政主管部门报告。除按照有关法律、法规进行处罚外，不良行为将计入企业及有关个人诚信档案，并在韶关市住房和城乡建设管理局网站（http://zgj.sg.gov.cn）公示。</w:t>
      </w:r>
    </w:p>
    <w:p w14:paraId="586697AB">
      <w:pPr>
        <w:pStyle w:val="52"/>
        <w:keepNext w:val="0"/>
        <w:keepLines w:val="0"/>
        <w:pageBreakBefore w:val="0"/>
        <w:widowControl w:val="0"/>
        <w:wordWrap/>
        <w:overflowPunct/>
        <w:topLinePunct w:val="0"/>
        <w:bidi w:val="0"/>
        <w:snapToGrid w:val="0"/>
        <w:spacing w:line="360" w:lineRule="auto"/>
        <w:ind w:firstLine="480" w:firstLineChars="200"/>
        <w:jc w:val="left"/>
        <w:textAlignment w:val="baseline"/>
        <w:rPr>
          <w:rStyle w:val="48"/>
          <w:rFonts w:hint="eastAsia" w:ascii="宋体" w:hAnsi="宋体" w:eastAsia="宋体" w:cs="宋体"/>
          <w:color w:val="auto"/>
          <w:kern w:val="0"/>
          <w:sz w:val="24"/>
          <w:szCs w:val="24"/>
          <w:highlight w:val="none"/>
        </w:rPr>
      </w:pPr>
      <w:bookmarkStart w:id="212" w:name="_Toc3225"/>
      <w:r>
        <w:rPr>
          <w:rStyle w:val="48"/>
          <w:rFonts w:hint="eastAsia" w:ascii="宋体" w:hAnsi="宋体" w:eastAsia="宋体" w:cs="宋体"/>
          <w:color w:val="auto"/>
          <w:kern w:val="0"/>
          <w:sz w:val="24"/>
          <w:szCs w:val="24"/>
          <w:highlight w:val="none"/>
        </w:rPr>
        <w:t>（1）转包、违法分包或违反投标承诺分包工程的；</w:t>
      </w:r>
      <w:bookmarkEnd w:id="212"/>
    </w:p>
    <w:p w14:paraId="1A9C58E1">
      <w:pPr>
        <w:pStyle w:val="52"/>
        <w:keepNext w:val="0"/>
        <w:keepLines w:val="0"/>
        <w:pageBreakBefore w:val="0"/>
        <w:widowControl w:val="0"/>
        <w:wordWrap/>
        <w:overflowPunct/>
        <w:topLinePunct w:val="0"/>
        <w:bidi w:val="0"/>
        <w:snapToGrid w:val="0"/>
        <w:spacing w:line="360" w:lineRule="auto"/>
        <w:ind w:firstLine="480" w:firstLineChars="200"/>
        <w:jc w:val="left"/>
        <w:textAlignment w:val="baseline"/>
        <w:rPr>
          <w:rStyle w:val="48"/>
          <w:rFonts w:hint="eastAsia" w:ascii="宋体" w:hAnsi="宋体" w:eastAsia="宋体" w:cs="宋体"/>
          <w:color w:val="auto"/>
          <w:kern w:val="0"/>
          <w:sz w:val="24"/>
          <w:szCs w:val="24"/>
          <w:highlight w:val="none"/>
        </w:rPr>
      </w:pPr>
      <w:r>
        <w:rPr>
          <w:rStyle w:val="48"/>
          <w:rFonts w:hint="eastAsia" w:ascii="宋体" w:hAnsi="宋体" w:eastAsia="宋体" w:cs="宋体"/>
          <w:color w:val="auto"/>
          <w:kern w:val="0"/>
          <w:sz w:val="24"/>
          <w:szCs w:val="24"/>
          <w:highlight w:val="none"/>
        </w:rPr>
        <w:t>（2）非原参加投标中标的项目经理负责组织施工或在实施过程中擅自更换项目经理的、项目的其他主要管理人员与中标文件确定的人员不相符的；</w:t>
      </w:r>
    </w:p>
    <w:p w14:paraId="2D8D422B">
      <w:pPr>
        <w:pStyle w:val="52"/>
        <w:keepNext w:val="0"/>
        <w:keepLines w:val="0"/>
        <w:pageBreakBefore w:val="0"/>
        <w:widowControl w:val="0"/>
        <w:wordWrap/>
        <w:overflowPunct/>
        <w:topLinePunct w:val="0"/>
        <w:bidi w:val="0"/>
        <w:snapToGrid w:val="0"/>
        <w:spacing w:line="360" w:lineRule="auto"/>
        <w:ind w:firstLine="480" w:firstLineChars="200"/>
        <w:jc w:val="left"/>
        <w:textAlignment w:val="baseline"/>
        <w:rPr>
          <w:rStyle w:val="48"/>
          <w:rFonts w:hint="eastAsia" w:ascii="宋体" w:hAnsi="宋体" w:eastAsia="宋体" w:cs="宋体"/>
          <w:color w:val="auto"/>
          <w:kern w:val="0"/>
          <w:sz w:val="24"/>
          <w:szCs w:val="24"/>
          <w:highlight w:val="none"/>
        </w:rPr>
      </w:pPr>
      <w:r>
        <w:rPr>
          <w:rStyle w:val="48"/>
          <w:rFonts w:hint="eastAsia" w:ascii="宋体" w:hAnsi="宋体" w:eastAsia="宋体" w:cs="宋体"/>
          <w:color w:val="auto"/>
          <w:kern w:val="0"/>
          <w:sz w:val="24"/>
          <w:szCs w:val="24"/>
          <w:highlight w:val="none"/>
        </w:rPr>
        <w:t>（3）投标文件确定的大型机械设备没有进入施工现场的；</w:t>
      </w:r>
    </w:p>
    <w:p w14:paraId="53C54715">
      <w:pPr>
        <w:pStyle w:val="52"/>
        <w:keepNext w:val="0"/>
        <w:keepLines w:val="0"/>
        <w:pageBreakBefore w:val="0"/>
        <w:widowControl w:val="0"/>
        <w:wordWrap/>
        <w:overflowPunct/>
        <w:topLinePunct w:val="0"/>
        <w:bidi w:val="0"/>
        <w:snapToGrid w:val="0"/>
        <w:spacing w:line="360" w:lineRule="auto"/>
        <w:ind w:firstLine="480" w:firstLineChars="200"/>
        <w:jc w:val="left"/>
        <w:textAlignment w:val="baseline"/>
        <w:rPr>
          <w:rStyle w:val="48"/>
          <w:rFonts w:hint="eastAsia" w:ascii="宋体" w:hAnsi="宋体" w:eastAsia="宋体" w:cs="宋体"/>
          <w:color w:val="auto"/>
          <w:kern w:val="0"/>
          <w:sz w:val="24"/>
          <w:szCs w:val="24"/>
          <w:highlight w:val="none"/>
        </w:rPr>
      </w:pPr>
      <w:r>
        <w:rPr>
          <w:rStyle w:val="48"/>
          <w:rFonts w:hint="eastAsia" w:ascii="宋体" w:hAnsi="宋体" w:eastAsia="宋体" w:cs="宋体"/>
          <w:color w:val="auto"/>
          <w:kern w:val="0"/>
          <w:sz w:val="24"/>
          <w:szCs w:val="24"/>
          <w:highlight w:val="none"/>
        </w:rPr>
        <w:t>（4）与建设单位、监理单位串通，签认虚假工程量或工程造价的；</w:t>
      </w:r>
    </w:p>
    <w:p w14:paraId="2BEAE447">
      <w:pPr>
        <w:pStyle w:val="52"/>
        <w:keepNext w:val="0"/>
        <w:keepLines w:val="0"/>
        <w:pageBreakBefore w:val="0"/>
        <w:widowControl w:val="0"/>
        <w:wordWrap/>
        <w:overflowPunct/>
        <w:topLinePunct w:val="0"/>
        <w:bidi w:val="0"/>
        <w:snapToGrid w:val="0"/>
        <w:spacing w:line="360" w:lineRule="auto"/>
        <w:ind w:firstLine="480" w:firstLineChars="200"/>
        <w:jc w:val="left"/>
        <w:textAlignment w:val="baseline"/>
        <w:rPr>
          <w:rStyle w:val="48"/>
          <w:rFonts w:hint="eastAsia" w:ascii="宋体" w:hAnsi="宋体" w:eastAsia="宋体" w:cs="宋体"/>
          <w:color w:val="auto"/>
          <w:kern w:val="0"/>
          <w:sz w:val="24"/>
          <w:szCs w:val="24"/>
          <w:highlight w:val="none"/>
        </w:rPr>
      </w:pPr>
      <w:r>
        <w:rPr>
          <w:rStyle w:val="48"/>
          <w:rFonts w:hint="eastAsia" w:ascii="宋体" w:hAnsi="宋体" w:eastAsia="宋体" w:cs="宋体"/>
          <w:color w:val="auto"/>
          <w:kern w:val="0"/>
          <w:sz w:val="24"/>
          <w:szCs w:val="24"/>
          <w:highlight w:val="none"/>
        </w:rPr>
        <w:t>（5）项目经理施工现场管理不到位的；</w:t>
      </w:r>
    </w:p>
    <w:p w14:paraId="173C6611">
      <w:pPr>
        <w:pStyle w:val="52"/>
        <w:keepNext w:val="0"/>
        <w:keepLines w:val="0"/>
        <w:pageBreakBefore w:val="0"/>
        <w:widowControl w:val="0"/>
        <w:wordWrap/>
        <w:overflowPunct/>
        <w:topLinePunct w:val="0"/>
        <w:bidi w:val="0"/>
        <w:snapToGrid w:val="0"/>
        <w:spacing w:line="360" w:lineRule="auto"/>
        <w:ind w:firstLine="480" w:firstLineChars="200"/>
        <w:jc w:val="left"/>
        <w:textAlignment w:val="baseline"/>
        <w:rPr>
          <w:rStyle w:val="48"/>
          <w:rFonts w:hint="eastAsia" w:ascii="宋体" w:hAnsi="宋体" w:eastAsia="宋体" w:cs="宋体"/>
          <w:color w:val="auto"/>
          <w:kern w:val="0"/>
          <w:sz w:val="24"/>
          <w:szCs w:val="24"/>
          <w:highlight w:val="none"/>
        </w:rPr>
      </w:pPr>
      <w:r>
        <w:rPr>
          <w:rStyle w:val="48"/>
          <w:rFonts w:hint="eastAsia" w:ascii="宋体" w:hAnsi="宋体" w:eastAsia="宋体" w:cs="宋体"/>
          <w:color w:val="auto"/>
          <w:kern w:val="0"/>
          <w:sz w:val="24"/>
          <w:szCs w:val="24"/>
          <w:highlight w:val="none"/>
        </w:rPr>
        <w:t>（6）项目经理在非本人资格证书注册单位从事工程项目施工管理的；</w:t>
      </w:r>
    </w:p>
    <w:p w14:paraId="0E5B61CF">
      <w:pPr>
        <w:pStyle w:val="52"/>
        <w:keepNext w:val="0"/>
        <w:keepLines w:val="0"/>
        <w:pageBreakBefore w:val="0"/>
        <w:widowControl w:val="0"/>
        <w:wordWrap/>
        <w:overflowPunct/>
        <w:topLinePunct w:val="0"/>
        <w:bidi w:val="0"/>
        <w:snapToGrid w:val="0"/>
        <w:spacing w:line="360" w:lineRule="auto"/>
        <w:ind w:firstLine="480" w:firstLineChars="200"/>
        <w:jc w:val="left"/>
        <w:textAlignment w:val="baseline"/>
        <w:rPr>
          <w:rStyle w:val="48"/>
          <w:rFonts w:hint="eastAsia" w:ascii="宋体" w:hAnsi="宋体" w:eastAsia="宋体" w:cs="宋体"/>
          <w:color w:val="auto"/>
          <w:kern w:val="0"/>
          <w:sz w:val="24"/>
          <w:szCs w:val="24"/>
          <w:highlight w:val="none"/>
        </w:rPr>
      </w:pPr>
      <w:r>
        <w:rPr>
          <w:rStyle w:val="48"/>
          <w:rFonts w:hint="eastAsia" w:ascii="宋体" w:hAnsi="宋体" w:eastAsia="宋体" w:cs="宋体"/>
          <w:color w:val="auto"/>
          <w:kern w:val="0"/>
          <w:sz w:val="24"/>
          <w:szCs w:val="24"/>
          <w:highlight w:val="none"/>
        </w:rPr>
        <w:t>（7）项目经理同时承担超过一项工程项目的；</w:t>
      </w:r>
    </w:p>
    <w:p w14:paraId="0BD83746">
      <w:pPr>
        <w:pStyle w:val="52"/>
        <w:keepNext w:val="0"/>
        <w:keepLines w:val="0"/>
        <w:pageBreakBefore w:val="0"/>
        <w:widowControl w:val="0"/>
        <w:wordWrap/>
        <w:overflowPunct/>
        <w:topLinePunct w:val="0"/>
        <w:bidi w:val="0"/>
        <w:snapToGrid w:val="0"/>
        <w:spacing w:line="360" w:lineRule="auto"/>
        <w:ind w:firstLine="480" w:firstLineChars="200"/>
        <w:jc w:val="left"/>
        <w:textAlignment w:val="baseline"/>
        <w:rPr>
          <w:rStyle w:val="48"/>
          <w:rFonts w:hint="eastAsia" w:ascii="宋体" w:hAnsi="宋体" w:eastAsia="宋体" w:cs="宋体"/>
          <w:b/>
          <w:bCs/>
          <w:color w:val="auto"/>
          <w:kern w:val="0"/>
          <w:sz w:val="24"/>
          <w:szCs w:val="24"/>
          <w:highlight w:val="none"/>
        </w:rPr>
      </w:pPr>
      <w:r>
        <w:rPr>
          <w:rStyle w:val="48"/>
          <w:rFonts w:hint="eastAsia" w:ascii="宋体" w:hAnsi="宋体" w:eastAsia="宋体" w:cs="宋体"/>
          <w:color w:val="auto"/>
          <w:kern w:val="0"/>
          <w:sz w:val="24"/>
          <w:szCs w:val="24"/>
          <w:highlight w:val="none"/>
        </w:rPr>
        <w:t>（8）违反有关法律、法规、规章规定的其它行为。</w:t>
      </w:r>
    </w:p>
    <w:p w14:paraId="590CD6A6">
      <w:pPr>
        <w:keepNext w:val="0"/>
        <w:keepLines w:val="0"/>
        <w:pageBreakBefore w:val="0"/>
        <w:widowControl w:val="0"/>
        <w:wordWrap/>
        <w:overflowPunct/>
        <w:topLinePunct w:val="0"/>
        <w:bidi w:val="0"/>
        <w:snapToGrid w:val="0"/>
        <w:spacing w:before="151" w:line="360" w:lineRule="auto"/>
        <w:ind w:left="476"/>
        <w:textAlignment w:val="baseline"/>
        <w:outlineLvl w:val="2"/>
        <w:rPr>
          <w:rFonts w:hint="eastAsia" w:ascii="宋体" w:hAnsi="宋体" w:eastAsia="宋体" w:cs="宋体"/>
          <w:b/>
          <w:bCs/>
          <w:color w:val="auto"/>
          <w:spacing w:val="-11"/>
          <w:sz w:val="24"/>
          <w:szCs w:val="24"/>
          <w:highlight w:val="none"/>
          <w:lang w:val="en-US" w:eastAsia="zh-CN"/>
        </w:rPr>
      </w:pPr>
      <w:bookmarkStart w:id="213" w:name="_Toc17443"/>
      <w:r>
        <w:rPr>
          <w:rFonts w:hint="eastAsia" w:ascii="宋体" w:hAnsi="宋体" w:eastAsia="宋体" w:cs="宋体"/>
          <w:b/>
          <w:bCs/>
          <w:color w:val="auto"/>
          <w:spacing w:val="-11"/>
          <w:sz w:val="24"/>
          <w:szCs w:val="24"/>
          <w:highlight w:val="none"/>
          <w:lang w:val="en-US" w:eastAsia="zh-CN"/>
        </w:rPr>
        <w:t>13.信用评价条款内容</w:t>
      </w:r>
      <w:bookmarkEnd w:id="213"/>
    </w:p>
    <w:p w14:paraId="13FEAC6B">
      <w:pPr>
        <w:pStyle w:val="54"/>
        <w:keepNext w:val="0"/>
        <w:keepLines w:val="0"/>
        <w:pageBreakBefore w:val="0"/>
        <w:widowControl w:val="0"/>
        <w:wordWrap/>
        <w:overflowPunct/>
        <w:topLinePunct w:val="0"/>
        <w:bidi w:val="0"/>
        <w:snapToGrid w:val="0"/>
        <w:spacing w:line="360" w:lineRule="auto"/>
        <w:ind w:firstLine="560"/>
        <w:textAlignment w:val="baseline"/>
        <w:rPr>
          <w:rStyle w:val="48"/>
          <w:rFonts w:hint="eastAsia" w:ascii="宋体" w:hAnsi="宋体" w:eastAsia="宋体" w:cs="宋体"/>
          <w:b/>
          <w:bCs/>
          <w:color w:val="auto"/>
          <w:sz w:val="24"/>
          <w:szCs w:val="24"/>
          <w:highlight w:val="none"/>
        </w:rPr>
      </w:pPr>
      <w:r>
        <w:rPr>
          <w:rStyle w:val="48"/>
          <w:rFonts w:hint="eastAsia" w:ascii="宋体" w:hAnsi="宋体" w:eastAsia="宋体" w:cs="宋体"/>
          <w:color w:val="auto"/>
          <w:kern w:val="0"/>
          <w:sz w:val="24"/>
          <w:szCs w:val="24"/>
          <w:highlight w:val="none"/>
        </w:rPr>
        <w:t>由招标人决定是否对施工单位的履约情况进行信用评价。若进行信用评价，评价条款由招标人自拟，条款内容可参考人员到位情况、服务配合程度、服务成果质量、项目后期服务及信用评价结果的运用等。</w:t>
      </w:r>
    </w:p>
    <w:p w14:paraId="59463365">
      <w:pPr>
        <w:spacing w:before="151" w:line="360" w:lineRule="auto"/>
        <w:ind w:left="476"/>
        <w:outlineLvl w:val="2"/>
        <w:rPr>
          <w:rFonts w:hint="eastAsia" w:ascii="宋体" w:hAnsi="宋体" w:eastAsia="宋体" w:cs="宋体"/>
          <w:b/>
          <w:bCs/>
          <w:color w:val="auto"/>
          <w:spacing w:val="-11"/>
          <w:sz w:val="24"/>
          <w:szCs w:val="24"/>
          <w:highlight w:val="none"/>
          <w:lang w:val="en-US" w:eastAsia="zh-CN"/>
        </w:rPr>
      </w:pPr>
      <w:bookmarkStart w:id="214" w:name="_Toc27802"/>
      <w:r>
        <w:rPr>
          <w:rFonts w:hint="eastAsia" w:ascii="宋体" w:hAnsi="宋体" w:eastAsia="宋体" w:cs="宋体"/>
          <w:b/>
          <w:bCs/>
          <w:color w:val="auto"/>
          <w:spacing w:val="-11"/>
          <w:sz w:val="24"/>
          <w:szCs w:val="24"/>
          <w:highlight w:val="none"/>
          <w:lang w:val="en-US" w:eastAsia="zh-CN"/>
        </w:rPr>
        <w:t>14.其他事项</w:t>
      </w:r>
      <w:bookmarkEnd w:id="214"/>
    </w:p>
    <w:p w14:paraId="06DEBF62">
      <w:pPr>
        <w:snapToGrid w:val="0"/>
        <w:spacing w:line="360" w:lineRule="auto"/>
        <w:ind w:firstLine="560"/>
        <w:rPr>
          <w:rStyle w:val="48"/>
          <w:rFonts w:hint="eastAsia" w:ascii="宋体" w:hAnsi="宋体" w:eastAsia="宋体" w:cs="宋体"/>
          <w:b w:val="0"/>
          <w:bCs w:val="0"/>
          <w:color w:val="auto"/>
          <w:kern w:val="0"/>
          <w:sz w:val="24"/>
          <w:szCs w:val="24"/>
          <w:highlight w:val="none"/>
          <w:lang w:val="en-US" w:eastAsia="zh-CN"/>
        </w:rPr>
      </w:pPr>
      <w:bookmarkStart w:id="215" w:name="_Toc6606"/>
      <w:r>
        <w:rPr>
          <w:rStyle w:val="48"/>
          <w:rFonts w:hint="eastAsia" w:ascii="宋体" w:hAnsi="宋体" w:eastAsia="宋体" w:cs="宋体"/>
          <w:b/>
          <w:bCs/>
          <w:color w:val="auto"/>
          <w:kern w:val="0"/>
          <w:sz w:val="24"/>
          <w:szCs w:val="24"/>
          <w:highlight w:val="none"/>
          <w:lang w:val="en-US" w:eastAsia="zh-CN"/>
        </w:rPr>
        <w:t>14.1</w:t>
      </w:r>
      <w:r>
        <w:rPr>
          <w:rStyle w:val="48"/>
          <w:rFonts w:hint="eastAsia" w:ascii="宋体" w:hAnsi="宋体" w:eastAsia="宋体" w:cs="宋体"/>
          <w:b w:val="0"/>
          <w:bCs w:val="0"/>
          <w:color w:val="auto"/>
          <w:kern w:val="0"/>
          <w:sz w:val="24"/>
          <w:szCs w:val="24"/>
          <w:highlight w:val="none"/>
          <w:lang w:val="en-US" w:eastAsia="zh-CN"/>
        </w:rPr>
        <w:t>危险性较大的分部分项工程安全管理约定</w:t>
      </w:r>
      <w:bookmarkEnd w:id="215"/>
    </w:p>
    <w:p w14:paraId="2438AA34">
      <w:pPr>
        <w:pStyle w:val="36"/>
        <w:snapToGrid w:val="0"/>
        <w:spacing w:line="360" w:lineRule="auto"/>
        <w:ind w:firstLine="480"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中标人应对建设单位组织的勘察、设计等单位在施工招标文件中列出的危大工程清单进行投标文件回应。对危险性较大的工程必须按《危险性较大的分部分项工程安全管理规定》（中华人民共和国住房和城乡建设部令第37号）的规定编制专项施工方案。同时，中标人必须按照《危险性较大的分部分项工程安全管理规定》的规定和经审批的专项施工方案履行安全职责，严格执行国家、地方政府有关施工安全管理方面的法律、法规及规章制度，同时严格执行招标人制订的本项目安全生产管理方面的规章制度、安全检查程序及施工安全管理要求，以及监理人有关安全工作的指令。</w:t>
      </w:r>
    </w:p>
    <w:p w14:paraId="4CA69CD9">
      <w:pPr>
        <w:pStyle w:val="36"/>
        <w:snapToGrid w:val="0"/>
        <w:spacing w:line="360" w:lineRule="auto"/>
        <w:ind w:firstLine="480"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中标人应根据《危险性较大的分部分项工程安全管理规定》（住房城乡建设部令第37号）、《住房城乡建设部办公厅关于实施&lt;危险性较大的分部分项工程安全管理规定&gt;有关问题的通知》（建办质〔2018〕31号）、《广东省住房和城乡建设厅关于房屋市政工程危险性较大的分部分项工程安全管理的实施细则的通知》(粤建规范〔2019〕2号)和《广东省安全生产委员会办公室广东省住房和城乡建设厅关于&lt;严格落实危险性较大的分部分项工程“六不施工”要求的通知&gt;》（粤安办〔2020〕151号）等有关危险性较大的分部分项工程的法规规定通知，履行建设工程安全生产管理职责。</w:t>
      </w:r>
    </w:p>
    <w:p w14:paraId="7070AC0C">
      <w:pPr>
        <w:pStyle w:val="36"/>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4</w:t>
      </w:r>
      <w:r>
        <w:rPr>
          <w:rFonts w:hint="eastAsia" w:ascii="宋体" w:hAnsi="宋体" w:eastAsia="宋体" w:cs="宋体"/>
          <w:b/>
          <w:bCs/>
          <w:color w:val="auto"/>
          <w:sz w:val="24"/>
          <w:szCs w:val="24"/>
          <w:highlight w:val="none"/>
          <w:shd w:val="clear" w:color="auto" w:fill="FFFFFF"/>
        </w:rPr>
        <w:t>.</w:t>
      </w:r>
      <w:r>
        <w:rPr>
          <w:rFonts w:hint="eastAsia" w:ascii="宋体" w:hAnsi="宋体" w:eastAsia="宋体" w:cs="宋体"/>
          <w:b/>
          <w:bCs/>
          <w:color w:val="auto"/>
          <w:sz w:val="24"/>
          <w:szCs w:val="24"/>
          <w:highlight w:val="none"/>
          <w:shd w:val="clear" w:color="auto" w:fill="FFFFFF"/>
          <w:lang w:val="en-US" w:eastAsia="zh-CN"/>
        </w:rPr>
        <w:t>2</w:t>
      </w:r>
      <w:r>
        <w:rPr>
          <w:rFonts w:hint="eastAsia" w:ascii="宋体" w:hAnsi="宋体" w:eastAsia="宋体" w:cs="宋体"/>
          <w:color w:val="auto"/>
          <w:sz w:val="24"/>
          <w:szCs w:val="24"/>
          <w:highlight w:val="none"/>
          <w:shd w:val="clear" w:color="auto" w:fill="FFFFFF"/>
          <w:lang w:val="en-US" w:eastAsia="zh-CN"/>
        </w:rPr>
        <w:t xml:space="preserve"> </w:t>
      </w:r>
      <w:r>
        <w:rPr>
          <w:rFonts w:hint="eastAsia" w:ascii="宋体" w:hAnsi="宋体" w:eastAsia="宋体" w:cs="宋体"/>
          <w:color w:val="auto"/>
          <w:sz w:val="24"/>
          <w:szCs w:val="24"/>
          <w:highlight w:val="none"/>
          <w:shd w:val="clear" w:color="auto" w:fill="FFFFFF"/>
        </w:rPr>
        <w:t>中标人在工程实施过程中，按照国家、省、市的相关规定制定相关的专项安全施工方案（如高支模、基坑支护、沉井等），编制专项施工方案报监理人、招标人审批后方可开展专项工程的施工。</w:t>
      </w:r>
    </w:p>
    <w:p w14:paraId="6D2A5FCD">
      <w:pPr>
        <w:pStyle w:val="36"/>
        <w:snapToGrid w:val="0"/>
        <w:spacing w:line="360" w:lineRule="auto"/>
        <w:ind w:firstLine="482"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4</w:t>
      </w:r>
      <w:r>
        <w:rPr>
          <w:rFonts w:hint="eastAsia" w:ascii="宋体" w:hAnsi="宋体" w:eastAsia="宋体" w:cs="宋体"/>
          <w:b/>
          <w:bCs/>
          <w:color w:val="auto"/>
          <w:sz w:val="24"/>
          <w:szCs w:val="24"/>
          <w:highlight w:val="none"/>
          <w:shd w:val="clear" w:color="auto" w:fill="FFFFFF"/>
        </w:rPr>
        <w:t>.</w:t>
      </w:r>
      <w:r>
        <w:rPr>
          <w:rFonts w:hint="eastAsia" w:ascii="宋体" w:hAnsi="宋体" w:eastAsia="宋体" w:cs="宋体"/>
          <w:b/>
          <w:bCs/>
          <w:color w:val="auto"/>
          <w:sz w:val="24"/>
          <w:szCs w:val="24"/>
          <w:highlight w:val="none"/>
          <w:shd w:val="clear" w:color="auto" w:fill="FFFFFF"/>
          <w:lang w:val="en-US" w:eastAsia="zh-CN"/>
        </w:rPr>
        <w:t xml:space="preserve">3 </w:t>
      </w:r>
      <w:r>
        <w:rPr>
          <w:rFonts w:hint="eastAsia" w:ascii="宋体" w:hAnsi="宋体" w:eastAsia="宋体" w:cs="宋体"/>
          <w:color w:val="auto"/>
          <w:sz w:val="24"/>
          <w:szCs w:val="24"/>
          <w:highlight w:val="none"/>
          <w:shd w:val="clear" w:color="auto" w:fill="FFFFFF"/>
        </w:rPr>
        <w:t>中标人须按照《韶关市建筑垃圾管理条例》（2021年5月1日起施行），将弃土运至招标人指定的场所，否则招标人有权要求中标人无条件将弃土从违约弃土点运至招标人指定的场所并扣除违约金</w:t>
      </w:r>
      <w:r>
        <w:rPr>
          <w:rFonts w:hint="eastAsia" w:ascii="宋体" w:hAnsi="宋体" w:eastAsia="宋体" w:cs="宋体"/>
          <w:color w:val="auto"/>
          <w:sz w:val="24"/>
          <w:szCs w:val="24"/>
          <w:highlight w:val="none"/>
          <w:u w:val="single"/>
          <w:shd w:val="clear" w:color="auto" w:fill="FFFFFF"/>
        </w:rPr>
        <w:t xml:space="preserve"> </w:t>
      </w:r>
      <w:r>
        <w:rPr>
          <w:rFonts w:hint="eastAsia" w:ascii="宋体" w:hAnsi="宋体" w:eastAsia="宋体" w:cs="宋体"/>
          <w:color w:val="auto"/>
          <w:sz w:val="24"/>
          <w:szCs w:val="24"/>
          <w:highlight w:val="none"/>
          <w:u w:val="single"/>
          <w:shd w:val="clear" w:color="auto" w:fill="FFFFFF"/>
          <w:lang w:val="en-US" w:eastAsia="zh-CN"/>
        </w:rPr>
        <w:t>1</w:t>
      </w:r>
      <w:r>
        <w:rPr>
          <w:rFonts w:hint="eastAsia" w:ascii="宋体" w:hAnsi="宋体" w:eastAsia="宋体" w:cs="宋体"/>
          <w:color w:val="auto"/>
          <w:sz w:val="24"/>
          <w:szCs w:val="24"/>
          <w:highlight w:val="none"/>
          <w:u w:val="single"/>
          <w:shd w:val="clear" w:color="auto" w:fill="FFFFFF"/>
        </w:rPr>
        <w:t xml:space="preserve"> </w:t>
      </w:r>
      <w:r>
        <w:rPr>
          <w:rFonts w:hint="eastAsia" w:ascii="宋体" w:hAnsi="宋体" w:eastAsia="宋体" w:cs="宋体"/>
          <w:color w:val="auto"/>
          <w:sz w:val="24"/>
          <w:szCs w:val="24"/>
          <w:highlight w:val="none"/>
          <w:shd w:val="clear" w:color="auto" w:fill="FFFFFF"/>
        </w:rPr>
        <w:t>万元人民币/次。中标人对建筑垃圾须按《韶关市建筑垃圾管理条例》（2021年5月1日起施行）的相关规定进行排放和运输，投标人在投标报价时综合考虑在报价内。中标人应在施工现场建立洗车槽和临时排水系统等确保外运车辆（土方运输车辆应符合相关规定）不带泥上路，投标人在投标报价时综合考虑在报价内，招标人不另行支付该部分费用）。建设单位、施工单位应当在施工工地出入口显著位置公示建筑垃圾处理方案主要信息，包括建设工程垃圾种类、产生量、外运处置去向等信息及各相关单位名称、联系人及联系电话等。</w:t>
      </w:r>
    </w:p>
    <w:p w14:paraId="5247F26A">
      <w:pPr>
        <w:pStyle w:val="36"/>
        <w:snapToGrid w:val="0"/>
        <w:spacing w:line="360" w:lineRule="auto"/>
        <w:ind w:firstLine="482"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4</w:t>
      </w:r>
      <w:r>
        <w:rPr>
          <w:rFonts w:hint="eastAsia" w:ascii="宋体" w:hAnsi="宋体" w:eastAsia="宋体" w:cs="宋体"/>
          <w:b/>
          <w:bCs/>
          <w:color w:val="auto"/>
          <w:sz w:val="24"/>
          <w:szCs w:val="24"/>
          <w:highlight w:val="none"/>
          <w:shd w:val="clear" w:color="auto" w:fill="FFFFFF"/>
        </w:rPr>
        <w:t xml:space="preserve">.4 </w:t>
      </w:r>
      <w:r>
        <w:rPr>
          <w:rFonts w:hint="eastAsia" w:ascii="宋体" w:hAnsi="宋体" w:eastAsia="宋体" w:cs="宋体"/>
          <w:color w:val="auto"/>
          <w:sz w:val="24"/>
          <w:szCs w:val="24"/>
          <w:highlight w:val="none"/>
          <w:shd w:val="clear" w:color="auto" w:fill="FFFFFF"/>
        </w:rPr>
        <w:t>工程竣工验收后15日内，中标人应按城建档案馆的要求（质量、数量），将编制成册的施工档案资料（含声像档案和电子档案）提供给招标人、城建档案馆、住建管理局、管养单位及监理单位，并承担档案涉及的所有费用（制作标准和相关要求按城建档案馆的有关规定执行）。中标人提交符合城建档案馆要求的竣工资料经招标人确认签收后，即可办理工程结算手续。</w:t>
      </w:r>
    </w:p>
    <w:p w14:paraId="0C655EFC">
      <w:pPr>
        <w:pStyle w:val="36"/>
        <w:snapToGrid w:val="0"/>
        <w:spacing w:line="360" w:lineRule="auto"/>
        <w:ind w:firstLine="482"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4</w:t>
      </w:r>
      <w:r>
        <w:rPr>
          <w:rFonts w:hint="eastAsia" w:ascii="宋体" w:hAnsi="宋体" w:eastAsia="宋体" w:cs="宋体"/>
          <w:b/>
          <w:bCs/>
          <w:color w:val="auto"/>
          <w:sz w:val="24"/>
          <w:szCs w:val="24"/>
          <w:highlight w:val="none"/>
          <w:shd w:val="clear" w:color="auto" w:fill="FFFFFF"/>
        </w:rPr>
        <w:t>.5</w:t>
      </w:r>
      <w:r>
        <w:rPr>
          <w:rFonts w:hint="eastAsia" w:ascii="宋体" w:hAnsi="宋体" w:eastAsia="宋体" w:cs="宋体"/>
          <w:color w:val="auto"/>
          <w:sz w:val="24"/>
          <w:szCs w:val="24"/>
          <w:highlight w:val="none"/>
          <w:shd w:val="clear" w:color="auto" w:fill="FFFFFF"/>
        </w:rPr>
        <w:t>（一）用人单位应当在建设项目动工前，在建设项目所在地</w:t>
      </w:r>
      <w:r>
        <w:rPr>
          <w:rFonts w:hint="eastAsia" w:ascii="宋体" w:hAnsi="宋体" w:eastAsia="宋体" w:cs="宋体"/>
          <w:color w:val="auto"/>
          <w:sz w:val="24"/>
          <w:szCs w:val="24"/>
          <w:highlight w:val="none"/>
          <w:shd w:val="clear" w:color="auto" w:fill="FFFFFF"/>
          <w:lang w:val="en-US" w:eastAsia="zh-CN"/>
        </w:rPr>
        <w:t>符合招标人要求的</w:t>
      </w:r>
      <w:r>
        <w:rPr>
          <w:rFonts w:hint="eastAsia" w:ascii="宋体" w:hAnsi="宋体" w:eastAsia="宋体" w:cs="宋体"/>
          <w:color w:val="auto"/>
          <w:sz w:val="24"/>
          <w:szCs w:val="24"/>
          <w:highlight w:val="none"/>
          <w:shd w:val="clear" w:color="auto" w:fill="FFFFFF"/>
        </w:rPr>
        <w:t>银行设立工人工资支付专用账户。</w:t>
      </w:r>
    </w:p>
    <w:p w14:paraId="6129E7E1">
      <w:pPr>
        <w:pStyle w:val="36"/>
        <w:snapToGrid w:val="0"/>
        <w:spacing w:line="360" w:lineRule="auto"/>
        <w:ind w:firstLine="480"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（二）用人单位应当在用工之日起15日内为每一位工人办理个人银行账户。</w:t>
      </w:r>
    </w:p>
    <w:p w14:paraId="4E3CC787">
      <w:pPr>
        <w:pStyle w:val="36"/>
        <w:snapToGrid w:val="0"/>
        <w:spacing w:line="360" w:lineRule="auto"/>
        <w:ind w:firstLine="480"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（三）用人单位应当指定专人负责建设项目施工现场台账管理，真实、准确记录工人名册、劳务合同、劳动合同、工程进度、工时台账、劳务承包款和工人工资支付等信息，并保存两年以上备查。</w:t>
      </w:r>
    </w:p>
    <w:p w14:paraId="7327A14E">
      <w:pPr>
        <w:pStyle w:val="36"/>
        <w:snapToGrid w:val="0"/>
        <w:spacing w:line="360" w:lineRule="auto"/>
        <w:ind w:firstLine="480"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四）用人单位应当按照“及时支付，按实结算”的原则，在规定日期前通过银行工人工资支付专用账户将工人工资直接支付到工人的个人银行账户，并按月将工人工资支付明细表报施工总承包单位和建设单位备案。</w:t>
      </w:r>
    </w:p>
    <w:p w14:paraId="02DC67D3">
      <w:pPr>
        <w:pStyle w:val="36"/>
        <w:snapToGrid w:val="0"/>
        <w:spacing w:line="360" w:lineRule="auto"/>
        <w:ind w:firstLine="480"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用人单位未建立、保存用工管理台账，或者伪造相关台账的，按照《广东省劳动保障监察条例》第五十条的规定，由人力资源社会保障部门责令改正，并可处以二千元以上二万元以下的人民币罚款。</w:t>
      </w:r>
    </w:p>
    <w:p w14:paraId="06835395">
      <w:pPr>
        <w:pStyle w:val="36"/>
        <w:snapToGrid w:val="0"/>
        <w:spacing w:line="360" w:lineRule="auto"/>
        <w:ind w:firstLine="480"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b w:val="0"/>
          <w:bCs w:val="0"/>
          <w:snapToGrid w:val="0"/>
          <w:color w:val="auto"/>
          <w:kern w:val="0"/>
          <w:sz w:val="24"/>
          <w:szCs w:val="24"/>
          <w:highlight w:val="none"/>
        </w:rPr>
        <w:t>（五）每次申请工程进度款要提供上期工人工资发放明细表、上期工人工资发放公示等材料，并将应付工程款的30%（且不低于当月应发工人工资的金额）作为工人工资拨入到中标人设立的工人工资支付专用账户。</w:t>
      </w:r>
    </w:p>
    <w:p w14:paraId="0EC59835">
      <w:pPr>
        <w:pStyle w:val="36"/>
        <w:snapToGrid w:val="0"/>
        <w:spacing w:line="360" w:lineRule="auto"/>
        <w:ind w:firstLine="482"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4</w:t>
      </w:r>
      <w:r>
        <w:rPr>
          <w:rFonts w:hint="eastAsia" w:ascii="宋体" w:hAnsi="宋体" w:eastAsia="宋体" w:cs="宋体"/>
          <w:b/>
          <w:bCs/>
          <w:color w:val="auto"/>
          <w:sz w:val="24"/>
          <w:szCs w:val="24"/>
          <w:highlight w:val="none"/>
          <w:shd w:val="clear" w:color="auto" w:fill="FFFFFF"/>
        </w:rPr>
        <w:t xml:space="preserve">.6 </w:t>
      </w:r>
      <w:r>
        <w:rPr>
          <w:rFonts w:hint="eastAsia" w:ascii="宋体" w:hAnsi="宋体" w:eastAsia="宋体" w:cs="宋体"/>
          <w:color w:val="auto"/>
          <w:sz w:val="24"/>
          <w:szCs w:val="24"/>
          <w:highlight w:val="none"/>
          <w:shd w:val="clear" w:color="auto" w:fill="FFFFFF"/>
        </w:rPr>
        <w:t>中标人应做好周边设施（含军用光缆、燃气、供电、供水、排水、排污、人行道、路灯、治安监控、交通电警等）的成品保护并及时与周边设施的权属单位协调解决，如因中标人原因导致上述设施发生损坏，中标人无条件按招标人规定的期限内修复，涉及成品保护费、索赔等一切费用全部由中标人自行解决。</w:t>
      </w:r>
    </w:p>
    <w:p w14:paraId="0B29B5A7">
      <w:pPr>
        <w:pStyle w:val="36"/>
        <w:snapToGrid w:val="0"/>
        <w:spacing w:line="360" w:lineRule="auto"/>
        <w:ind w:firstLine="482"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4</w:t>
      </w:r>
      <w:r>
        <w:rPr>
          <w:rFonts w:hint="eastAsia" w:ascii="宋体" w:hAnsi="宋体" w:eastAsia="宋体" w:cs="宋体"/>
          <w:b/>
          <w:bCs/>
          <w:color w:val="auto"/>
          <w:sz w:val="24"/>
          <w:szCs w:val="24"/>
          <w:highlight w:val="none"/>
          <w:shd w:val="clear" w:color="auto" w:fill="FFFFFF"/>
        </w:rPr>
        <w:t>.7</w:t>
      </w:r>
      <w:r>
        <w:rPr>
          <w:rFonts w:hint="eastAsia" w:ascii="宋体" w:hAnsi="宋体" w:eastAsia="宋体" w:cs="宋体"/>
          <w:color w:val="auto"/>
          <w:sz w:val="24"/>
          <w:szCs w:val="24"/>
          <w:highlight w:val="none"/>
          <w:shd w:val="clear" w:color="auto" w:fill="FFFFFF"/>
        </w:rPr>
        <w:t>中标人中标后必须按规定及时缴交工人工资保证金、环保噪声排污费等。</w:t>
      </w:r>
    </w:p>
    <w:p w14:paraId="619E056E">
      <w:pPr>
        <w:pStyle w:val="36"/>
        <w:snapToGrid w:val="0"/>
        <w:spacing w:line="360" w:lineRule="auto"/>
        <w:ind w:firstLine="482"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4</w:t>
      </w:r>
      <w:r>
        <w:rPr>
          <w:rFonts w:hint="eastAsia" w:ascii="宋体" w:hAnsi="宋体" w:eastAsia="宋体" w:cs="宋体"/>
          <w:b/>
          <w:bCs/>
          <w:color w:val="auto"/>
          <w:sz w:val="24"/>
          <w:szCs w:val="24"/>
          <w:highlight w:val="none"/>
          <w:shd w:val="clear" w:color="auto" w:fill="FFFFFF"/>
        </w:rPr>
        <w:t>.</w:t>
      </w:r>
      <w:r>
        <w:rPr>
          <w:rFonts w:hint="eastAsia" w:ascii="宋体" w:hAnsi="宋体" w:eastAsia="宋体" w:cs="宋体"/>
          <w:b/>
          <w:bCs/>
          <w:color w:val="auto"/>
          <w:sz w:val="24"/>
          <w:szCs w:val="24"/>
          <w:highlight w:val="none"/>
          <w:shd w:val="clear" w:color="auto" w:fill="FFFFFF"/>
          <w:lang w:val="en-US" w:eastAsia="zh-CN"/>
        </w:rPr>
        <w:t>8</w:t>
      </w:r>
      <w:r>
        <w:rPr>
          <w:rFonts w:hint="eastAsia" w:ascii="宋体" w:hAnsi="宋体" w:eastAsia="宋体" w:cs="宋体"/>
          <w:color w:val="auto"/>
          <w:sz w:val="24"/>
          <w:szCs w:val="24"/>
          <w:highlight w:val="none"/>
          <w:shd w:val="clear" w:color="auto" w:fill="FFFFFF"/>
        </w:rPr>
        <w:t>工程质量保修期按《中华人民共和国建筑法》、《建设工程质量管理条例》等相关规定实施。</w:t>
      </w:r>
    </w:p>
    <w:p w14:paraId="0C746642">
      <w:pPr>
        <w:pStyle w:val="36"/>
        <w:snapToGrid w:val="0"/>
        <w:spacing w:line="360" w:lineRule="auto"/>
        <w:ind w:firstLine="482"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4</w:t>
      </w:r>
      <w:r>
        <w:rPr>
          <w:rFonts w:hint="eastAsia" w:ascii="宋体" w:hAnsi="宋体" w:eastAsia="宋体" w:cs="宋体"/>
          <w:b/>
          <w:bCs/>
          <w:color w:val="auto"/>
          <w:sz w:val="24"/>
          <w:szCs w:val="24"/>
          <w:highlight w:val="none"/>
          <w:shd w:val="clear" w:color="auto" w:fill="FFFFFF"/>
        </w:rPr>
        <w:t>.</w:t>
      </w:r>
      <w:r>
        <w:rPr>
          <w:rFonts w:hint="eastAsia" w:ascii="宋体" w:hAnsi="宋体" w:eastAsia="宋体" w:cs="宋体"/>
          <w:b/>
          <w:bCs/>
          <w:color w:val="auto"/>
          <w:sz w:val="24"/>
          <w:szCs w:val="24"/>
          <w:highlight w:val="none"/>
          <w:shd w:val="clear" w:color="auto" w:fill="FFFFFF"/>
          <w:lang w:val="en-US" w:eastAsia="zh-CN"/>
        </w:rPr>
        <w:t>9</w:t>
      </w:r>
      <w:r>
        <w:rPr>
          <w:rFonts w:hint="eastAsia" w:ascii="宋体" w:hAnsi="宋体" w:eastAsia="宋体" w:cs="宋体"/>
          <w:color w:val="auto"/>
          <w:sz w:val="24"/>
          <w:szCs w:val="24"/>
          <w:highlight w:val="none"/>
          <w:shd w:val="clear" w:color="auto" w:fill="FFFFFF"/>
        </w:rPr>
        <w:t xml:space="preserve"> 如项目实施过程中发生了工程变更及工程签证，中标人需根据招标人发布的《工程变更管理办法》和《工程签证管理办法》完善工程变更签证相关程序。其纳入变更管理属于需要进一步办理审批的，应按照规定程序办理变更审批手续。因施工单位主要责任造成的工程变更调整原则上不予审批，由施工单位自行承担相关责任和费用</w:t>
      </w:r>
    </w:p>
    <w:p w14:paraId="6BC10B7A">
      <w:pPr>
        <w:pStyle w:val="36"/>
        <w:snapToGrid w:val="0"/>
        <w:spacing w:line="360" w:lineRule="auto"/>
        <w:ind w:firstLine="482"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4</w:t>
      </w: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0</w:t>
      </w:r>
      <w:r>
        <w:rPr>
          <w:rFonts w:hint="eastAsia" w:ascii="宋体" w:hAnsi="宋体" w:eastAsia="宋体" w:cs="宋体"/>
          <w:color w:val="auto"/>
          <w:sz w:val="24"/>
          <w:szCs w:val="24"/>
          <w:highlight w:val="none"/>
          <w:shd w:val="clear" w:color="auto" w:fill="FFFFFF"/>
        </w:rPr>
        <w:t xml:space="preserve"> 中标人需按相关规定要求，设置本工程符合相关要求的永久性标牌及规划公示牌，投标人在投标报价时综合考虑在报价内，招标人不另行支付该部分费用。</w:t>
      </w:r>
    </w:p>
    <w:p w14:paraId="68778A07">
      <w:pPr>
        <w:pStyle w:val="36"/>
        <w:snapToGrid w:val="0"/>
        <w:spacing w:line="360" w:lineRule="auto"/>
        <w:ind w:firstLine="482"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4</w:t>
      </w: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1</w:t>
      </w:r>
      <w:r>
        <w:rPr>
          <w:rFonts w:hint="eastAsia" w:ascii="宋体" w:hAnsi="宋体" w:eastAsia="宋体" w:cs="宋体"/>
          <w:color w:val="auto"/>
          <w:sz w:val="24"/>
          <w:szCs w:val="24"/>
          <w:highlight w:val="none"/>
          <w:shd w:val="clear" w:color="auto" w:fill="FFFFFF"/>
        </w:rPr>
        <w:t xml:space="preserve"> 中标人应在项目所在地住建管理部门办理诚信登记，招标人将严格按住建管理部门诚信登记管理办法对中标人履约情况进行考核。</w:t>
      </w:r>
    </w:p>
    <w:p w14:paraId="41A7BB68">
      <w:pPr>
        <w:pStyle w:val="36"/>
        <w:snapToGrid w:val="0"/>
        <w:spacing w:line="360" w:lineRule="auto"/>
        <w:ind w:firstLine="482"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4</w:t>
      </w: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2</w:t>
      </w:r>
      <w:r>
        <w:rPr>
          <w:rFonts w:hint="eastAsia" w:ascii="宋体" w:hAnsi="宋体" w:eastAsia="宋体" w:cs="宋体"/>
          <w:color w:val="auto"/>
          <w:sz w:val="24"/>
          <w:szCs w:val="24"/>
          <w:highlight w:val="none"/>
          <w:shd w:val="clear" w:color="auto" w:fill="FFFFFF"/>
        </w:rPr>
        <w:t xml:space="preserve"> 中标人应按住房和城乡建设管理局、人力资源和社会保障局等职能部门对用工实名制的相关规定,落实工人及相关软硬件设施要求。</w:t>
      </w:r>
    </w:p>
    <w:p w14:paraId="1A26121F">
      <w:pPr>
        <w:pStyle w:val="36"/>
        <w:snapToGrid w:val="0"/>
        <w:spacing w:line="360" w:lineRule="auto"/>
        <w:ind w:firstLine="482" w:firstLineChars="200"/>
        <w:rPr>
          <w:rFonts w:hint="eastAsia" w:ascii="宋体" w:hAnsi="宋体" w:eastAsia="宋体" w:cs="宋体"/>
          <w:b w:val="0"/>
          <w:bCs w:val="0"/>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4</w:t>
      </w: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3</w:t>
      </w:r>
      <w:r>
        <w:rPr>
          <w:rFonts w:hint="eastAsia" w:ascii="宋体" w:hAnsi="宋体" w:eastAsia="宋体" w:cs="宋体"/>
          <w:color w:val="auto"/>
          <w:sz w:val="24"/>
          <w:szCs w:val="24"/>
          <w:highlight w:val="none"/>
          <w:shd w:val="clear" w:color="auto" w:fill="FFFFFF"/>
        </w:rPr>
        <w:t xml:space="preserve"> 如采用银行保函方式缴纳履约保证金，在保函到期前一个月，中标人须主动办理续期手续或提交新的银行保函；如中标人未及时主动办理续期手续或提交新的银行保函，招标人有权按履约保证金金额的扣留进度款（工人工资除外）作为</w:t>
      </w:r>
      <w:r>
        <w:rPr>
          <w:rFonts w:hint="eastAsia" w:ascii="宋体" w:hAnsi="宋体" w:eastAsia="宋体" w:cs="宋体"/>
          <w:b w:val="0"/>
          <w:bCs w:val="0"/>
          <w:color w:val="auto"/>
          <w:sz w:val="24"/>
          <w:szCs w:val="24"/>
          <w:highlight w:val="none"/>
          <w:shd w:val="clear" w:color="auto" w:fill="FFFFFF"/>
        </w:rPr>
        <w:t>履约保证金，直至中标人提交新的银行保函或达到履约保证金退还条件。</w:t>
      </w:r>
    </w:p>
    <w:p w14:paraId="3789AE9F">
      <w:pPr>
        <w:pStyle w:val="36"/>
        <w:snapToGrid w:val="0"/>
        <w:spacing w:line="360" w:lineRule="auto"/>
        <w:ind w:firstLine="482" w:firstLineChars="200"/>
        <w:rPr>
          <w:rFonts w:hint="eastAsia" w:ascii="宋体" w:hAnsi="宋体" w:eastAsia="宋体" w:cs="宋体"/>
          <w:bCs/>
          <w:color w:val="auto"/>
          <w:sz w:val="24"/>
          <w:szCs w:val="24"/>
          <w:highlight w:val="none"/>
          <w:lang w:bidi="ar"/>
        </w:rPr>
      </w:pP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4</w:t>
      </w: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4</w:t>
      </w:r>
      <w:r>
        <w:rPr>
          <w:rFonts w:hint="eastAsia" w:ascii="宋体" w:hAnsi="宋体" w:eastAsia="宋体" w:cs="宋体"/>
          <w:b/>
          <w:bCs/>
          <w:color w:val="auto"/>
          <w:sz w:val="24"/>
          <w:szCs w:val="24"/>
          <w:highlight w:val="none"/>
          <w:shd w:val="clear" w:color="auto" w:fill="FFFFFF"/>
        </w:rPr>
        <w:t xml:space="preserve"> </w:t>
      </w:r>
      <w:r>
        <w:rPr>
          <w:rFonts w:hint="eastAsia" w:ascii="宋体" w:hAnsi="宋体" w:eastAsia="宋体" w:cs="宋体"/>
          <w:color w:val="auto"/>
          <w:sz w:val="24"/>
          <w:szCs w:val="24"/>
          <w:highlight w:val="none"/>
          <w:lang w:val="zh-CN"/>
        </w:rPr>
        <w:t>依据人力资源社会保障部等十部门印发的《工程建设领域农民工工资专用账户管理暂行办法》（人社部发〔2021〕53号）</w:t>
      </w:r>
      <w:r>
        <w:rPr>
          <w:rFonts w:hint="eastAsia" w:ascii="宋体" w:hAnsi="宋体" w:eastAsia="宋体" w:cs="宋体"/>
          <w:b w:val="0"/>
          <w:bCs w:val="0"/>
          <w:color w:val="auto"/>
          <w:sz w:val="24"/>
          <w:szCs w:val="24"/>
          <w:highlight w:val="none"/>
          <w:shd w:val="clear" w:color="auto" w:fill="FFFFFF"/>
        </w:rPr>
        <w:t>文件规定，中标人中标后，须到银行设立工人工资支付专用账户，用于支付工人工资。发包人支付工程款时，将按工程款（不含工人工资）和工人工资两部分分开支付，工人工资支付至专用账户。中标人应建立劳动用工管理台</w:t>
      </w:r>
      <w:r>
        <w:rPr>
          <w:rFonts w:hint="eastAsia" w:ascii="宋体" w:hAnsi="宋体" w:eastAsia="宋体" w:cs="宋体"/>
          <w:b w:val="0"/>
          <w:bCs w:val="0"/>
          <w:color w:val="auto"/>
          <w:sz w:val="24"/>
          <w:szCs w:val="24"/>
          <w:highlight w:val="none"/>
          <w:lang w:bidi="ar"/>
        </w:rPr>
        <w:t>账，并按</w:t>
      </w:r>
      <w:r>
        <w:rPr>
          <w:rFonts w:hint="eastAsia" w:ascii="宋体" w:hAnsi="宋体" w:eastAsia="宋体" w:cs="宋体"/>
          <w:bCs/>
          <w:color w:val="auto"/>
          <w:sz w:val="24"/>
          <w:szCs w:val="24"/>
          <w:highlight w:val="none"/>
          <w:lang w:bidi="ar"/>
        </w:rPr>
        <w:t>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建设单位支付工程款凭证；（4）花名册及身份证复印件；（5）劳动合同：（6）委托书（写明委托代发工资情况）；（7）缴纳保证金的凭证；（8）总包企业或承包企业设立工资专用账户的凭证；（9）维权信息告示牌情况。</w:t>
      </w:r>
    </w:p>
    <w:p w14:paraId="0FBEE672">
      <w:pPr>
        <w:pStyle w:val="36"/>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Cs/>
          <w:color w:val="auto"/>
          <w:sz w:val="24"/>
          <w:szCs w:val="24"/>
          <w:highlight w:val="none"/>
          <w:lang w:bidi="ar"/>
        </w:rPr>
      </w:pPr>
      <w:r>
        <w:rPr>
          <w:rFonts w:hint="eastAsia" w:ascii="宋体" w:hAnsi="宋体" w:eastAsia="宋体" w:cs="宋体"/>
          <w:color w:val="auto"/>
          <w:sz w:val="24"/>
          <w:szCs w:val="24"/>
          <w:highlight w:val="none"/>
          <w:lang w:val="zh-CN"/>
        </w:rPr>
        <w:t>根据韶关市人力资源和社会保障局</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CN"/>
        </w:rPr>
        <w:t>韶关市住房和城乡建设管理局</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CN"/>
        </w:rPr>
        <w:t>韶关市交通运输局</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CN"/>
        </w:rPr>
        <w:t>韶关市水务局</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CN"/>
        </w:rPr>
        <w:t>韶关市金融工作局</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CN"/>
        </w:rPr>
        <w:t>国家金融监督管理总局韶关监管分局关于印发《韶关市工程建设领域农民工工资保证金管理实施细则》的通知(韶人社</w:t>
      </w:r>
      <w:r>
        <w:rPr>
          <w:rFonts w:hint="eastAsia" w:ascii="宋体" w:hAnsi="宋体" w:eastAsia="宋体" w:cs="宋体"/>
          <w:color w:val="auto"/>
          <w:sz w:val="24"/>
          <w:szCs w:val="24"/>
          <w:highlight w:val="none"/>
          <w:lang w:val="en-US" w:eastAsia="zh-CN"/>
        </w:rPr>
        <w:t>规[</w:t>
      </w:r>
      <w:r>
        <w:rPr>
          <w:rFonts w:hint="eastAsia" w:ascii="宋体" w:hAnsi="宋体" w:eastAsia="宋体" w:cs="宋体"/>
          <w:color w:val="auto"/>
          <w:sz w:val="24"/>
          <w:szCs w:val="24"/>
          <w:highlight w:val="none"/>
          <w:lang w:val="zh-CN"/>
        </w:rPr>
        <w:t>202</w:t>
      </w:r>
      <w:r>
        <w:rPr>
          <w:rFonts w:hint="eastAsia" w:ascii="宋体" w:hAnsi="宋体" w:eastAsia="宋体" w:cs="宋体"/>
          <w:color w:val="auto"/>
          <w:sz w:val="24"/>
          <w:szCs w:val="24"/>
          <w:highlight w:val="none"/>
          <w:lang w:val="en-US" w:eastAsia="zh-CN"/>
        </w:rPr>
        <w:t>3]2</w:t>
      </w:r>
      <w:r>
        <w:rPr>
          <w:rFonts w:hint="eastAsia" w:ascii="宋体" w:hAnsi="宋体" w:eastAsia="宋体" w:cs="宋体"/>
          <w:color w:val="auto"/>
          <w:sz w:val="24"/>
          <w:szCs w:val="24"/>
          <w:highlight w:val="none"/>
          <w:lang w:val="zh-CN"/>
        </w:rPr>
        <w:t>号)</w:t>
      </w:r>
      <w:r>
        <w:rPr>
          <w:rFonts w:hint="eastAsia" w:ascii="宋体" w:hAnsi="宋体" w:eastAsia="宋体" w:cs="宋体"/>
          <w:bCs/>
          <w:color w:val="auto"/>
          <w:sz w:val="24"/>
          <w:szCs w:val="24"/>
          <w:highlight w:val="none"/>
          <w:lang w:bidi="ar"/>
        </w:rPr>
        <w:t>文件规定，中标人中标后，应将工人工资保证金存入银行专用存款账户。逾期未交纳的，招标人将扣留与本项目工人工资保证金等额的工程款（工人工资除外），直至中标人按《韶关市建设领域施工企业工人工资支付保证金管理办法》相关文件要求缴纳工人工资保证金。在中标人未按要求缴纳工人工资保证金期间，招标人扣留的工程款将作为工人工资保证金的预备资金，招标人有权将该部分资金用于处理该项目工人工资拖欠等情况的问题。</w:t>
      </w:r>
    </w:p>
    <w:p w14:paraId="2F701272">
      <w:pPr>
        <w:pStyle w:val="36"/>
        <w:wordWrap w:val="0"/>
        <w:adjustRightInd w:val="0"/>
        <w:snapToGrid w:val="0"/>
        <w:spacing w:line="360" w:lineRule="auto"/>
        <w:ind w:firstLine="560"/>
        <w:rPr>
          <w:rFonts w:hint="eastAsia" w:ascii="宋体" w:hAnsi="宋体" w:eastAsia="宋体" w:cs="宋体"/>
          <w:color w:val="auto"/>
          <w:sz w:val="24"/>
          <w:szCs w:val="24"/>
          <w:highlight w:val="none"/>
          <w:lang w:val="en-US" w:eastAsia="zh-CN" w:bidi="ar"/>
        </w:rPr>
      </w:pPr>
      <w:r>
        <w:rPr>
          <w:rFonts w:hint="eastAsia" w:ascii="宋体" w:hAnsi="宋体" w:eastAsia="宋体" w:cs="宋体"/>
          <w:b w:val="0"/>
          <w:bCs w:val="0"/>
          <w:snapToGrid w:val="0"/>
          <w:color w:val="auto"/>
          <w:kern w:val="0"/>
          <w:sz w:val="24"/>
          <w:szCs w:val="24"/>
          <w:highlight w:val="none"/>
        </w:rPr>
        <w:t>如发生承包人拖欠民工工资并且向政府或发包人索要承包人拖欠工资的，发包人有权使用工人工资保证金或在剩余进度款范围内代承包人向民工支付工资，承包人对发包人垫付工资的人员范围和工资数额均不得提异议。发包人代支的工资除了从当期工程款内直接扣除外,承包人须按照发包人</w:t>
      </w:r>
      <w:r>
        <w:rPr>
          <w:rFonts w:hint="eastAsia" w:ascii="宋体" w:hAnsi="宋体" w:eastAsia="宋体" w:cs="宋体"/>
          <w:color w:val="auto"/>
          <w:sz w:val="24"/>
          <w:szCs w:val="24"/>
          <w:highlight w:val="none"/>
          <w:lang w:bidi="ar"/>
        </w:rPr>
        <w:t>所垫付的民工工资2倍向发包人支付违约金。</w:t>
      </w:r>
    </w:p>
    <w:p w14:paraId="389051A6">
      <w:pPr>
        <w:pStyle w:val="36"/>
        <w:wordWrap w:val="0"/>
        <w:adjustRightInd w:val="0"/>
        <w:snapToGrid w:val="0"/>
        <w:spacing w:line="360" w:lineRule="auto"/>
        <w:ind w:firstLine="560"/>
        <w:rPr>
          <w:rFonts w:hint="eastAsia" w:ascii="宋体" w:hAnsi="宋体" w:eastAsia="宋体" w:cs="宋体"/>
          <w:color w:val="auto"/>
          <w:sz w:val="24"/>
          <w:szCs w:val="24"/>
          <w:highlight w:val="none"/>
          <w:lang w:bidi="ar"/>
        </w:rPr>
      </w:pPr>
      <w:r>
        <w:rPr>
          <w:rFonts w:hint="eastAsia" w:ascii="宋体" w:hAnsi="宋体" w:eastAsia="宋体" w:cs="宋体"/>
          <w:b/>
          <w:bCs/>
          <w:color w:val="auto"/>
          <w:sz w:val="24"/>
          <w:szCs w:val="24"/>
          <w:highlight w:val="none"/>
          <w:lang w:bidi="ar"/>
        </w:rPr>
        <w:t>1</w:t>
      </w:r>
      <w:r>
        <w:rPr>
          <w:rFonts w:hint="eastAsia" w:ascii="宋体" w:hAnsi="宋体" w:eastAsia="宋体" w:cs="宋体"/>
          <w:b/>
          <w:bCs/>
          <w:color w:val="auto"/>
          <w:sz w:val="24"/>
          <w:szCs w:val="24"/>
          <w:highlight w:val="none"/>
          <w:lang w:val="en-US" w:eastAsia="zh-CN" w:bidi="ar"/>
        </w:rPr>
        <w:t>4</w:t>
      </w:r>
      <w:r>
        <w:rPr>
          <w:rFonts w:hint="eastAsia" w:ascii="宋体" w:hAnsi="宋体" w:eastAsia="宋体" w:cs="宋体"/>
          <w:b/>
          <w:bCs/>
          <w:color w:val="auto"/>
          <w:sz w:val="24"/>
          <w:szCs w:val="24"/>
          <w:highlight w:val="none"/>
          <w:lang w:bidi="ar"/>
        </w:rPr>
        <w:t>.1</w:t>
      </w:r>
      <w:r>
        <w:rPr>
          <w:rFonts w:hint="eastAsia" w:ascii="宋体" w:hAnsi="宋体" w:eastAsia="宋体" w:cs="宋体"/>
          <w:b/>
          <w:bCs/>
          <w:color w:val="auto"/>
          <w:sz w:val="24"/>
          <w:szCs w:val="24"/>
          <w:highlight w:val="none"/>
          <w:lang w:val="en-US" w:eastAsia="zh-CN" w:bidi="ar"/>
        </w:rPr>
        <w:t>5</w:t>
      </w:r>
      <w:r>
        <w:rPr>
          <w:rFonts w:hint="eastAsia" w:ascii="宋体" w:hAnsi="宋体" w:eastAsia="宋体" w:cs="宋体"/>
          <w:color w:val="auto"/>
          <w:sz w:val="24"/>
          <w:szCs w:val="24"/>
          <w:highlight w:val="none"/>
          <w:lang w:bidi="ar"/>
        </w:rPr>
        <w:t>中标人应当确保施工扬尘污染防治措施费用和用工实名管理费用专款专用，在财务管理中单独列出施工扬尘污染防治措施费用和用工实名管理费用使用清单报招标人备案核查。</w:t>
      </w:r>
    </w:p>
    <w:p w14:paraId="1133FBF0">
      <w:pPr>
        <w:pStyle w:val="36"/>
        <w:wordWrap w:val="0"/>
        <w:adjustRightInd w:val="0"/>
        <w:snapToGrid w:val="0"/>
        <w:spacing w:line="360" w:lineRule="auto"/>
        <w:ind w:firstLine="560"/>
        <w:rPr>
          <w:rFonts w:hint="eastAsia" w:ascii="宋体" w:hAnsi="宋体" w:eastAsia="宋体" w:cs="宋体"/>
          <w:color w:val="auto"/>
          <w:sz w:val="24"/>
          <w:szCs w:val="24"/>
          <w:highlight w:val="none"/>
          <w:lang w:bidi="ar"/>
        </w:rPr>
      </w:pPr>
      <w:r>
        <w:rPr>
          <w:rFonts w:hint="eastAsia" w:ascii="宋体" w:hAnsi="宋体" w:eastAsia="宋体" w:cs="宋体"/>
          <w:b/>
          <w:bCs/>
          <w:color w:val="auto"/>
          <w:sz w:val="24"/>
          <w:szCs w:val="24"/>
          <w:highlight w:val="none"/>
          <w:lang w:bidi="ar"/>
        </w:rPr>
        <w:t>1</w:t>
      </w:r>
      <w:r>
        <w:rPr>
          <w:rFonts w:hint="eastAsia" w:ascii="宋体" w:hAnsi="宋体" w:eastAsia="宋体" w:cs="宋体"/>
          <w:b/>
          <w:bCs/>
          <w:color w:val="auto"/>
          <w:sz w:val="24"/>
          <w:szCs w:val="24"/>
          <w:highlight w:val="none"/>
          <w:lang w:val="en-US" w:eastAsia="zh-CN" w:bidi="ar"/>
        </w:rPr>
        <w:t>4</w:t>
      </w:r>
      <w:r>
        <w:rPr>
          <w:rFonts w:hint="eastAsia" w:ascii="宋体" w:hAnsi="宋体" w:eastAsia="宋体" w:cs="宋体"/>
          <w:b/>
          <w:bCs/>
          <w:color w:val="auto"/>
          <w:sz w:val="24"/>
          <w:szCs w:val="24"/>
          <w:highlight w:val="none"/>
          <w:lang w:bidi="ar"/>
        </w:rPr>
        <w:t>.1</w:t>
      </w:r>
      <w:r>
        <w:rPr>
          <w:rFonts w:hint="eastAsia" w:ascii="宋体" w:hAnsi="宋体" w:eastAsia="宋体" w:cs="宋体"/>
          <w:b/>
          <w:bCs/>
          <w:color w:val="auto"/>
          <w:sz w:val="24"/>
          <w:szCs w:val="24"/>
          <w:highlight w:val="none"/>
          <w:lang w:val="en-US" w:eastAsia="zh-CN" w:bidi="ar"/>
        </w:rPr>
        <w:t>6</w:t>
      </w:r>
      <w:r>
        <w:rPr>
          <w:rFonts w:hint="eastAsia" w:ascii="宋体" w:hAnsi="宋体" w:eastAsia="宋体" w:cs="宋体"/>
          <w:color w:val="auto"/>
          <w:sz w:val="24"/>
          <w:szCs w:val="24"/>
          <w:highlight w:val="none"/>
          <w:lang w:bidi="ar"/>
        </w:rPr>
        <w:t>中标人需按相关规定要求，设置本工程符合相关要求的永久性标牌及规划公示牌，投标人在投标报价时综合考虑在报价内，招标人不另行支付该部分费用。</w:t>
      </w:r>
    </w:p>
    <w:p w14:paraId="31483E7B">
      <w:pPr>
        <w:pStyle w:val="36"/>
        <w:wordWrap w:val="0"/>
        <w:adjustRightInd w:val="0"/>
        <w:snapToGrid w:val="0"/>
        <w:spacing w:line="360" w:lineRule="auto"/>
        <w:ind w:firstLine="560"/>
        <w:rPr>
          <w:rFonts w:hint="eastAsia" w:ascii="宋体" w:hAnsi="宋体" w:eastAsia="宋体" w:cs="宋体"/>
          <w:color w:val="auto"/>
          <w:sz w:val="24"/>
          <w:szCs w:val="24"/>
          <w:highlight w:val="none"/>
          <w:lang w:bidi="ar"/>
        </w:rPr>
      </w:pPr>
      <w:r>
        <w:rPr>
          <w:rFonts w:hint="eastAsia" w:ascii="宋体" w:hAnsi="宋体" w:eastAsia="宋体" w:cs="宋体"/>
          <w:b/>
          <w:bCs/>
          <w:color w:val="auto"/>
          <w:sz w:val="24"/>
          <w:szCs w:val="24"/>
          <w:highlight w:val="none"/>
          <w:lang w:bidi="ar"/>
        </w:rPr>
        <w:t>1</w:t>
      </w:r>
      <w:r>
        <w:rPr>
          <w:rFonts w:hint="eastAsia" w:ascii="宋体" w:hAnsi="宋体" w:eastAsia="宋体" w:cs="宋体"/>
          <w:b/>
          <w:bCs/>
          <w:color w:val="auto"/>
          <w:sz w:val="24"/>
          <w:szCs w:val="24"/>
          <w:highlight w:val="none"/>
          <w:lang w:val="en-US" w:eastAsia="zh-CN" w:bidi="ar"/>
        </w:rPr>
        <w:t>4</w:t>
      </w:r>
      <w:r>
        <w:rPr>
          <w:rFonts w:hint="eastAsia" w:ascii="宋体" w:hAnsi="宋体" w:eastAsia="宋体" w:cs="宋体"/>
          <w:b/>
          <w:bCs/>
          <w:color w:val="auto"/>
          <w:sz w:val="24"/>
          <w:szCs w:val="24"/>
          <w:highlight w:val="none"/>
          <w:lang w:bidi="ar"/>
        </w:rPr>
        <w:t>.</w:t>
      </w:r>
      <w:r>
        <w:rPr>
          <w:rFonts w:hint="eastAsia" w:ascii="宋体" w:hAnsi="宋体" w:eastAsia="宋体" w:cs="宋体"/>
          <w:b/>
          <w:bCs/>
          <w:color w:val="auto"/>
          <w:sz w:val="24"/>
          <w:szCs w:val="24"/>
          <w:highlight w:val="none"/>
          <w:lang w:val="en-US" w:eastAsia="zh-CN" w:bidi="ar"/>
        </w:rPr>
        <w:t>17</w:t>
      </w:r>
      <w:r>
        <w:rPr>
          <w:rFonts w:hint="eastAsia" w:ascii="宋体" w:hAnsi="宋体" w:eastAsia="宋体" w:cs="宋体"/>
          <w:color w:val="auto"/>
          <w:sz w:val="24"/>
          <w:szCs w:val="24"/>
          <w:highlight w:val="none"/>
          <w:lang w:bidi="ar"/>
        </w:rPr>
        <w:t xml:space="preserve"> 中标人须为招标人、监理、全过程造价咨询单位提供现场办公管理的便利。按工程需要配置办公室、会议室、监理休息室及办公家具、生活设施，配备满足工程监理工作需要的办公设备（电脑、打印机、复印机、传真机、办公用品等）。中标人不得以任何理由提出任何费用及补偿要求。</w:t>
      </w:r>
    </w:p>
    <w:p w14:paraId="4129B0D5">
      <w:pPr>
        <w:pStyle w:val="36"/>
        <w:wordWrap w:val="0"/>
        <w:adjustRightInd w:val="0"/>
        <w:snapToGrid w:val="0"/>
        <w:spacing w:line="360" w:lineRule="auto"/>
        <w:ind w:firstLine="560"/>
        <w:rPr>
          <w:rFonts w:hint="eastAsia" w:ascii="宋体" w:hAnsi="宋体" w:eastAsia="宋体" w:cs="宋体"/>
          <w:color w:val="auto"/>
          <w:sz w:val="24"/>
          <w:szCs w:val="24"/>
          <w:highlight w:val="none"/>
          <w:lang w:bidi="ar"/>
        </w:rPr>
      </w:pPr>
      <w:r>
        <w:rPr>
          <w:rFonts w:hint="eastAsia" w:ascii="宋体" w:hAnsi="宋体" w:eastAsia="宋体" w:cs="宋体"/>
          <w:b/>
          <w:bCs/>
          <w:color w:val="auto"/>
          <w:sz w:val="24"/>
          <w:szCs w:val="24"/>
          <w:highlight w:val="none"/>
          <w:lang w:bidi="ar"/>
        </w:rPr>
        <w:t>1</w:t>
      </w:r>
      <w:r>
        <w:rPr>
          <w:rFonts w:hint="eastAsia" w:ascii="宋体" w:hAnsi="宋体" w:eastAsia="宋体" w:cs="宋体"/>
          <w:b/>
          <w:bCs/>
          <w:color w:val="auto"/>
          <w:sz w:val="24"/>
          <w:szCs w:val="24"/>
          <w:highlight w:val="none"/>
          <w:lang w:val="en-US" w:eastAsia="zh-CN" w:bidi="ar"/>
        </w:rPr>
        <w:t>4</w:t>
      </w:r>
      <w:r>
        <w:rPr>
          <w:rFonts w:hint="eastAsia" w:ascii="宋体" w:hAnsi="宋体" w:eastAsia="宋体" w:cs="宋体"/>
          <w:color w:val="auto"/>
          <w:sz w:val="24"/>
          <w:szCs w:val="24"/>
          <w:highlight w:val="none"/>
          <w:lang w:bidi="ar"/>
        </w:rPr>
        <w:t>.</w:t>
      </w:r>
      <w:r>
        <w:rPr>
          <w:rFonts w:hint="eastAsia" w:ascii="宋体" w:hAnsi="宋体" w:eastAsia="宋体" w:cs="宋体"/>
          <w:b/>
          <w:bCs/>
          <w:color w:val="auto"/>
          <w:sz w:val="24"/>
          <w:szCs w:val="24"/>
          <w:highlight w:val="none"/>
          <w:lang w:val="en-US" w:eastAsia="zh-CN" w:bidi="ar"/>
        </w:rPr>
        <w:t xml:space="preserve">18 </w:t>
      </w:r>
      <w:r>
        <w:rPr>
          <w:rFonts w:hint="eastAsia" w:ascii="宋体" w:hAnsi="宋体" w:eastAsia="宋体" w:cs="宋体"/>
          <w:color w:val="auto"/>
          <w:sz w:val="24"/>
          <w:szCs w:val="24"/>
          <w:highlight w:val="none"/>
          <w:lang w:bidi="ar"/>
        </w:rPr>
        <w:t>中标人需在签订合同后5个工作日内向招标人免费提交投标文件副本</w:t>
      </w:r>
      <w:r>
        <w:rPr>
          <w:rFonts w:hint="eastAsia" w:ascii="宋体" w:hAnsi="宋体" w:eastAsia="宋体" w:cs="宋体"/>
          <w:color w:val="auto"/>
          <w:sz w:val="24"/>
          <w:szCs w:val="24"/>
          <w:highlight w:val="none"/>
          <w:lang w:eastAsia="zh-CN" w:bidi="ar"/>
        </w:rPr>
        <w:t>五</w:t>
      </w:r>
      <w:r>
        <w:rPr>
          <w:rFonts w:hint="eastAsia" w:ascii="宋体" w:hAnsi="宋体" w:eastAsia="宋体" w:cs="宋体"/>
          <w:color w:val="auto"/>
          <w:sz w:val="24"/>
          <w:szCs w:val="24"/>
          <w:highlight w:val="none"/>
          <w:lang w:bidi="ar"/>
        </w:rPr>
        <w:t>份。</w:t>
      </w:r>
    </w:p>
    <w:p w14:paraId="1F0C48C8">
      <w:pPr>
        <w:pStyle w:val="36"/>
        <w:wordWrap w:val="0"/>
        <w:adjustRightInd w:val="0"/>
        <w:snapToGrid w:val="0"/>
        <w:spacing w:line="360" w:lineRule="auto"/>
        <w:ind w:firstLine="560"/>
        <w:rPr>
          <w:rFonts w:hint="eastAsia" w:ascii="宋体" w:hAnsi="宋体" w:eastAsia="宋体" w:cs="宋体"/>
          <w:color w:val="auto"/>
          <w:sz w:val="24"/>
          <w:szCs w:val="24"/>
          <w:highlight w:val="none"/>
          <w:lang w:bidi="ar"/>
        </w:rPr>
      </w:pPr>
      <w:r>
        <w:rPr>
          <w:rFonts w:hint="eastAsia" w:ascii="宋体" w:hAnsi="宋体" w:eastAsia="宋体" w:cs="宋体"/>
          <w:b/>
          <w:bCs/>
          <w:color w:val="auto"/>
          <w:sz w:val="24"/>
          <w:szCs w:val="24"/>
          <w:highlight w:val="none"/>
          <w:lang w:bidi="ar"/>
        </w:rPr>
        <w:t>1</w:t>
      </w:r>
      <w:r>
        <w:rPr>
          <w:rFonts w:hint="eastAsia" w:ascii="宋体" w:hAnsi="宋体" w:eastAsia="宋体" w:cs="宋体"/>
          <w:b/>
          <w:bCs/>
          <w:color w:val="auto"/>
          <w:sz w:val="24"/>
          <w:szCs w:val="24"/>
          <w:highlight w:val="none"/>
          <w:lang w:val="en-US" w:eastAsia="zh-CN" w:bidi="ar"/>
        </w:rPr>
        <w:t>4</w:t>
      </w:r>
      <w:r>
        <w:rPr>
          <w:rFonts w:hint="eastAsia" w:ascii="宋体" w:hAnsi="宋体" w:eastAsia="宋体" w:cs="宋体"/>
          <w:color w:val="auto"/>
          <w:sz w:val="24"/>
          <w:szCs w:val="24"/>
          <w:highlight w:val="none"/>
          <w:lang w:bidi="ar"/>
        </w:rPr>
        <w:t>.</w:t>
      </w:r>
      <w:r>
        <w:rPr>
          <w:rFonts w:hint="eastAsia" w:ascii="宋体" w:hAnsi="宋体" w:eastAsia="宋体" w:cs="宋体"/>
          <w:b/>
          <w:bCs/>
          <w:color w:val="auto"/>
          <w:sz w:val="24"/>
          <w:szCs w:val="24"/>
          <w:highlight w:val="none"/>
          <w:lang w:val="en-US" w:eastAsia="zh-CN" w:bidi="ar"/>
        </w:rPr>
        <w:t>19</w:t>
      </w:r>
      <w:r>
        <w:rPr>
          <w:rFonts w:hint="eastAsia" w:ascii="宋体" w:hAnsi="宋体" w:eastAsia="宋体" w:cs="宋体"/>
          <w:color w:val="auto"/>
          <w:sz w:val="24"/>
          <w:szCs w:val="24"/>
          <w:highlight w:val="none"/>
          <w:lang w:bidi="ar"/>
        </w:rPr>
        <w:t xml:space="preserve"> 中标人中标后招标人将对项目经理、法人代表或其授权委托人进行廉政谈话。</w:t>
      </w:r>
    </w:p>
    <w:p w14:paraId="45E89133">
      <w:pPr>
        <w:pStyle w:val="36"/>
        <w:wordWrap w:val="0"/>
        <w:adjustRightInd w:val="0"/>
        <w:snapToGrid w:val="0"/>
        <w:spacing w:line="360" w:lineRule="auto"/>
        <w:ind w:firstLine="560"/>
        <w:rPr>
          <w:rFonts w:hint="eastAsia" w:ascii="宋体" w:hAnsi="宋体" w:eastAsia="宋体" w:cs="宋体"/>
          <w:color w:val="auto"/>
          <w:sz w:val="24"/>
          <w:szCs w:val="24"/>
          <w:highlight w:val="none"/>
          <w:lang w:bidi="ar"/>
        </w:rPr>
      </w:pPr>
      <w:r>
        <w:rPr>
          <w:rFonts w:hint="eastAsia" w:ascii="宋体" w:hAnsi="宋体" w:eastAsia="宋体" w:cs="宋体"/>
          <w:b/>
          <w:bCs/>
          <w:color w:val="auto"/>
          <w:sz w:val="24"/>
          <w:szCs w:val="24"/>
          <w:highlight w:val="none"/>
          <w:lang w:bidi="ar"/>
        </w:rPr>
        <w:t>1</w:t>
      </w:r>
      <w:r>
        <w:rPr>
          <w:rFonts w:hint="eastAsia" w:ascii="宋体" w:hAnsi="宋体" w:eastAsia="宋体" w:cs="宋体"/>
          <w:b/>
          <w:bCs/>
          <w:color w:val="auto"/>
          <w:sz w:val="24"/>
          <w:szCs w:val="24"/>
          <w:highlight w:val="none"/>
          <w:lang w:val="en-US" w:eastAsia="zh-CN" w:bidi="ar"/>
        </w:rPr>
        <w:t>4</w:t>
      </w:r>
      <w:r>
        <w:rPr>
          <w:rFonts w:hint="eastAsia" w:ascii="宋体" w:hAnsi="宋体" w:eastAsia="宋体" w:cs="宋体"/>
          <w:color w:val="auto"/>
          <w:sz w:val="24"/>
          <w:szCs w:val="24"/>
          <w:highlight w:val="none"/>
          <w:lang w:bidi="ar"/>
        </w:rPr>
        <w:t>.</w:t>
      </w:r>
      <w:r>
        <w:rPr>
          <w:rFonts w:hint="eastAsia" w:ascii="宋体" w:hAnsi="宋体" w:eastAsia="宋体" w:cs="宋体"/>
          <w:b/>
          <w:bCs/>
          <w:color w:val="auto"/>
          <w:sz w:val="24"/>
          <w:szCs w:val="24"/>
          <w:highlight w:val="none"/>
          <w:lang w:val="en-US" w:eastAsia="zh-CN" w:bidi="ar"/>
        </w:rPr>
        <w:t xml:space="preserve">20 </w:t>
      </w:r>
      <w:r>
        <w:rPr>
          <w:rFonts w:hint="eastAsia" w:ascii="宋体" w:hAnsi="宋体" w:eastAsia="宋体" w:cs="宋体"/>
          <w:color w:val="auto"/>
          <w:sz w:val="24"/>
          <w:szCs w:val="24"/>
          <w:highlight w:val="none"/>
          <w:lang w:bidi="ar"/>
        </w:rPr>
        <w:t>中标人应已详细了解本项目的前期工作，同时也应已勘察施工现场、周围环境、地形、地貌、水文、交通等情况。中标人投标报价应已充分考虑在施工中由于招标人原因造成停工或工期延误等因素所产生的相关费用，招标人不予另计费；中标人不得以不完全了解项目的前期工作及现场情况为理由，提出因外界因素造成停工或工期延误的额外付款要求；对此类要求，招标人不作任何考虑及答复。</w:t>
      </w:r>
    </w:p>
    <w:p w14:paraId="3049589D">
      <w:pPr>
        <w:pStyle w:val="36"/>
        <w:wordWrap w:val="0"/>
        <w:adjustRightInd w:val="0"/>
        <w:snapToGrid w:val="0"/>
        <w:spacing w:line="360" w:lineRule="auto"/>
        <w:ind w:firstLine="560"/>
        <w:rPr>
          <w:rFonts w:hint="eastAsia" w:ascii="宋体" w:hAnsi="宋体" w:eastAsia="宋体" w:cs="宋体"/>
          <w:color w:val="auto"/>
          <w:sz w:val="24"/>
          <w:szCs w:val="24"/>
          <w:highlight w:val="none"/>
          <w:lang w:bidi="ar"/>
        </w:rPr>
      </w:pPr>
      <w:r>
        <w:rPr>
          <w:rFonts w:hint="eastAsia" w:ascii="宋体" w:hAnsi="宋体" w:eastAsia="宋体" w:cs="宋体"/>
          <w:b/>
          <w:bCs/>
          <w:color w:val="auto"/>
          <w:sz w:val="24"/>
          <w:szCs w:val="24"/>
          <w:highlight w:val="none"/>
          <w:lang w:val="en-US" w:eastAsia="zh-CN" w:bidi="ar"/>
        </w:rPr>
        <w:t>14.21</w:t>
      </w:r>
      <w:r>
        <w:rPr>
          <w:rFonts w:hint="eastAsia" w:ascii="宋体" w:hAnsi="宋体" w:eastAsia="宋体" w:cs="宋体"/>
          <w:color w:val="auto"/>
          <w:sz w:val="24"/>
          <w:szCs w:val="24"/>
          <w:highlight w:val="none"/>
          <w:lang w:val="en-US" w:eastAsia="zh-CN" w:bidi="ar"/>
        </w:rPr>
        <w:t xml:space="preserve"> </w:t>
      </w:r>
      <w:r>
        <w:rPr>
          <w:rFonts w:hint="eastAsia" w:ascii="宋体" w:hAnsi="宋体" w:eastAsia="宋体" w:cs="宋体"/>
          <w:color w:val="auto"/>
          <w:sz w:val="24"/>
          <w:szCs w:val="24"/>
          <w:highlight w:val="none"/>
          <w:lang w:bidi="ar"/>
        </w:rPr>
        <w:t>如因招标人原因（自然灾害等不可抗力因素除外），工程不能按期开工，或开工后全部停滞，工期按相关规定予以顺延。停工发生后，若可复工时，中标人应在收到招标人发出的复工通知书后3日内开始复工。</w:t>
      </w:r>
    </w:p>
    <w:p w14:paraId="3D2E5DF8">
      <w:pPr>
        <w:pStyle w:val="36"/>
        <w:wordWrap w:val="0"/>
        <w:adjustRightInd w:val="0"/>
        <w:snapToGrid w:val="0"/>
        <w:spacing w:line="360" w:lineRule="auto"/>
        <w:ind w:firstLine="560"/>
        <w:rPr>
          <w:rFonts w:hint="eastAsia" w:ascii="宋体" w:hAnsi="宋体" w:eastAsia="宋体" w:cs="宋体"/>
          <w:color w:val="auto"/>
          <w:sz w:val="24"/>
          <w:szCs w:val="24"/>
          <w:highlight w:val="none"/>
          <w:lang w:bidi="ar"/>
        </w:rPr>
      </w:pPr>
      <w:r>
        <w:rPr>
          <w:rFonts w:hint="eastAsia" w:ascii="宋体" w:hAnsi="宋体" w:eastAsia="宋体" w:cs="宋体"/>
          <w:b/>
          <w:bCs/>
          <w:color w:val="auto"/>
          <w:sz w:val="24"/>
          <w:szCs w:val="24"/>
          <w:highlight w:val="none"/>
          <w:lang w:val="en-US" w:eastAsia="zh-CN" w:bidi="ar"/>
        </w:rPr>
        <w:t>14.</w:t>
      </w:r>
      <w:r>
        <w:rPr>
          <w:rFonts w:hint="eastAsia" w:ascii="宋体" w:hAnsi="宋体" w:eastAsia="宋体" w:cs="宋体"/>
          <w:b/>
          <w:bCs/>
          <w:color w:val="auto"/>
          <w:sz w:val="24"/>
          <w:szCs w:val="24"/>
          <w:highlight w:val="none"/>
          <w:lang w:bidi="ar"/>
        </w:rPr>
        <w:t>2</w:t>
      </w:r>
      <w:r>
        <w:rPr>
          <w:rFonts w:hint="eastAsia" w:ascii="宋体" w:hAnsi="宋体" w:eastAsia="宋体" w:cs="宋体"/>
          <w:b/>
          <w:bCs/>
          <w:color w:val="auto"/>
          <w:sz w:val="24"/>
          <w:szCs w:val="24"/>
          <w:highlight w:val="none"/>
          <w:lang w:val="en-US" w:eastAsia="zh-CN" w:bidi="ar"/>
        </w:rPr>
        <w:t>2</w:t>
      </w:r>
      <w:r>
        <w:rPr>
          <w:rFonts w:hint="eastAsia" w:ascii="宋体" w:hAnsi="宋体" w:eastAsia="宋体" w:cs="宋体"/>
          <w:color w:val="auto"/>
          <w:sz w:val="24"/>
          <w:szCs w:val="24"/>
          <w:highlight w:val="none"/>
          <w:lang w:val="en-US" w:eastAsia="zh-CN" w:bidi="ar"/>
        </w:rPr>
        <w:t xml:space="preserve"> </w:t>
      </w:r>
      <w:r>
        <w:rPr>
          <w:rFonts w:hint="eastAsia" w:ascii="宋体" w:hAnsi="宋体" w:eastAsia="宋体" w:cs="宋体"/>
          <w:color w:val="auto"/>
          <w:sz w:val="24"/>
          <w:szCs w:val="24"/>
          <w:highlight w:val="none"/>
          <w:lang w:bidi="ar"/>
        </w:rPr>
        <w:t>中标人须为招标人提供现场管理的交通便利（开工至质保期满）。中标人不得以任何理由提出任何费用及补偿要求。</w:t>
      </w:r>
    </w:p>
    <w:p w14:paraId="0823A903">
      <w:pPr>
        <w:pStyle w:val="36"/>
        <w:wordWrap w:val="0"/>
        <w:adjustRightInd w:val="0"/>
        <w:snapToGrid w:val="0"/>
        <w:spacing w:line="360" w:lineRule="auto"/>
        <w:ind w:firstLine="560"/>
        <w:rPr>
          <w:rFonts w:hint="eastAsia" w:ascii="宋体" w:hAnsi="宋体" w:eastAsia="宋体" w:cs="宋体"/>
          <w:color w:val="auto"/>
          <w:sz w:val="24"/>
          <w:szCs w:val="24"/>
          <w:highlight w:val="none"/>
          <w:lang w:bidi="ar"/>
        </w:rPr>
      </w:pPr>
      <w:r>
        <w:rPr>
          <w:rFonts w:hint="eastAsia" w:ascii="宋体" w:hAnsi="宋体" w:eastAsia="宋体" w:cs="宋体"/>
          <w:b/>
          <w:bCs/>
          <w:color w:val="auto"/>
          <w:sz w:val="24"/>
          <w:szCs w:val="24"/>
          <w:highlight w:val="none"/>
          <w:lang w:bidi="ar"/>
        </w:rPr>
        <w:t>1</w:t>
      </w:r>
      <w:r>
        <w:rPr>
          <w:rFonts w:hint="eastAsia" w:ascii="宋体" w:hAnsi="宋体" w:eastAsia="宋体" w:cs="宋体"/>
          <w:b/>
          <w:bCs/>
          <w:color w:val="auto"/>
          <w:sz w:val="24"/>
          <w:szCs w:val="24"/>
          <w:highlight w:val="none"/>
          <w:lang w:val="en-US" w:eastAsia="zh-CN" w:bidi="ar"/>
        </w:rPr>
        <w:t>4</w:t>
      </w:r>
      <w:r>
        <w:rPr>
          <w:rFonts w:hint="eastAsia" w:ascii="宋体" w:hAnsi="宋体" w:eastAsia="宋体" w:cs="宋体"/>
          <w:b/>
          <w:bCs/>
          <w:color w:val="auto"/>
          <w:sz w:val="24"/>
          <w:szCs w:val="24"/>
          <w:highlight w:val="none"/>
          <w:lang w:bidi="ar"/>
        </w:rPr>
        <w:t>.2</w:t>
      </w:r>
      <w:r>
        <w:rPr>
          <w:rFonts w:hint="eastAsia" w:ascii="宋体" w:hAnsi="宋体" w:eastAsia="宋体" w:cs="宋体"/>
          <w:b/>
          <w:bCs/>
          <w:color w:val="auto"/>
          <w:sz w:val="24"/>
          <w:szCs w:val="24"/>
          <w:highlight w:val="none"/>
          <w:lang w:val="en-US" w:eastAsia="zh-CN" w:bidi="ar"/>
        </w:rPr>
        <w:t>3</w:t>
      </w:r>
      <w:r>
        <w:rPr>
          <w:rFonts w:hint="eastAsia" w:ascii="宋体" w:hAnsi="宋体" w:eastAsia="宋体" w:cs="宋体"/>
          <w:color w:val="auto"/>
          <w:sz w:val="24"/>
          <w:szCs w:val="24"/>
          <w:highlight w:val="none"/>
          <w:lang w:val="en-US" w:eastAsia="zh-CN" w:bidi="ar"/>
        </w:rPr>
        <w:t xml:space="preserve"> </w:t>
      </w:r>
      <w:r>
        <w:rPr>
          <w:rFonts w:hint="eastAsia" w:ascii="宋体" w:hAnsi="宋体" w:eastAsia="宋体" w:cs="宋体"/>
          <w:color w:val="auto"/>
          <w:sz w:val="24"/>
          <w:szCs w:val="24"/>
          <w:highlight w:val="none"/>
          <w:lang w:bidi="ar"/>
        </w:rPr>
        <w:t>中标人必须做好施工场地地下地上管线和邻近建筑物、构筑物（包括文物保护建筑）、名树名木（如有）的保护工作。</w:t>
      </w:r>
    </w:p>
    <w:p w14:paraId="1063DD06">
      <w:pPr>
        <w:pStyle w:val="36"/>
        <w:wordWrap w:val="0"/>
        <w:adjustRightInd w:val="0"/>
        <w:snapToGrid w:val="0"/>
        <w:spacing w:line="360" w:lineRule="auto"/>
        <w:ind w:firstLine="560"/>
        <w:rPr>
          <w:rFonts w:hint="eastAsia" w:ascii="宋体" w:hAnsi="宋体" w:eastAsia="宋体" w:cs="宋体"/>
          <w:color w:val="auto"/>
          <w:sz w:val="24"/>
          <w:szCs w:val="24"/>
          <w:highlight w:val="none"/>
          <w:lang w:bidi="ar"/>
        </w:rPr>
      </w:pPr>
      <w:r>
        <w:rPr>
          <w:rFonts w:hint="eastAsia" w:ascii="宋体" w:hAnsi="宋体" w:eastAsia="宋体" w:cs="宋体"/>
          <w:b/>
          <w:bCs/>
          <w:color w:val="auto"/>
          <w:sz w:val="24"/>
          <w:szCs w:val="24"/>
          <w:highlight w:val="none"/>
          <w:lang w:bidi="ar"/>
        </w:rPr>
        <w:t>1</w:t>
      </w:r>
      <w:r>
        <w:rPr>
          <w:rFonts w:hint="eastAsia" w:ascii="宋体" w:hAnsi="宋体" w:eastAsia="宋体" w:cs="宋体"/>
          <w:b/>
          <w:bCs/>
          <w:color w:val="auto"/>
          <w:sz w:val="24"/>
          <w:szCs w:val="24"/>
          <w:highlight w:val="none"/>
          <w:lang w:val="en-US" w:eastAsia="zh-CN" w:bidi="ar"/>
        </w:rPr>
        <w:t>4</w:t>
      </w:r>
      <w:r>
        <w:rPr>
          <w:rFonts w:hint="eastAsia" w:ascii="宋体" w:hAnsi="宋体" w:eastAsia="宋体" w:cs="宋体"/>
          <w:b/>
          <w:bCs/>
          <w:color w:val="auto"/>
          <w:sz w:val="24"/>
          <w:szCs w:val="24"/>
          <w:highlight w:val="none"/>
          <w:lang w:bidi="ar"/>
        </w:rPr>
        <w:t>.2</w:t>
      </w:r>
      <w:r>
        <w:rPr>
          <w:rFonts w:hint="eastAsia" w:ascii="宋体" w:hAnsi="宋体" w:eastAsia="宋体" w:cs="宋体"/>
          <w:b/>
          <w:bCs/>
          <w:color w:val="auto"/>
          <w:sz w:val="24"/>
          <w:szCs w:val="24"/>
          <w:highlight w:val="none"/>
          <w:lang w:val="en-US" w:eastAsia="zh-CN" w:bidi="ar"/>
        </w:rPr>
        <w:t>4</w:t>
      </w:r>
      <w:r>
        <w:rPr>
          <w:rFonts w:hint="eastAsia" w:ascii="宋体" w:hAnsi="宋体" w:eastAsia="宋体" w:cs="宋体"/>
          <w:color w:val="auto"/>
          <w:sz w:val="24"/>
          <w:szCs w:val="24"/>
          <w:highlight w:val="none"/>
          <w:lang w:bidi="ar"/>
        </w:rPr>
        <w:t>中标单位必须在中标通知书发出之日起一个月内完成现场临时设施（施工用水用电、围蔽、板房、洗车槽、相关公示牌等）施工，因中标人原因导致逾期的，逾期第壹天起每天按2000元作违约处理。</w:t>
      </w:r>
    </w:p>
    <w:p w14:paraId="7D7FFC4E">
      <w:pPr>
        <w:pStyle w:val="36"/>
        <w:wordWrap w:val="0"/>
        <w:adjustRightInd w:val="0"/>
        <w:snapToGrid w:val="0"/>
        <w:spacing w:line="360" w:lineRule="auto"/>
        <w:ind w:firstLine="560"/>
        <w:rPr>
          <w:rFonts w:hint="eastAsia" w:ascii="宋体" w:hAnsi="宋体" w:eastAsia="宋体" w:cs="宋体"/>
          <w:color w:val="auto"/>
          <w:sz w:val="24"/>
          <w:szCs w:val="24"/>
          <w:highlight w:val="none"/>
          <w:lang w:bidi="ar"/>
        </w:rPr>
      </w:pPr>
      <w:r>
        <w:rPr>
          <w:rFonts w:hint="eastAsia" w:ascii="宋体" w:hAnsi="宋体" w:eastAsia="宋体" w:cs="宋体"/>
          <w:b/>
          <w:bCs/>
          <w:color w:val="auto"/>
          <w:sz w:val="24"/>
          <w:szCs w:val="24"/>
          <w:highlight w:val="none"/>
          <w:lang w:bidi="ar"/>
        </w:rPr>
        <w:t>1</w:t>
      </w:r>
      <w:r>
        <w:rPr>
          <w:rFonts w:hint="eastAsia" w:ascii="宋体" w:hAnsi="宋体" w:eastAsia="宋体" w:cs="宋体"/>
          <w:b/>
          <w:bCs/>
          <w:color w:val="auto"/>
          <w:sz w:val="24"/>
          <w:szCs w:val="24"/>
          <w:highlight w:val="none"/>
          <w:lang w:val="en-US" w:eastAsia="zh-CN" w:bidi="ar"/>
        </w:rPr>
        <w:t>4</w:t>
      </w:r>
      <w:r>
        <w:rPr>
          <w:rFonts w:hint="eastAsia" w:ascii="宋体" w:hAnsi="宋体" w:eastAsia="宋体" w:cs="宋体"/>
          <w:b/>
          <w:bCs/>
          <w:color w:val="auto"/>
          <w:sz w:val="24"/>
          <w:szCs w:val="24"/>
          <w:highlight w:val="none"/>
          <w:lang w:bidi="ar"/>
        </w:rPr>
        <w:t>.2</w:t>
      </w:r>
      <w:r>
        <w:rPr>
          <w:rFonts w:hint="eastAsia" w:ascii="宋体" w:hAnsi="宋体" w:eastAsia="宋体" w:cs="宋体"/>
          <w:b/>
          <w:bCs/>
          <w:color w:val="auto"/>
          <w:sz w:val="24"/>
          <w:szCs w:val="24"/>
          <w:highlight w:val="none"/>
          <w:lang w:val="en-US" w:eastAsia="zh-CN" w:bidi="ar"/>
        </w:rPr>
        <w:t xml:space="preserve">5 </w:t>
      </w:r>
      <w:r>
        <w:rPr>
          <w:rFonts w:hint="eastAsia" w:ascii="宋体" w:hAnsi="宋体" w:eastAsia="宋体" w:cs="宋体"/>
          <w:color w:val="auto"/>
          <w:sz w:val="24"/>
          <w:szCs w:val="24"/>
          <w:highlight w:val="none"/>
          <w:lang w:bidi="ar"/>
        </w:rPr>
        <w:t>为保证施工现场的环境卫生，中标人在本工程施工过程中，所有的车辆必须按招标人规定的行车路线行驶。并负责施工现场及受施工影响周边道路的卫生。</w:t>
      </w:r>
    </w:p>
    <w:p w14:paraId="7B02C5C2">
      <w:pPr>
        <w:pStyle w:val="36"/>
        <w:wordWrap w:val="0"/>
        <w:adjustRightInd w:val="0"/>
        <w:snapToGrid w:val="0"/>
        <w:spacing w:line="360" w:lineRule="auto"/>
        <w:ind w:firstLine="560"/>
        <w:rPr>
          <w:rFonts w:hint="eastAsia" w:ascii="宋体" w:hAnsi="宋体" w:eastAsia="宋体" w:cs="宋体"/>
          <w:color w:val="auto"/>
          <w:sz w:val="24"/>
          <w:szCs w:val="24"/>
          <w:highlight w:val="none"/>
          <w:lang w:bidi="ar"/>
        </w:rPr>
      </w:pPr>
      <w:r>
        <w:rPr>
          <w:rFonts w:hint="eastAsia" w:ascii="宋体" w:hAnsi="宋体" w:eastAsia="宋体" w:cs="宋体"/>
          <w:b/>
          <w:bCs/>
          <w:color w:val="auto"/>
          <w:sz w:val="24"/>
          <w:szCs w:val="24"/>
          <w:highlight w:val="none"/>
          <w:lang w:bidi="ar"/>
        </w:rPr>
        <w:t>1</w:t>
      </w:r>
      <w:r>
        <w:rPr>
          <w:rFonts w:hint="eastAsia" w:ascii="宋体" w:hAnsi="宋体" w:eastAsia="宋体" w:cs="宋体"/>
          <w:b/>
          <w:bCs/>
          <w:color w:val="auto"/>
          <w:sz w:val="24"/>
          <w:szCs w:val="24"/>
          <w:highlight w:val="none"/>
          <w:lang w:val="en-US" w:eastAsia="zh-CN" w:bidi="ar"/>
        </w:rPr>
        <w:t>4</w:t>
      </w:r>
      <w:r>
        <w:rPr>
          <w:rFonts w:hint="eastAsia" w:ascii="宋体" w:hAnsi="宋体" w:eastAsia="宋体" w:cs="宋体"/>
          <w:b/>
          <w:bCs/>
          <w:color w:val="auto"/>
          <w:sz w:val="24"/>
          <w:szCs w:val="24"/>
          <w:highlight w:val="none"/>
          <w:lang w:bidi="ar"/>
        </w:rPr>
        <w:t>.</w:t>
      </w:r>
      <w:r>
        <w:rPr>
          <w:rFonts w:hint="eastAsia" w:ascii="宋体" w:hAnsi="宋体" w:eastAsia="宋体" w:cs="宋体"/>
          <w:b/>
          <w:bCs/>
          <w:color w:val="auto"/>
          <w:sz w:val="24"/>
          <w:szCs w:val="24"/>
          <w:highlight w:val="none"/>
          <w:lang w:val="en-US" w:eastAsia="zh-CN" w:bidi="ar"/>
        </w:rPr>
        <w:t>26</w:t>
      </w:r>
      <w:r>
        <w:rPr>
          <w:rFonts w:hint="eastAsia" w:ascii="宋体" w:hAnsi="宋体" w:eastAsia="宋体" w:cs="宋体"/>
          <w:color w:val="auto"/>
          <w:sz w:val="24"/>
          <w:szCs w:val="24"/>
          <w:highlight w:val="none"/>
          <w:lang w:val="en-US" w:eastAsia="zh-CN" w:bidi="ar"/>
        </w:rPr>
        <w:t xml:space="preserve"> </w:t>
      </w:r>
      <w:r>
        <w:rPr>
          <w:rFonts w:hint="eastAsia" w:ascii="宋体" w:hAnsi="宋体" w:eastAsia="宋体" w:cs="宋体"/>
          <w:color w:val="auto"/>
          <w:sz w:val="24"/>
          <w:szCs w:val="24"/>
          <w:highlight w:val="none"/>
          <w:lang w:bidi="ar"/>
        </w:rPr>
        <w:t>招标人有权根据本项目建设的实际情况调整建设规模或减少建设内容，如出现因特殊原因取消某子项目的建设，则该子项目未完成的工作内容及费用相应扣减，中标人应在投标报价中综合考虑该因素，中标后不得因此向招标人提出额外的费用补偿或索赔</w:t>
      </w: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bidi="ar"/>
        </w:rPr>
        <w:t>并且必须按调整后的规模及内容完成工程建设。</w:t>
      </w:r>
    </w:p>
    <w:p w14:paraId="52D8CB65">
      <w:pPr>
        <w:pStyle w:val="36"/>
        <w:wordWrap w:val="0"/>
        <w:adjustRightInd w:val="0"/>
        <w:snapToGrid w:val="0"/>
        <w:spacing w:line="360" w:lineRule="auto"/>
        <w:ind w:firstLine="560"/>
        <w:rPr>
          <w:rFonts w:hint="eastAsia" w:ascii="宋体" w:hAnsi="宋体" w:eastAsia="宋体" w:cs="宋体"/>
          <w:color w:val="auto"/>
          <w:sz w:val="24"/>
          <w:szCs w:val="24"/>
          <w:highlight w:val="none"/>
          <w:lang w:bidi="ar"/>
        </w:rPr>
      </w:pPr>
      <w:r>
        <w:rPr>
          <w:rFonts w:hint="eastAsia" w:ascii="宋体" w:hAnsi="宋体" w:eastAsia="宋体" w:cs="宋体"/>
          <w:b/>
          <w:bCs/>
          <w:color w:val="auto"/>
          <w:sz w:val="24"/>
          <w:szCs w:val="24"/>
          <w:highlight w:val="none"/>
          <w:lang w:bidi="ar"/>
        </w:rPr>
        <w:t>1</w:t>
      </w:r>
      <w:r>
        <w:rPr>
          <w:rFonts w:hint="eastAsia" w:ascii="宋体" w:hAnsi="宋体" w:eastAsia="宋体" w:cs="宋体"/>
          <w:b/>
          <w:bCs/>
          <w:color w:val="auto"/>
          <w:sz w:val="24"/>
          <w:szCs w:val="24"/>
          <w:highlight w:val="none"/>
          <w:lang w:val="en-US" w:eastAsia="zh-CN" w:bidi="ar"/>
        </w:rPr>
        <w:t>4</w:t>
      </w:r>
      <w:r>
        <w:rPr>
          <w:rFonts w:hint="eastAsia" w:ascii="宋体" w:hAnsi="宋体" w:eastAsia="宋体" w:cs="宋体"/>
          <w:b/>
          <w:bCs/>
          <w:color w:val="auto"/>
          <w:sz w:val="24"/>
          <w:szCs w:val="24"/>
          <w:highlight w:val="none"/>
          <w:lang w:bidi="ar"/>
        </w:rPr>
        <w:t>.</w:t>
      </w:r>
      <w:r>
        <w:rPr>
          <w:rFonts w:hint="eastAsia" w:ascii="宋体" w:hAnsi="宋体" w:eastAsia="宋体" w:cs="宋体"/>
          <w:b/>
          <w:bCs/>
          <w:color w:val="auto"/>
          <w:sz w:val="24"/>
          <w:szCs w:val="24"/>
          <w:highlight w:val="none"/>
          <w:lang w:val="en-US" w:eastAsia="zh-CN" w:bidi="ar"/>
        </w:rPr>
        <w:t xml:space="preserve">27 </w:t>
      </w:r>
      <w:r>
        <w:rPr>
          <w:rFonts w:hint="eastAsia" w:ascii="宋体" w:hAnsi="宋体" w:eastAsia="宋体" w:cs="宋体"/>
          <w:color w:val="auto"/>
          <w:sz w:val="24"/>
          <w:szCs w:val="24"/>
          <w:highlight w:val="none"/>
          <w:lang w:bidi="ar"/>
        </w:rPr>
        <w:t>中标人在施工过程中应及时发现现场缺项漏项变更签证等影响造价的事项，应及时跟招标人报告（书面、微信等），</w:t>
      </w:r>
      <w:r>
        <w:rPr>
          <w:rFonts w:hint="eastAsia" w:ascii="宋体" w:hAnsi="宋体" w:eastAsia="宋体" w:cs="宋体"/>
          <w:color w:val="auto"/>
          <w:sz w:val="24"/>
          <w:szCs w:val="24"/>
          <w:highlight w:val="none"/>
          <w:lang w:eastAsia="zh-CN" w:bidi="ar"/>
        </w:rPr>
        <w:t>并按照招标人的程序确认后才能进行施工，</w:t>
      </w:r>
      <w:r>
        <w:rPr>
          <w:rFonts w:hint="eastAsia" w:ascii="宋体" w:hAnsi="宋体" w:eastAsia="宋体" w:cs="宋体"/>
          <w:color w:val="auto"/>
          <w:sz w:val="24"/>
          <w:szCs w:val="24"/>
          <w:highlight w:val="none"/>
          <w:lang w:bidi="ar"/>
        </w:rPr>
        <w:t>若因中标人不及时报告</w:t>
      </w:r>
      <w:r>
        <w:rPr>
          <w:rFonts w:hint="eastAsia" w:ascii="宋体" w:hAnsi="宋体" w:eastAsia="宋体" w:cs="宋体"/>
          <w:color w:val="auto"/>
          <w:sz w:val="24"/>
          <w:szCs w:val="24"/>
          <w:highlight w:val="none"/>
          <w:lang w:eastAsia="zh-CN" w:bidi="ar"/>
        </w:rPr>
        <w:t>擅自施工，</w:t>
      </w:r>
      <w:r>
        <w:rPr>
          <w:rFonts w:hint="eastAsia" w:ascii="宋体" w:hAnsi="宋体" w:eastAsia="宋体" w:cs="宋体"/>
          <w:color w:val="auto"/>
          <w:sz w:val="24"/>
          <w:szCs w:val="24"/>
          <w:highlight w:val="none"/>
          <w:lang w:bidi="ar"/>
        </w:rPr>
        <w:t>导致的不良后果，由中标人承担。</w:t>
      </w:r>
    </w:p>
    <w:p w14:paraId="30597FF5">
      <w:pPr>
        <w:pStyle w:val="36"/>
        <w:wordWrap w:val="0"/>
        <w:adjustRightInd w:val="0"/>
        <w:snapToGrid w:val="0"/>
        <w:spacing w:line="360" w:lineRule="auto"/>
        <w:ind w:firstLine="560"/>
        <w:rPr>
          <w:rFonts w:hint="eastAsia" w:ascii="宋体" w:hAnsi="宋体" w:eastAsia="宋体" w:cs="宋体"/>
          <w:color w:val="auto"/>
          <w:sz w:val="24"/>
          <w:szCs w:val="24"/>
          <w:highlight w:val="none"/>
          <w:lang w:val="en-US" w:eastAsia="zh-CN" w:bidi="ar"/>
        </w:rPr>
      </w:pPr>
      <w:r>
        <w:rPr>
          <w:rFonts w:hint="eastAsia" w:ascii="宋体" w:hAnsi="宋体" w:eastAsia="宋体" w:cs="宋体"/>
          <w:b/>
          <w:bCs/>
          <w:color w:val="auto"/>
          <w:sz w:val="24"/>
          <w:szCs w:val="24"/>
          <w:highlight w:val="none"/>
          <w:lang w:bidi="ar"/>
        </w:rPr>
        <w:t>1</w:t>
      </w:r>
      <w:r>
        <w:rPr>
          <w:rFonts w:hint="eastAsia" w:ascii="宋体" w:hAnsi="宋体" w:eastAsia="宋体" w:cs="宋体"/>
          <w:b/>
          <w:bCs/>
          <w:color w:val="auto"/>
          <w:sz w:val="24"/>
          <w:szCs w:val="24"/>
          <w:highlight w:val="none"/>
          <w:lang w:val="en-US" w:eastAsia="zh-CN" w:bidi="ar"/>
        </w:rPr>
        <w:t>4</w:t>
      </w:r>
      <w:r>
        <w:rPr>
          <w:rFonts w:hint="eastAsia" w:ascii="宋体" w:hAnsi="宋体" w:eastAsia="宋体" w:cs="宋体"/>
          <w:b/>
          <w:bCs/>
          <w:color w:val="auto"/>
          <w:sz w:val="24"/>
          <w:szCs w:val="24"/>
          <w:highlight w:val="none"/>
          <w:lang w:bidi="ar"/>
        </w:rPr>
        <w:t>.</w:t>
      </w:r>
      <w:r>
        <w:rPr>
          <w:rFonts w:hint="eastAsia" w:ascii="宋体" w:hAnsi="宋体" w:eastAsia="宋体" w:cs="宋体"/>
          <w:b/>
          <w:bCs/>
          <w:color w:val="auto"/>
          <w:sz w:val="24"/>
          <w:szCs w:val="24"/>
          <w:highlight w:val="none"/>
          <w:lang w:val="en-US" w:eastAsia="zh-CN" w:bidi="ar"/>
        </w:rPr>
        <w:t>28</w:t>
      </w:r>
      <w:r>
        <w:rPr>
          <w:rFonts w:hint="eastAsia" w:ascii="宋体" w:hAnsi="宋体" w:eastAsia="宋体" w:cs="宋体"/>
          <w:color w:val="auto"/>
          <w:sz w:val="24"/>
          <w:szCs w:val="24"/>
          <w:highlight w:val="none"/>
          <w:lang w:val="en-US" w:eastAsia="zh-CN" w:bidi="ar"/>
        </w:rPr>
        <w:t xml:space="preserve"> 因项目用地的不可控因素，造成建设用地延期交付，导致产生的费用不予补偿，仅顺延工期。</w:t>
      </w:r>
    </w:p>
    <w:p w14:paraId="7ECB9942">
      <w:pPr>
        <w:pStyle w:val="36"/>
        <w:wordWrap w:val="0"/>
        <w:adjustRightInd w:val="0"/>
        <w:snapToGrid w:val="0"/>
        <w:spacing w:line="360" w:lineRule="auto"/>
        <w:ind w:firstLine="560"/>
        <w:rPr>
          <w:rFonts w:hint="eastAsia" w:ascii="宋体" w:hAnsi="宋体" w:eastAsia="宋体" w:cs="宋体"/>
          <w:color w:val="auto"/>
          <w:sz w:val="24"/>
          <w:szCs w:val="24"/>
          <w:highlight w:val="none"/>
          <w:lang w:val="en-US" w:eastAsia="zh-CN" w:bidi="ar"/>
        </w:rPr>
      </w:pPr>
      <w:r>
        <w:rPr>
          <w:rFonts w:hint="eastAsia" w:ascii="宋体" w:hAnsi="宋体" w:eastAsia="宋体" w:cs="宋体"/>
          <w:b/>
          <w:bCs/>
          <w:color w:val="auto"/>
          <w:sz w:val="24"/>
          <w:szCs w:val="24"/>
          <w:highlight w:val="none"/>
          <w:lang w:bidi="ar"/>
        </w:rPr>
        <w:t>1</w:t>
      </w:r>
      <w:r>
        <w:rPr>
          <w:rFonts w:hint="eastAsia" w:ascii="宋体" w:hAnsi="宋体" w:eastAsia="宋体" w:cs="宋体"/>
          <w:b/>
          <w:bCs/>
          <w:color w:val="auto"/>
          <w:sz w:val="24"/>
          <w:szCs w:val="24"/>
          <w:highlight w:val="none"/>
          <w:lang w:val="en-US" w:eastAsia="zh-CN" w:bidi="ar"/>
        </w:rPr>
        <w:t>4</w:t>
      </w:r>
      <w:r>
        <w:rPr>
          <w:rFonts w:hint="eastAsia" w:ascii="宋体" w:hAnsi="宋体" w:eastAsia="宋体" w:cs="宋体"/>
          <w:b/>
          <w:bCs/>
          <w:color w:val="auto"/>
          <w:sz w:val="24"/>
          <w:szCs w:val="24"/>
          <w:highlight w:val="none"/>
          <w:lang w:bidi="ar"/>
        </w:rPr>
        <w:t>.</w:t>
      </w:r>
      <w:r>
        <w:rPr>
          <w:rFonts w:hint="eastAsia" w:ascii="宋体" w:hAnsi="宋体" w:eastAsia="宋体" w:cs="宋体"/>
          <w:b/>
          <w:bCs/>
          <w:color w:val="auto"/>
          <w:sz w:val="24"/>
          <w:szCs w:val="24"/>
          <w:highlight w:val="none"/>
          <w:lang w:val="en-US" w:eastAsia="zh-CN" w:bidi="ar"/>
        </w:rPr>
        <w:t xml:space="preserve">29 </w:t>
      </w:r>
      <w:r>
        <w:rPr>
          <w:rFonts w:hint="eastAsia" w:ascii="宋体" w:hAnsi="宋体" w:eastAsia="宋体" w:cs="宋体"/>
          <w:color w:val="auto"/>
          <w:sz w:val="24"/>
          <w:szCs w:val="24"/>
          <w:highlight w:val="none"/>
          <w:lang w:val="en-US" w:eastAsia="zh-CN" w:bidi="ar"/>
        </w:rPr>
        <w:t>中标人须参与图纸会审并及时提出涉及设计修改或变更方面的相关方案或意见，否则由此造成的后果由中标人自行负责。</w:t>
      </w:r>
    </w:p>
    <w:p w14:paraId="69A10442">
      <w:pPr>
        <w:pStyle w:val="36"/>
        <w:wordWrap w:val="0"/>
        <w:adjustRightInd w:val="0"/>
        <w:snapToGrid w:val="0"/>
        <w:spacing w:line="360" w:lineRule="auto"/>
        <w:ind w:firstLine="560"/>
        <w:rPr>
          <w:rFonts w:hint="eastAsia" w:ascii="宋体" w:hAnsi="宋体" w:eastAsia="宋体" w:cs="宋体"/>
          <w:color w:val="auto"/>
          <w:sz w:val="24"/>
          <w:szCs w:val="24"/>
          <w:highlight w:val="none"/>
          <w:lang w:bidi="ar"/>
        </w:rPr>
      </w:pPr>
      <w:r>
        <w:rPr>
          <w:rFonts w:hint="eastAsia" w:ascii="宋体" w:hAnsi="宋体" w:eastAsia="宋体" w:cs="宋体"/>
          <w:b/>
          <w:bCs/>
          <w:color w:val="auto"/>
          <w:sz w:val="24"/>
          <w:szCs w:val="24"/>
          <w:highlight w:val="none"/>
          <w:lang w:val="en-US" w:eastAsia="zh-CN" w:bidi="ar"/>
        </w:rPr>
        <w:t>14.30</w:t>
      </w:r>
      <w:r>
        <w:rPr>
          <w:rFonts w:hint="eastAsia" w:ascii="宋体" w:hAnsi="宋体" w:eastAsia="宋体" w:cs="宋体"/>
          <w:color w:val="auto"/>
          <w:sz w:val="24"/>
          <w:szCs w:val="24"/>
          <w:highlight w:val="none"/>
          <w:lang w:val="en-US" w:eastAsia="zh-CN" w:bidi="ar"/>
        </w:rPr>
        <w:t xml:space="preserve"> 对于招标工程量清单、招标控制价发生的以下事项，招标人有权在合同签订前按以下原则进行修订：</w:t>
      </w:r>
    </w:p>
    <w:p w14:paraId="010288E4">
      <w:pPr>
        <w:pStyle w:val="36"/>
        <w:wordWrap w:val="0"/>
        <w:adjustRightInd w:val="0"/>
        <w:snapToGrid w:val="0"/>
        <w:spacing w:line="360" w:lineRule="auto"/>
        <w:ind w:firstLine="560"/>
        <w:rPr>
          <w:rFonts w:hint="eastAsia" w:ascii="宋体" w:hAnsi="宋体" w:eastAsia="宋体" w:cs="宋体"/>
          <w:color w:val="auto"/>
          <w:sz w:val="24"/>
          <w:szCs w:val="24"/>
          <w:highlight w:val="none"/>
          <w:lang w:bidi="ar"/>
        </w:rPr>
      </w:pPr>
      <w:r>
        <w:rPr>
          <w:rFonts w:hint="eastAsia" w:ascii="宋体" w:hAnsi="宋体" w:eastAsia="宋体" w:cs="宋体"/>
          <w:b/>
          <w:bCs/>
          <w:color w:val="auto"/>
          <w:sz w:val="24"/>
          <w:szCs w:val="24"/>
          <w:highlight w:val="none"/>
          <w:lang w:val="en-US" w:eastAsia="zh-CN" w:bidi="ar"/>
        </w:rPr>
        <w:t>14.30.1</w:t>
      </w:r>
      <w:r>
        <w:rPr>
          <w:rFonts w:hint="eastAsia" w:ascii="宋体" w:hAnsi="宋体" w:eastAsia="宋体" w:cs="宋体"/>
          <w:color w:val="auto"/>
          <w:sz w:val="24"/>
          <w:szCs w:val="24"/>
          <w:highlight w:val="none"/>
          <w:lang w:val="en-US" w:eastAsia="zh-CN" w:bidi="ar"/>
        </w:rPr>
        <w:t xml:space="preserve"> 招标工程量清单描述有误：招标人有权修正工程量清单描述错误部分，工程量清单综合单价以投标人报价为准。</w:t>
      </w:r>
    </w:p>
    <w:p w14:paraId="368B766F">
      <w:pPr>
        <w:pStyle w:val="36"/>
        <w:wordWrap w:val="0"/>
        <w:adjustRightInd w:val="0"/>
        <w:snapToGrid w:val="0"/>
        <w:spacing w:line="360" w:lineRule="auto"/>
        <w:ind w:firstLine="560"/>
        <w:rPr>
          <w:rFonts w:hint="eastAsia" w:ascii="宋体" w:hAnsi="宋体" w:eastAsia="宋体" w:cs="宋体"/>
          <w:color w:val="auto"/>
          <w:sz w:val="24"/>
          <w:szCs w:val="24"/>
          <w:highlight w:val="none"/>
          <w:lang w:bidi="ar"/>
        </w:rPr>
      </w:pPr>
      <w:r>
        <w:rPr>
          <w:rFonts w:hint="eastAsia" w:ascii="宋体" w:hAnsi="宋体" w:eastAsia="宋体" w:cs="宋体"/>
          <w:b/>
          <w:bCs/>
          <w:color w:val="auto"/>
          <w:sz w:val="24"/>
          <w:szCs w:val="24"/>
          <w:highlight w:val="none"/>
          <w:lang w:val="en-US" w:eastAsia="zh-CN" w:bidi="ar"/>
        </w:rPr>
        <w:t>14.30.2</w:t>
      </w:r>
      <w:r>
        <w:rPr>
          <w:rFonts w:hint="eastAsia" w:ascii="宋体" w:hAnsi="宋体" w:eastAsia="宋体" w:cs="宋体"/>
          <w:color w:val="auto"/>
          <w:sz w:val="24"/>
          <w:szCs w:val="24"/>
          <w:highlight w:val="none"/>
          <w:lang w:val="en-US" w:eastAsia="zh-CN" w:bidi="ar"/>
        </w:rPr>
        <w:t xml:space="preserve"> 招标工程量计量错误：以实际发生工程量为准，工程量清单综合单价以投标人报价为准。</w:t>
      </w:r>
    </w:p>
    <w:p w14:paraId="18E0E323">
      <w:pPr>
        <w:pStyle w:val="36"/>
        <w:wordWrap w:val="0"/>
        <w:adjustRightInd w:val="0"/>
        <w:snapToGrid w:val="0"/>
        <w:spacing w:line="360" w:lineRule="auto"/>
        <w:ind w:firstLine="560"/>
        <w:rPr>
          <w:rFonts w:hint="eastAsia" w:ascii="宋体" w:hAnsi="宋体" w:eastAsia="宋体" w:cs="宋体"/>
          <w:color w:val="auto"/>
          <w:sz w:val="24"/>
          <w:szCs w:val="24"/>
          <w:highlight w:val="none"/>
          <w:lang w:bidi="ar"/>
        </w:rPr>
      </w:pPr>
      <w:r>
        <w:rPr>
          <w:rFonts w:hint="eastAsia" w:ascii="宋体" w:hAnsi="宋体" w:eastAsia="宋体" w:cs="宋体"/>
          <w:b/>
          <w:bCs/>
          <w:color w:val="auto"/>
          <w:sz w:val="24"/>
          <w:szCs w:val="24"/>
          <w:highlight w:val="none"/>
          <w:lang w:val="en-US" w:eastAsia="zh-CN" w:bidi="ar"/>
        </w:rPr>
        <w:t>14.30.3</w:t>
      </w:r>
      <w:r>
        <w:rPr>
          <w:rFonts w:hint="eastAsia" w:ascii="宋体" w:hAnsi="宋体" w:eastAsia="宋体" w:cs="宋体"/>
          <w:color w:val="auto"/>
          <w:sz w:val="24"/>
          <w:szCs w:val="24"/>
          <w:highlight w:val="none"/>
          <w:lang w:val="en-US" w:eastAsia="zh-CN" w:bidi="ar"/>
        </w:rPr>
        <w:t xml:space="preserve"> 相同子目综合单价在不同单位工程中单价不一致：以投标报价低价为准。</w:t>
      </w:r>
    </w:p>
    <w:p w14:paraId="1361271D">
      <w:pPr>
        <w:pStyle w:val="36"/>
        <w:wordWrap w:val="0"/>
        <w:adjustRightInd w:val="0"/>
        <w:snapToGrid w:val="0"/>
        <w:spacing w:line="360" w:lineRule="auto"/>
        <w:ind w:firstLine="560"/>
        <w:rPr>
          <w:rFonts w:hint="eastAsia" w:ascii="宋体" w:hAnsi="宋体" w:eastAsia="宋体" w:cs="宋体"/>
          <w:color w:val="auto"/>
          <w:sz w:val="24"/>
          <w:szCs w:val="24"/>
          <w:highlight w:val="none"/>
          <w:lang w:bidi="ar"/>
        </w:rPr>
      </w:pPr>
      <w:r>
        <w:rPr>
          <w:rFonts w:hint="eastAsia" w:ascii="宋体" w:hAnsi="宋体" w:eastAsia="宋体" w:cs="宋体"/>
          <w:b/>
          <w:bCs/>
          <w:color w:val="auto"/>
          <w:sz w:val="24"/>
          <w:szCs w:val="24"/>
          <w:highlight w:val="none"/>
          <w:lang w:val="en-US" w:eastAsia="zh-CN" w:bidi="ar"/>
        </w:rPr>
        <w:t xml:space="preserve">14.30.4 </w:t>
      </w:r>
      <w:r>
        <w:rPr>
          <w:rFonts w:hint="eastAsia" w:ascii="宋体" w:hAnsi="宋体" w:eastAsia="宋体" w:cs="宋体"/>
          <w:color w:val="auto"/>
          <w:sz w:val="24"/>
          <w:szCs w:val="24"/>
          <w:highlight w:val="none"/>
          <w:lang w:val="en-US" w:eastAsia="zh-CN" w:bidi="ar"/>
        </w:rPr>
        <w:t>招标工程量清单漏项（图纸有而清单漏项）：按工程量按实计算，综合单价以招标人委托的第三方造价咨询公司按本项目招标控制价编制原则编制，并按投标总价下浮率下浮计算。</w:t>
      </w:r>
    </w:p>
    <w:p w14:paraId="22836D52">
      <w:pPr>
        <w:pStyle w:val="36"/>
        <w:wordWrap w:val="0"/>
        <w:adjustRightInd w:val="0"/>
        <w:snapToGrid w:val="0"/>
        <w:spacing w:line="360" w:lineRule="auto"/>
        <w:ind w:firstLine="560"/>
        <w:rPr>
          <w:rFonts w:hint="eastAsia" w:ascii="宋体" w:hAnsi="宋体" w:eastAsia="宋体" w:cs="宋体"/>
          <w:color w:val="auto"/>
          <w:sz w:val="24"/>
          <w:szCs w:val="24"/>
          <w:highlight w:val="none"/>
          <w:lang w:bidi="ar"/>
        </w:rPr>
      </w:pPr>
      <w:r>
        <w:rPr>
          <w:rFonts w:hint="eastAsia" w:ascii="宋体" w:hAnsi="宋体" w:eastAsia="宋体" w:cs="宋体"/>
          <w:b/>
          <w:bCs/>
          <w:color w:val="auto"/>
          <w:sz w:val="24"/>
          <w:szCs w:val="24"/>
          <w:highlight w:val="none"/>
          <w:lang w:val="en-US" w:eastAsia="zh-CN" w:bidi="ar"/>
        </w:rPr>
        <w:t>14.31</w:t>
      </w:r>
      <w:r>
        <w:rPr>
          <w:rFonts w:hint="eastAsia" w:ascii="宋体" w:hAnsi="宋体" w:eastAsia="宋体" w:cs="宋体"/>
          <w:color w:val="auto"/>
          <w:sz w:val="24"/>
          <w:szCs w:val="24"/>
          <w:highlight w:val="none"/>
          <w:lang w:val="en-US" w:eastAsia="zh-CN" w:bidi="ar"/>
        </w:rPr>
        <w:t xml:space="preserve"> </w:t>
      </w:r>
      <w:r>
        <w:rPr>
          <w:rFonts w:hint="eastAsia" w:ascii="宋体" w:hAnsi="宋体" w:eastAsia="宋体" w:cs="宋体"/>
          <w:color w:val="auto"/>
          <w:sz w:val="24"/>
          <w:szCs w:val="24"/>
          <w:highlight w:val="none"/>
          <w:lang w:bidi="ar"/>
        </w:rPr>
        <w:t>施工合同签订备案后，承包人应一个月内将安全防护、文明施工措施项目费、工人工资保证金、工程排污费等涉及办理建筑工程施工许可证的缴费项目，缴纳至相应管理部门，办结相关手续，并提供缴费凭据等相关资料复印件给发包人，到商业银行办理安全防护、文明施工措施费及工人工资专用账户，同时承包人应向发包人提供符合韶关市相关行业行政主管部门规定的有效劳务分包合同。</w:t>
      </w:r>
    </w:p>
    <w:p w14:paraId="79BD32F7">
      <w:pPr>
        <w:pStyle w:val="36"/>
        <w:wordWrap w:val="0"/>
        <w:adjustRightInd w:val="0"/>
        <w:snapToGrid w:val="0"/>
        <w:spacing w:line="360" w:lineRule="auto"/>
        <w:ind w:firstLine="560"/>
        <w:rPr>
          <w:rFonts w:hint="eastAsia" w:ascii="宋体" w:hAnsi="宋体" w:eastAsia="宋体" w:cs="宋体"/>
          <w:color w:val="auto"/>
          <w:sz w:val="24"/>
          <w:szCs w:val="24"/>
          <w:highlight w:val="none"/>
          <w:lang w:bidi="ar"/>
        </w:rPr>
      </w:pPr>
      <w:r>
        <w:rPr>
          <w:rFonts w:hint="eastAsia" w:ascii="宋体" w:hAnsi="宋体" w:eastAsia="宋体" w:cs="宋体"/>
          <w:b/>
          <w:bCs/>
          <w:color w:val="auto"/>
          <w:sz w:val="24"/>
          <w:szCs w:val="24"/>
          <w:highlight w:val="none"/>
          <w:lang w:val="en-US" w:eastAsia="zh-CN" w:bidi="ar"/>
        </w:rPr>
        <w:t>14</w:t>
      </w:r>
      <w:r>
        <w:rPr>
          <w:rFonts w:hint="eastAsia" w:ascii="宋体" w:hAnsi="宋体" w:eastAsia="宋体" w:cs="宋体"/>
          <w:b/>
          <w:bCs/>
          <w:color w:val="auto"/>
          <w:sz w:val="24"/>
          <w:szCs w:val="24"/>
          <w:highlight w:val="none"/>
          <w:lang w:bidi="ar"/>
        </w:rPr>
        <w:t>.</w:t>
      </w:r>
      <w:r>
        <w:rPr>
          <w:rFonts w:hint="eastAsia" w:ascii="宋体" w:hAnsi="宋体" w:eastAsia="宋体" w:cs="宋体"/>
          <w:b/>
          <w:bCs/>
          <w:color w:val="auto"/>
          <w:sz w:val="24"/>
          <w:szCs w:val="24"/>
          <w:highlight w:val="none"/>
          <w:lang w:val="en-US" w:eastAsia="zh-CN" w:bidi="ar"/>
        </w:rPr>
        <w:t xml:space="preserve">32 </w:t>
      </w:r>
      <w:r>
        <w:rPr>
          <w:rFonts w:hint="eastAsia" w:ascii="宋体" w:hAnsi="宋体" w:eastAsia="宋体" w:cs="宋体"/>
          <w:color w:val="auto"/>
          <w:sz w:val="24"/>
          <w:szCs w:val="24"/>
          <w:highlight w:val="none"/>
          <w:lang w:bidi="ar"/>
        </w:rPr>
        <w:t>承包人应充分考虑施工对接情况，为本工程的其他参建单位提供工作便利、配合及服务（如水源、电源接口等），并有针对性地组织施工；承包人与为本工程的其他参建单位就协调、配合、服务等不能达成一致的，由监理工程师协调，并遵照监理工程师指令执行；承包人应负责统筹安排本工程范围内的各项工程的协调与配合，确保工程建设有序进行。承包人由此增加的费用应认为已包括在承包人的投标报价之中，发包人不另行支付。</w:t>
      </w:r>
    </w:p>
    <w:p w14:paraId="0F1E6214">
      <w:pPr>
        <w:pStyle w:val="36"/>
        <w:wordWrap w:val="0"/>
        <w:adjustRightInd w:val="0"/>
        <w:snapToGrid w:val="0"/>
        <w:spacing w:line="360" w:lineRule="auto"/>
        <w:ind w:firstLine="560"/>
        <w:rPr>
          <w:rFonts w:hint="eastAsia" w:ascii="宋体" w:hAnsi="宋体" w:eastAsia="宋体" w:cs="宋体"/>
          <w:color w:val="auto"/>
          <w:sz w:val="24"/>
          <w:szCs w:val="24"/>
          <w:highlight w:val="none"/>
          <w:lang w:bidi="ar"/>
        </w:rPr>
      </w:pPr>
      <w:r>
        <w:rPr>
          <w:rFonts w:hint="eastAsia" w:ascii="宋体" w:hAnsi="宋体" w:eastAsia="宋体" w:cs="宋体"/>
          <w:b/>
          <w:bCs/>
          <w:color w:val="auto"/>
          <w:sz w:val="24"/>
          <w:szCs w:val="24"/>
          <w:highlight w:val="none"/>
          <w:lang w:bidi="ar"/>
        </w:rPr>
        <w:t>1</w:t>
      </w:r>
      <w:r>
        <w:rPr>
          <w:rFonts w:hint="eastAsia" w:ascii="宋体" w:hAnsi="宋体" w:eastAsia="宋体" w:cs="宋体"/>
          <w:b/>
          <w:bCs/>
          <w:color w:val="auto"/>
          <w:sz w:val="24"/>
          <w:szCs w:val="24"/>
          <w:highlight w:val="none"/>
          <w:lang w:val="en-US" w:eastAsia="zh-CN" w:bidi="ar"/>
        </w:rPr>
        <w:t>4</w:t>
      </w:r>
      <w:r>
        <w:rPr>
          <w:rFonts w:hint="eastAsia" w:ascii="宋体" w:hAnsi="宋体" w:eastAsia="宋体" w:cs="宋体"/>
          <w:b/>
          <w:bCs/>
          <w:color w:val="auto"/>
          <w:sz w:val="24"/>
          <w:szCs w:val="24"/>
          <w:highlight w:val="none"/>
          <w:lang w:bidi="ar"/>
        </w:rPr>
        <w:t>.</w:t>
      </w:r>
      <w:r>
        <w:rPr>
          <w:rFonts w:hint="eastAsia" w:ascii="宋体" w:hAnsi="宋体" w:eastAsia="宋体" w:cs="宋体"/>
          <w:b/>
          <w:bCs/>
          <w:color w:val="auto"/>
          <w:sz w:val="24"/>
          <w:szCs w:val="24"/>
          <w:highlight w:val="none"/>
          <w:lang w:val="en-US" w:eastAsia="zh-CN" w:bidi="ar"/>
        </w:rPr>
        <w:t xml:space="preserve">33 </w:t>
      </w:r>
      <w:r>
        <w:rPr>
          <w:rFonts w:hint="eastAsia" w:ascii="宋体" w:hAnsi="宋体" w:eastAsia="宋体" w:cs="宋体"/>
          <w:color w:val="auto"/>
          <w:sz w:val="24"/>
          <w:szCs w:val="24"/>
          <w:highlight w:val="none"/>
          <w:lang w:bidi="ar"/>
        </w:rPr>
        <w:t>工程完工后，为了本项目整体竣工验收的需要，承包人必须在发包人的统筹安排下，与为本项目其他工程服务的单位进行协同配合，做好竣工验收的各项工作，交付的工程必须符合各专业工程管养单位的相关要求。</w:t>
      </w:r>
    </w:p>
    <w:p w14:paraId="261D3301">
      <w:pPr>
        <w:pStyle w:val="36"/>
        <w:wordWrap w:val="0"/>
        <w:adjustRightInd w:val="0"/>
        <w:snapToGrid w:val="0"/>
        <w:spacing w:line="360" w:lineRule="auto"/>
        <w:ind w:firstLine="560"/>
        <w:rPr>
          <w:rFonts w:hint="eastAsia" w:ascii="宋体" w:hAnsi="宋体" w:eastAsia="宋体" w:cs="宋体"/>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 xml:space="preserve">14.34 </w:t>
      </w:r>
      <w:r>
        <w:rPr>
          <w:rFonts w:hint="eastAsia" w:ascii="宋体" w:hAnsi="宋体" w:eastAsia="宋体" w:cs="宋体"/>
          <w:color w:val="auto"/>
          <w:sz w:val="24"/>
          <w:szCs w:val="24"/>
          <w:highlight w:val="none"/>
          <w:lang w:val="en-US" w:eastAsia="zh-CN" w:bidi="ar"/>
        </w:rPr>
        <w:t>本工程评标专家酬劳由中标人支付，该费用不再另行报价，由投标人在投标报价时综合考虑在内。中标人在领取中标通知书前须向招标代理机构评标专家酬劳。</w:t>
      </w:r>
    </w:p>
    <w:p w14:paraId="32222D77">
      <w:pPr>
        <w:pStyle w:val="36"/>
        <w:wordWrap w:val="0"/>
        <w:adjustRightInd w:val="0"/>
        <w:snapToGrid w:val="0"/>
        <w:spacing w:line="360" w:lineRule="auto"/>
        <w:ind w:firstLine="560"/>
        <w:rPr>
          <w:rFonts w:hint="eastAsia" w:ascii="宋体" w:hAnsi="宋体" w:eastAsia="宋体" w:cs="宋体"/>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 xml:space="preserve">14.35 </w:t>
      </w:r>
      <w:r>
        <w:rPr>
          <w:rFonts w:hint="eastAsia" w:ascii="宋体" w:hAnsi="宋体" w:eastAsia="宋体" w:cs="宋体"/>
          <w:color w:val="auto"/>
          <w:sz w:val="24"/>
          <w:szCs w:val="24"/>
          <w:highlight w:val="none"/>
          <w:lang w:val="en-US" w:eastAsia="zh-CN" w:bidi="ar"/>
        </w:rPr>
        <w:t>发包人仅在征地红线范围内提供场地，其他一切场地费用由承包人自行负责（含临时道路），因实施合同工程的需要，承包人须占用场地外的道路及修建场外用地、设施等，均由承包人自行负责。承包人自行办理所需的申请手续，并承担一切所需的费用，承包人须负责保持场内外的临时道路畅通，提供指示牌、警告告示、灯号及所需之交通指导员等一切安全措施以保障行人安全及车辆安全行驶，并承担因其失责引起之所有索偿。基坑开挖期间，承包人须于基坑至工地出入口设置挖运土（石）方的专用便道，便道须作填硬质渣土或浇混凝土路面等加硬处理，以确保雨天仍能安全施工。该费用已包含在合同单价中；超大件和超重件运输所需的一切费用包括但不限于道路和桥梁临时加固改造费用等均由承包人自行负责。</w:t>
      </w:r>
    </w:p>
    <w:p w14:paraId="24A5F30F">
      <w:pPr>
        <w:pStyle w:val="36"/>
        <w:wordWrap w:val="0"/>
        <w:adjustRightInd w:val="0"/>
        <w:snapToGrid w:val="0"/>
        <w:spacing w:line="360" w:lineRule="auto"/>
        <w:ind w:firstLine="560"/>
        <w:rPr>
          <w:rFonts w:hint="eastAsia" w:ascii="宋体" w:hAnsi="宋体" w:eastAsia="宋体" w:cs="宋体"/>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14.36</w:t>
      </w:r>
      <w:r>
        <w:rPr>
          <w:rFonts w:hint="eastAsia" w:ascii="宋体" w:hAnsi="宋体" w:eastAsia="宋体" w:cs="宋体"/>
          <w:color w:val="auto"/>
          <w:sz w:val="24"/>
          <w:szCs w:val="24"/>
          <w:highlight w:val="none"/>
          <w:lang w:val="en-US" w:eastAsia="zh-CN" w:bidi="ar"/>
        </w:rPr>
        <w:t xml:space="preserve"> 承包人应对所有现场作业、所有施工方法和全部工程的完备性、稳定性和安全性负责，负责施工场地安全保卫工作，防止因工程施工造成的人身伤害和财产损失，提供和维修施工照明、围栏设施及要约标志以满足现场实际需要。</w:t>
      </w:r>
    </w:p>
    <w:p w14:paraId="38B047E6">
      <w:pPr>
        <w:pStyle w:val="36"/>
        <w:wordWrap w:val="0"/>
        <w:adjustRightInd w:val="0"/>
        <w:snapToGrid w:val="0"/>
        <w:spacing w:line="360" w:lineRule="auto"/>
        <w:ind w:firstLine="560"/>
        <w:rPr>
          <w:rFonts w:hint="eastAsia" w:ascii="宋体" w:hAnsi="宋体" w:eastAsia="宋体" w:cs="宋体"/>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14.37</w:t>
      </w:r>
      <w:r>
        <w:rPr>
          <w:rFonts w:hint="eastAsia" w:ascii="宋体" w:hAnsi="宋体" w:eastAsia="宋体" w:cs="宋体"/>
          <w:color w:val="auto"/>
          <w:sz w:val="24"/>
          <w:szCs w:val="24"/>
          <w:highlight w:val="none"/>
          <w:lang w:val="en-US" w:eastAsia="zh-CN" w:bidi="ar"/>
        </w:rPr>
        <w:t xml:space="preserve"> 遵守国家、广东省及韶关市现行的法律、条例、规定和通知，并办理所需的申请和支付有关的法定费用和税项（包括但不限于营业税及其附加税/增值税及其附加税或其他任何因履行合同需由承包商承担的相关税金）。包括但不限于施工场地交通、余泥排放、环境保护、安全防护、文明施工、施工噪音管理、夜间施工、排水许可、施工爆破许可等的申请及支付有关费用。</w:t>
      </w:r>
    </w:p>
    <w:p w14:paraId="59914E1C">
      <w:pPr>
        <w:pStyle w:val="36"/>
        <w:wordWrap w:val="0"/>
        <w:adjustRightInd w:val="0"/>
        <w:snapToGrid w:val="0"/>
        <w:spacing w:line="360" w:lineRule="auto"/>
        <w:ind w:firstLine="560"/>
        <w:rPr>
          <w:rFonts w:hint="eastAsia" w:ascii="宋体" w:hAnsi="宋体" w:eastAsia="宋体" w:cs="宋体"/>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14.38</w:t>
      </w:r>
      <w:r>
        <w:rPr>
          <w:rFonts w:hint="eastAsia" w:ascii="宋体" w:hAnsi="宋体" w:eastAsia="宋体" w:cs="宋体"/>
          <w:color w:val="auto"/>
          <w:sz w:val="24"/>
          <w:szCs w:val="24"/>
          <w:highlight w:val="none"/>
          <w:lang w:val="en-US" w:eastAsia="zh-CN" w:bidi="ar"/>
        </w:rPr>
        <w:t xml:space="preserve"> 遵守政府部门有关环境卫生的管理规定，保证施工场地的清洁和交工前施工现场的清理，并承担因自身责任造成的损失和罚款。</w:t>
      </w:r>
    </w:p>
    <w:p w14:paraId="431EA3D2">
      <w:pPr>
        <w:pStyle w:val="36"/>
        <w:wordWrap w:val="0"/>
        <w:adjustRightInd w:val="0"/>
        <w:snapToGrid w:val="0"/>
        <w:spacing w:line="360" w:lineRule="auto"/>
        <w:ind w:firstLine="560"/>
        <w:rPr>
          <w:rFonts w:hint="eastAsia" w:ascii="宋体" w:hAnsi="宋体" w:eastAsia="宋体" w:cs="宋体"/>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14.39</w:t>
      </w:r>
      <w:r>
        <w:rPr>
          <w:rFonts w:hint="eastAsia" w:ascii="宋体" w:hAnsi="宋体" w:eastAsia="宋体" w:cs="宋体"/>
          <w:color w:val="auto"/>
          <w:sz w:val="24"/>
          <w:szCs w:val="24"/>
          <w:highlight w:val="none"/>
          <w:lang w:val="en-US" w:eastAsia="zh-CN" w:bidi="ar"/>
        </w:rPr>
        <w:t xml:space="preserve"> 工程完工后，应按照合同约定提交竣工验收申请报告、竣工图纸和资料及竣工结算文件。本项目的工程竣工图亦须由承包人负责编制及提交，相关费用和利润视作已考虑在合同价款内。</w:t>
      </w:r>
    </w:p>
    <w:p w14:paraId="66873622">
      <w:pPr>
        <w:pStyle w:val="36"/>
        <w:wordWrap w:val="0"/>
        <w:adjustRightInd w:val="0"/>
        <w:snapToGrid w:val="0"/>
        <w:spacing w:line="360" w:lineRule="auto"/>
        <w:ind w:firstLine="560"/>
        <w:rPr>
          <w:rFonts w:hint="eastAsia" w:ascii="宋体" w:hAnsi="宋体" w:eastAsia="宋体" w:cs="宋体"/>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 xml:space="preserve">14.40 </w:t>
      </w:r>
      <w:r>
        <w:rPr>
          <w:rFonts w:hint="eastAsia" w:ascii="宋体" w:hAnsi="宋体" w:eastAsia="宋体" w:cs="宋体"/>
          <w:color w:val="auto"/>
          <w:sz w:val="24"/>
          <w:szCs w:val="24"/>
          <w:highlight w:val="none"/>
          <w:lang w:val="en-US" w:eastAsia="zh-CN" w:bidi="ar"/>
        </w:rPr>
        <w:t>自行办理本工程施工所需的道路占用手续（包括开路口），负责有关申请及维持占用道路所需的一切费用，并负责本工程的红线外的一切场地使用费用。</w:t>
      </w:r>
    </w:p>
    <w:p w14:paraId="5E27658A">
      <w:pPr>
        <w:pStyle w:val="36"/>
        <w:wordWrap w:val="0"/>
        <w:adjustRightInd w:val="0"/>
        <w:snapToGrid w:val="0"/>
        <w:spacing w:line="360" w:lineRule="auto"/>
        <w:ind w:firstLine="560"/>
        <w:rPr>
          <w:rFonts w:hint="eastAsia" w:ascii="宋体" w:hAnsi="宋体" w:eastAsia="宋体" w:cs="宋体"/>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14.41</w:t>
      </w:r>
      <w:r>
        <w:rPr>
          <w:rFonts w:hint="eastAsia" w:ascii="宋体" w:hAnsi="宋体" w:eastAsia="宋体" w:cs="宋体"/>
          <w:color w:val="auto"/>
          <w:sz w:val="24"/>
          <w:szCs w:val="24"/>
          <w:highlight w:val="none"/>
          <w:lang w:val="en-US" w:eastAsia="zh-CN" w:bidi="ar"/>
        </w:rPr>
        <w:t xml:space="preserve"> 对于承包人或其指定分包人所雇用的工人或任何其它人员的伤亡或赔偿，承包人应保证发包人免负该等责任，且保证发包人不负担涉及这类伤亡与赔偿或与此有关的索赔和诉讼，损害赔偿、诉讼费、赔偿费及其它费用均由承包人自行负责，另承包人由于伤亡事故而造成本工程停工的，发包人将不予顺延工期，其所有损失由承包人自负。但由于发包人或监理工程师的行为失误所造成的伤亡除外。</w:t>
      </w:r>
    </w:p>
    <w:p w14:paraId="602FFB26">
      <w:pPr>
        <w:pStyle w:val="36"/>
        <w:wordWrap w:val="0"/>
        <w:adjustRightInd w:val="0"/>
        <w:snapToGrid w:val="0"/>
        <w:spacing w:line="360" w:lineRule="auto"/>
        <w:ind w:firstLine="560"/>
        <w:rPr>
          <w:rFonts w:hint="eastAsia" w:ascii="宋体" w:hAnsi="宋体" w:eastAsia="宋体" w:cs="宋体"/>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 xml:space="preserve">14.42 </w:t>
      </w:r>
      <w:r>
        <w:rPr>
          <w:rFonts w:hint="eastAsia" w:ascii="宋体" w:hAnsi="宋体" w:eastAsia="宋体" w:cs="宋体"/>
          <w:color w:val="auto"/>
          <w:sz w:val="24"/>
          <w:szCs w:val="24"/>
          <w:highlight w:val="none"/>
          <w:lang w:val="en-US" w:eastAsia="zh-CN" w:bidi="ar"/>
        </w:rPr>
        <w:t>应发包人要求对所有隐蔽工程施工进行录像并刻录成光盘，于工程验收时一并提交。</w:t>
      </w:r>
    </w:p>
    <w:p w14:paraId="279A2CB1">
      <w:pPr>
        <w:pStyle w:val="36"/>
        <w:wordWrap w:val="0"/>
        <w:adjustRightInd w:val="0"/>
        <w:snapToGrid w:val="0"/>
        <w:spacing w:line="360" w:lineRule="auto"/>
        <w:ind w:firstLine="560"/>
        <w:rPr>
          <w:rFonts w:hint="eastAsia" w:ascii="宋体" w:hAnsi="宋体" w:eastAsia="宋体" w:cs="宋体"/>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14.43</w:t>
      </w:r>
      <w:r>
        <w:rPr>
          <w:rFonts w:hint="eastAsia" w:ascii="宋体" w:hAnsi="宋体" w:eastAsia="宋体" w:cs="宋体"/>
          <w:color w:val="auto"/>
          <w:sz w:val="24"/>
          <w:szCs w:val="24"/>
          <w:highlight w:val="none"/>
          <w:lang w:val="en-US" w:eastAsia="zh-CN" w:bidi="ar"/>
        </w:rPr>
        <w:t xml:space="preserve"> 本工程竣工交付予发包人，或合同终止之日起30天内时，承包人应将全部场地清理干净退还发包人。如承包人逾期未退还场地，承包人须按每天5元/m2向发包人缴纳场地占用费。</w:t>
      </w:r>
    </w:p>
    <w:p w14:paraId="2984EDE1">
      <w:pPr>
        <w:pStyle w:val="36"/>
        <w:wordWrap w:val="0"/>
        <w:adjustRightInd w:val="0"/>
        <w:snapToGrid w:val="0"/>
        <w:spacing w:line="360" w:lineRule="auto"/>
        <w:ind w:firstLine="560"/>
        <w:rPr>
          <w:rFonts w:hint="eastAsia" w:ascii="宋体" w:hAnsi="宋体" w:eastAsia="宋体" w:cs="宋体"/>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 xml:space="preserve">14.44 </w:t>
      </w:r>
      <w:r>
        <w:rPr>
          <w:rFonts w:hint="eastAsia" w:ascii="宋体" w:hAnsi="宋体" w:eastAsia="宋体" w:cs="宋体"/>
          <w:color w:val="auto"/>
          <w:sz w:val="24"/>
          <w:szCs w:val="24"/>
          <w:highlight w:val="none"/>
          <w:lang w:val="en-US" w:eastAsia="zh-CN" w:bidi="ar"/>
        </w:rPr>
        <w:t>承包人必须参加各专业工程的图纸会审，对于专业工程与土建工程有冲突的地方，有义务提出修改建议和解决方案，否则，因此产生的费用将不予签证和工程设计变更。</w:t>
      </w:r>
    </w:p>
    <w:p w14:paraId="36F8BF5F">
      <w:pPr>
        <w:pStyle w:val="36"/>
        <w:wordWrap w:val="0"/>
        <w:adjustRightInd w:val="0"/>
        <w:snapToGrid w:val="0"/>
        <w:spacing w:line="360" w:lineRule="auto"/>
        <w:ind w:firstLine="560"/>
        <w:rPr>
          <w:rFonts w:hint="eastAsia" w:ascii="宋体" w:hAnsi="宋体" w:eastAsia="宋体" w:cs="宋体"/>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14.45</w:t>
      </w:r>
      <w:r>
        <w:rPr>
          <w:rFonts w:hint="eastAsia" w:ascii="宋体" w:hAnsi="宋体" w:eastAsia="宋体" w:cs="宋体"/>
          <w:color w:val="auto"/>
          <w:sz w:val="24"/>
          <w:szCs w:val="24"/>
          <w:highlight w:val="none"/>
          <w:lang w:val="en-US" w:eastAsia="zh-CN" w:bidi="ar"/>
        </w:rPr>
        <w:t xml:space="preserve"> 承包人应根据发包人提供的正式变更资料及时进行工程变更，工程变更完成并由监理工程师和发包人书面确认后，承包人在30天内向发包人和造价工程师提出工程变更预算(包括经确认完成的变更证明资料及相应图纸、计算明细及单价组成等)，在30天内未提交的，视为变更不涉及费用的增加和工期的延长。承包人需按发包人的要求在每月20日前对设计变更及现场签证的事项台账及预算台账进行更新填报，若承包人漏报，发包人将视为该工作或签证不涉及费用的增加及工期的延长。承包人不得高估冒算，承包人预（结）算的送审价高出发包人审定价20%，承包人按以下方式承担违约金：违约金＝(承包人预（结）算送审造价－发包人预（结）算审定价×1.2)×10%，在预（结）算款项中以违约金形式扣除。</w:t>
      </w:r>
    </w:p>
    <w:p w14:paraId="504EC47F">
      <w:pPr>
        <w:pStyle w:val="36"/>
        <w:wordWrap w:val="0"/>
        <w:adjustRightInd w:val="0"/>
        <w:snapToGrid w:val="0"/>
        <w:spacing w:line="360" w:lineRule="auto"/>
        <w:ind w:firstLine="560"/>
        <w:rPr>
          <w:rFonts w:hint="eastAsia" w:ascii="宋体" w:hAnsi="宋体" w:eastAsia="宋体" w:cs="宋体"/>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14.46</w:t>
      </w:r>
      <w:r>
        <w:rPr>
          <w:rFonts w:hint="eastAsia" w:ascii="宋体" w:hAnsi="宋体" w:eastAsia="宋体" w:cs="宋体"/>
          <w:color w:val="auto"/>
          <w:sz w:val="24"/>
          <w:szCs w:val="24"/>
          <w:highlight w:val="none"/>
          <w:lang w:val="en-US" w:eastAsia="zh-CN" w:bidi="ar"/>
        </w:rPr>
        <w:t xml:space="preserve"> 在展开任何工作或订购任何材料设备前，承包人须核实图纸上及现场所有尺寸，及审核现场、图纸、标准、规范之间有没有不符，若发现有任何错漏、疏忽或偏差，必须立即以书面形式通知发包人和监理工程师，由发包人给予指示。发包人的任何指示皆不会免除或减轻承包人按合同所承担的义务和责任。发包人不负责承包人未有充分审核而引致的虚耗材料设备、工作或进度拖延。</w:t>
      </w:r>
    </w:p>
    <w:p w14:paraId="47398582">
      <w:pPr>
        <w:pStyle w:val="36"/>
        <w:wordWrap w:val="0"/>
        <w:adjustRightInd w:val="0"/>
        <w:snapToGrid w:val="0"/>
        <w:spacing w:line="360" w:lineRule="auto"/>
        <w:ind w:firstLine="560"/>
        <w:rPr>
          <w:rFonts w:hint="eastAsia" w:ascii="宋体" w:hAnsi="宋体" w:eastAsia="宋体" w:cs="宋体"/>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14.47</w:t>
      </w:r>
      <w:r>
        <w:rPr>
          <w:rFonts w:hint="eastAsia" w:ascii="宋体" w:hAnsi="宋体" w:eastAsia="宋体" w:cs="宋体"/>
          <w:color w:val="auto"/>
          <w:sz w:val="24"/>
          <w:szCs w:val="24"/>
          <w:highlight w:val="none"/>
          <w:lang w:val="en-US" w:eastAsia="zh-CN" w:bidi="ar"/>
        </w:rPr>
        <w:t xml:space="preserve"> 合同价款已包括探明、打碎及移去所有在施工期间所遇到的地下障碍物如石块、结构混凝土、素混凝土、砖块、坟头等，及用经认可的土壤回填于空位内，合同价款亦已包括因上述障碍物而引致工人及机械窝工的费用及其它一切费用。</w:t>
      </w:r>
    </w:p>
    <w:p w14:paraId="129BD866">
      <w:pPr>
        <w:pStyle w:val="36"/>
        <w:wordWrap w:val="0"/>
        <w:adjustRightInd w:val="0"/>
        <w:snapToGrid w:val="0"/>
        <w:spacing w:line="360" w:lineRule="auto"/>
        <w:ind w:firstLine="560"/>
        <w:rPr>
          <w:rFonts w:hint="eastAsia" w:ascii="宋体" w:hAnsi="宋体" w:eastAsia="宋体" w:cs="宋体"/>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14.48</w:t>
      </w:r>
      <w:r>
        <w:rPr>
          <w:rFonts w:hint="eastAsia" w:ascii="宋体" w:hAnsi="宋体" w:eastAsia="宋体" w:cs="宋体"/>
          <w:color w:val="auto"/>
          <w:sz w:val="24"/>
          <w:szCs w:val="24"/>
          <w:highlight w:val="none"/>
          <w:lang w:val="en-US" w:eastAsia="zh-CN" w:bidi="ar"/>
        </w:rPr>
        <w:t xml:space="preserve"> 合同履行期间，除分部分项工程量清单内人工及模板人工（不包含机械费中的人工）与分部分项工程清单内的商品混凝土、商品砂浆、钢筋、结构用型钢、砌体、在约定的条件下可调整价差外，合同价款及单价不会因任何物价或汇率的变动而作调整。</w:t>
      </w:r>
    </w:p>
    <w:p w14:paraId="43E2910D">
      <w:pPr>
        <w:pStyle w:val="36"/>
        <w:wordWrap w:val="0"/>
        <w:adjustRightInd w:val="0"/>
        <w:snapToGrid w:val="0"/>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bidi="ar"/>
        </w:rPr>
        <w:t>14.49</w:t>
      </w:r>
      <w:r>
        <w:rPr>
          <w:rFonts w:hint="eastAsia" w:ascii="宋体" w:hAnsi="宋体" w:eastAsia="宋体" w:cs="宋体"/>
          <w:color w:val="auto"/>
          <w:sz w:val="24"/>
          <w:szCs w:val="24"/>
          <w:highlight w:val="none"/>
          <w:lang w:val="en-US" w:eastAsia="zh-CN" w:bidi="ar"/>
        </w:rPr>
        <w:t xml:space="preserve"> 承包人应积极配合发包人进行与自行施工范围有关的变更、签证“一月一清”工作。</w:t>
      </w:r>
    </w:p>
    <w:p w14:paraId="387C6D78">
      <w:pPr>
        <w:spacing w:before="151" w:line="360" w:lineRule="auto"/>
        <w:ind w:left="476"/>
        <w:outlineLvl w:val="2"/>
        <w:rPr>
          <w:rFonts w:hint="eastAsia" w:ascii="宋体" w:hAnsi="宋体" w:eastAsia="宋体" w:cs="宋体"/>
          <w:b/>
          <w:bCs/>
          <w:color w:val="auto"/>
          <w:spacing w:val="-11"/>
          <w:sz w:val="24"/>
          <w:szCs w:val="24"/>
          <w:highlight w:val="none"/>
          <w:lang w:val="en-US" w:eastAsia="zh-CN"/>
        </w:rPr>
      </w:pPr>
      <w:bookmarkStart w:id="216" w:name="_Toc22494"/>
      <w:bookmarkStart w:id="217" w:name="_Toc9877"/>
      <w:r>
        <w:rPr>
          <w:rFonts w:hint="eastAsia" w:ascii="宋体" w:hAnsi="宋体" w:eastAsia="宋体" w:cs="宋体"/>
          <w:b/>
          <w:bCs/>
          <w:color w:val="auto"/>
          <w:spacing w:val="-11"/>
          <w:sz w:val="24"/>
          <w:szCs w:val="24"/>
          <w:highlight w:val="none"/>
          <w:lang w:val="en-US" w:eastAsia="zh-CN"/>
        </w:rPr>
        <w:t>15.违约及质量保证条款</w:t>
      </w:r>
      <w:bookmarkEnd w:id="216"/>
    </w:p>
    <w:p w14:paraId="6C4CDE94">
      <w:pPr>
        <w:pStyle w:val="36"/>
        <w:wordWrap w:val="0"/>
        <w:adjustRightInd w:val="0"/>
        <w:snapToGrid w:val="0"/>
        <w:spacing w:line="360" w:lineRule="auto"/>
        <w:ind w:firstLine="560"/>
        <w:rPr>
          <w:rFonts w:hint="eastAsia" w:ascii="宋体" w:hAnsi="宋体" w:eastAsia="宋体" w:cs="宋体"/>
          <w:b/>
          <w:bCs/>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 xml:space="preserve">15.1 </w:t>
      </w:r>
      <w:r>
        <w:rPr>
          <w:rFonts w:hint="eastAsia" w:ascii="宋体" w:hAnsi="宋体" w:eastAsia="宋体" w:cs="宋体"/>
          <w:b w:val="0"/>
          <w:bCs w:val="0"/>
          <w:color w:val="auto"/>
          <w:sz w:val="24"/>
          <w:szCs w:val="24"/>
          <w:highlight w:val="none"/>
          <w:lang w:val="en-US" w:eastAsia="zh-CN" w:bidi="ar"/>
        </w:rPr>
        <w:t>工程移交延误违约</w:t>
      </w:r>
      <w:bookmarkEnd w:id="217"/>
    </w:p>
    <w:p w14:paraId="0D7B8051">
      <w:pPr>
        <w:pStyle w:val="36"/>
        <w:snapToGrid w:val="0"/>
        <w:spacing w:line="360" w:lineRule="auto"/>
        <w:ind w:firstLine="560"/>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bCs/>
          <w:snapToGrid w:val="0"/>
          <w:color w:val="auto"/>
          <w:kern w:val="0"/>
          <w:sz w:val="24"/>
          <w:szCs w:val="24"/>
          <w:highlight w:val="none"/>
          <w:lang w:val="en-US" w:eastAsia="zh-CN"/>
        </w:rPr>
        <w:t>15.1.1</w:t>
      </w:r>
      <w:r>
        <w:rPr>
          <w:rFonts w:hint="eastAsia" w:ascii="宋体" w:hAnsi="宋体" w:eastAsia="宋体" w:cs="宋体"/>
          <w:b w:val="0"/>
          <w:bCs w:val="0"/>
          <w:snapToGrid w:val="0"/>
          <w:color w:val="auto"/>
          <w:kern w:val="0"/>
          <w:sz w:val="24"/>
          <w:szCs w:val="24"/>
          <w:highlight w:val="none"/>
          <w:lang w:val="en-US" w:eastAsia="zh-CN"/>
        </w:rPr>
        <w:t>因承包人原因，工程没有按期竣工时，承包人须在逾期第壹天起每天按合同价的</w:t>
      </w:r>
      <w:r>
        <w:rPr>
          <w:rFonts w:hint="eastAsia" w:ascii="宋体" w:hAnsi="宋体" w:eastAsia="宋体" w:cs="宋体"/>
          <w:b w:val="0"/>
          <w:bCs w:val="0"/>
          <w:snapToGrid w:val="0"/>
          <w:color w:val="auto"/>
          <w:kern w:val="0"/>
          <w:sz w:val="24"/>
          <w:szCs w:val="24"/>
          <w:highlight w:val="none"/>
          <w:u w:val="single"/>
          <w:lang w:val="en-US" w:eastAsia="zh-CN"/>
        </w:rPr>
        <w:t>1‰</w:t>
      </w:r>
      <w:r>
        <w:rPr>
          <w:rFonts w:hint="eastAsia" w:ascii="宋体" w:hAnsi="宋体" w:eastAsia="宋体" w:cs="宋体"/>
          <w:b w:val="0"/>
          <w:bCs w:val="0"/>
          <w:snapToGrid w:val="0"/>
          <w:color w:val="auto"/>
          <w:kern w:val="0"/>
          <w:sz w:val="24"/>
          <w:szCs w:val="24"/>
          <w:highlight w:val="none"/>
          <w:lang w:val="en-US" w:eastAsia="zh-CN"/>
        </w:rPr>
        <w:t>向发包人返纳逾期竣工违约金。逾期竣工违约金的最高限额为合同价款的</w:t>
      </w:r>
      <w:r>
        <w:rPr>
          <w:rFonts w:hint="eastAsia" w:ascii="宋体" w:hAnsi="宋体" w:eastAsia="宋体" w:cs="宋体"/>
          <w:b w:val="0"/>
          <w:bCs w:val="0"/>
          <w:snapToGrid w:val="0"/>
          <w:color w:val="auto"/>
          <w:kern w:val="0"/>
          <w:sz w:val="24"/>
          <w:szCs w:val="24"/>
          <w:highlight w:val="none"/>
          <w:u w:val="single"/>
          <w:lang w:val="en-US" w:eastAsia="zh-CN"/>
        </w:rPr>
        <w:t>1%</w:t>
      </w:r>
      <w:r>
        <w:rPr>
          <w:rFonts w:hint="eastAsia" w:ascii="宋体" w:hAnsi="宋体" w:eastAsia="宋体" w:cs="宋体"/>
          <w:b w:val="0"/>
          <w:bCs w:val="0"/>
          <w:snapToGrid w:val="0"/>
          <w:color w:val="auto"/>
          <w:kern w:val="0"/>
          <w:sz w:val="24"/>
          <w:szCs w:val="24"/>
          <w:highlight w:val="none"/>
          <w:lang w:val="en-US" w:eastAsia="zh-CN"/>
        </w:rPr>
        <w:t>。</w:t>
      </w:r>
    </w:p>
    <w:p w14:paraId="0C5D91D8">
      <w:pPr>
        <w:spacing w:line="360" w:lineRule="auto"/>
        <w:ind w:firstLine="475" w:firstLineChars="19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15</w:t>
      </w:r>
      <w:r>
        <w:rPr>
          <w:rFonts w:hint="eastAsia" w:ascii="宋体" w:hAnsi="宋体" w:eastAsia="宋体" w:cs="宋体"/>
          <w:b/>
          <w:bCs/>
          <w:color w:val="auto"/>
          <w:sz w:val="24"/>
          <w:szCs w:val="24"/>
          <w:highlight w:val="none"/>
        </w:rPr>
        <w:t>.1.2</w:t>
      </w:r>
      <w:r>
        <w:rPr>
          <w:rFonts w:hint="eastAsia" w:ascii="宋体" w:hAnsi="宋体" w:eastAsia="宋体" w:cs="宋体"/>
          <w:iCs/>
          <w:color w:val="auto"/>
          <w:sz w:val="24"/>
          <w:szCs w:val="24"/>
          <w:highlight w:val="none"/>
        </w:rPr>
        <w:t>承包人需提供各子项目的年度、季度、月、周施工计划报监理单位及发包人确认，在计划实施过程中，发包人及监理单位对承包人实际工期按周、月、季度进行检查、分析、评价，如与实际施工进度发生偏离的，由监理单位书面提醒承包人采取措施，如提醒后承包人未采取有效措施按施工计划按时完成的，</w:t>
      </w:r>
      <w:r>
        <w:rPr>
          <w:rFonts w:hint="eastAsia" w:ascii="宋体" w:hAnsi="宋体" w:eastAsia="宋体" w:cs="宋体"/>
          <w:color w:val="auto"/>
          <w:sz w:val="24"/>
          <w:szCs w:val="24"/>
          <w:highlight w:val="none"/>
        </w:rPr>
        <w:t>每次按2000元缴纳违约金给发包人，在结算中一并扣除。</w:t>
      </w:r>
    </w:p>
    <w:p w14:paraId="538FADF2">
      <w:pPr>
        <w:pStyle w:val="36"/>
        <w:snapToGrid w:val="0"/>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b/>
          <w:bCs/>
          <w:snapToGrid w:val="0"/>
          <w:color w:val="auto"/>
          <w:kern w:val="0"/>
          <w:sz w:val="24"/>
          <w:szCs w:val="24"/>
          <w:highlight w:val="none"/>
          <w:lang w:val="en-US" w:eastAsia="zh-CN"/>
        </w:rPr>
        <w:t>15</w:t>
      </w:r>
      <w:r>
        <w:rPr>
          <w:rFonts w:hint="eastAsia" w:ascii="宋体" w:hAnsi="宋体" w:eastAsia="宋体" w:cs="宋体"/>
          <w:b/>
          <w:bCs/>
          <w:snapToGrid w:val="0"/>
          <w:color w:val="auto"/>
          <w:kern w:val="0"/>
          <w:sz w:val="24"/>
          <w:szCs w:val="24"/>
          <w:highlight w:val="none"/>
        </w:rPr>
        <w:t>.1.3</w:t>
      </w:r>
      <w:r>
        <w:rPr>
          <w:rFonts w:hint="eastAsia" w:ascii="宋体" w:hAnsi="宋体" w:eastAsia="宋体" w:cs="宋体"/>
          <w:color w:val="auto"/>
          <w:sz w:val="24"/>
          <w:szCs w:val="24"/>
          <w:highlight w:val="none"/>
        </w:rPr>
        <w:t>承包人在进场后7天内提交施工进度计划，并注明主要施工节点时间，送监理单位及发包人审核后，作为工期考核的阶段性指标。</w:t>
      </w:r>
    </w:p>
    <w:p w14:paraId="11486E20">
      <w:pPr>
        <w:pStyle w:val="36"/>
        <w:keepNext w:val="0"/>
        <w:keepLines w:val="0"/>
        <w:pageBreakBefore w:val="0"/>
        <w:widowControl/>
        <w:wordWrap w:val="0"/>
        <w:overflowPunct/>
        <w:bidi w:val="0"/>
        <w:adjustRightInd w:val="0"/>
        <w:snapToGrid w:val="0"/>
        <w:spacing w:line="360" w:lineRule="auto"/>
        <w:ind w:firstLine="560"/>
        <w:rPr>
          <w:rFonts w:hint="eastAsia" w:ascii="宋体" w:hAnsi="宋体" w:eastAsia="宋体" w:cs="宋体"/>
          <w:b/>
          <w:bCs/>
          <w:color w:val="auto"/>
          <w:sz w:val="24"/>
          <w:szCs w:val="24"/>
          <w:highlight w:val="none"/>
          <w:lang w:val="en-US" w:eastAsia="zh-CN" w:bidi="ar"/>
        </w:rPr>
      </w:pPr>
      <w:bookmarkStart w:id="218" w:name="_Toc25518"/>
      <w:r>
        <w:rPr>
          <w:rFonts w:hint="eastAsia" w:ascii="宋体" w:hAnsi="宋体" w:eastAsia="宋体" w:cs="宋体"/>
          <w:b/>
          <w:bCs/>
          <w:color w:val="auto"/>
          <w:sz w:val="24"/>
          <w:szCs w:val="24"/>
          <w:highlight w:val="none"/>
          <w:lang w:val="en-US" w:eastAsia="zh-CN" w:bidi="ar"/>
        </w:rPr>
        <w:t xml:space="preserve">15.2 </w:t>
      </w:r>
      <w:r>
        <w:rPr>
          <w:rFonts w:hint="eastAsia" w:ascii="宋体" w:hAnsi="宋体" w:eastAsia="宋体" w:cs="宋体"/>
          <w:b w:val="0"/>
          <w:bCs w:val="0"/>
          <w:color w:val="auto"/>
          <w:sz w:val="24"/>
          <w:szCs w:val="24"/>
          <w:highlight w:val="none"/>
          <w:lang w:val="en-US" w:eastAsia="zh-CN" w:bidi="ar"/>
        </w:rPr>
        <w:t>质量违约</w:t>
      </w:r>
      <w:bookmarkEnd w:id="218"/>
    </w:p>
    <w:p w14:paraId="1D9615D2">
      <w:pPr>
        <w:keepNext w:val="0"/>
        <w:keepLines w:val="0"/>
        <w:pageBreakBefore w:val="0"/>
        <w:widowControl w:val="0"/>
        <w:kinsoku w:val="0"/>
        <w:wordWrap/>
        <w:overflowPunct/>
        <w:autoSpaceDE w:val="0"/>
        <w:autoSpaceDN w:val="0"/>
        <w:bidi w:val="0"/>
        <w:adjustRightInd w:val="0"/>
        <w:snapToGrid w:val="0"/>
        <w:spacing w:line="360" w:lineRule="auto"/>
        <w:ind w:firstLine="475" w:firstLineChars="197"/>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15</w:t>
      </w:r>
      <w:r>
        <w:rPr>
          <w:rFonts w:hint="eastAsia" w:ascii="宋体" w:hAnsi="宋体" w:eastAsia="宋体" w:cs="宋体"/>
          <w:b/>
          <w:bCs/>
          <w:color w:val="auto"/>
          <w:sz w:val="24"/>
          <w:szCs w:val="24"/>
          <w:highlight w:val="none"/>
        </w:rPr>
        <w:t>.2.1</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color w:val="auto"/>
          <w:sz w:val="24"/>
          <w:szCs w:val="24"/>
          <w:highlight w:val="none"/>
        </w:rPr>
        <w:t>材料违约处理：若发现材料不符合国家标准或发包人在技术规范中规定的标准，视为承包人违约，按现行《建设工程质量管理条例》处理。</w:t>
      </w:r>
    </w:p>
    <w:p w14:paraId="181B02AC">
      <w:pPr>
        <w:pStyle w:val="37"/>
        <w:keepNext w:val="0"/>
        <w:keepLines w:val="0"/>
        <w:pageBreakBefore w:val="0"/>
        <w:widowControl w:val="0"/>
        <w:kinsoku w:val="0"/>
        <w:wordWrap/>
        <w:overflowPunct/>
        <w:autoSpaceDE w:val="0"/>
        <w:autoSpaceDN w:val="0"/>
        <w:bidi w:val="0"/>
        <w:adjustRightInd w:val="0"/>
        <w:snapToGrid w:val="0"/>
        <w:spacing w:line="360" w:lineRule="auto"/>
        <w:ind w:firstLine="490"/>
        <w:textAlignment w:val="baseline"/>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val="en-US" w:eastAsia="zh-CN"/>
        </w:rPr>
        <w:t>15</w:t>
      </w:r>
      <w:r>
        <w:rPr>
          <w:rFonts w:hint="eastAsia" w:ascii="宋体" w:hAnsi="宋体" w:eastAsia="宋体" w:cs="宋体"/>
          <w:b/>
          <w:color w:val="auto"/>
          <w:sz w:val="24"/>
          <w:szCs w:val="24"/>
          <w:highlight w:val="none"/>
        </w:rPr>
        <w:t>.2.1.1</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color w:val="auto"/>
          <w:sz w:val="24"/>
          <w:szCs w:val="24"/>
          <w:highlight w:val="none"/>
        </w:rPr>
        <w:t>成品采购项目在采购前，承包人必须先行书面征求监理人、发包人的同意并一起看样定版后方能实施。未经监理人、发包人同意擅自先行采购和实施的，否则因不符合设计要求返工造成的费用由承包人承担。</w:t>
      </w:r>
    </w:p>
    <w:p w14:paraId="633665CF">
      <w:pPr>
        <w:keepNext w:val="0"/>
        <w:keepLines w:val="0"/>
        <w:pageBreakBefore w:val="0"/>
        <w:widowControl w:val="0"/>
        <w:kinsoku w:val="0"/>
        <w:wordWrap/>
        <w:overflowPunct/>
        <w:autoSpaceDE w:val="0"/>
        <w:autoSpaceDN w:val="0"/>
        <w:bidi w:val="0"/>
        <w:adjustRightInd w:val="0"/>
        <w:snapToGrid w:val="0"/>
        <w:spacing w:line="360" w:lineRule="auto"/>
        <w:ind w:firstLine="475" w:firstLineChars="197"/>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15</w:t>
      </w:r>
      <w:r>
        <w:rPr>
          <w:rFonts w:hint="eastAsia" w:ascii="宋体" w:hAnsi="宋体" w:eastAsia="宋体" w:cs="宋体"/>
          <w:b/>
          <w:bCs/>
          <w:color w:val="auto"/>
          <w:sz w:val="24"/>
          <w:szCs w:val="24"/>
          <w:highlight w:val="none"/>
        </w:rPr>
        <w:t>.2.2</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color w:val="auto"/>
          <w:sz w:val="24"/>
          <w:szCs w:val="24"/>
          <w:highlight w:val="none"/>
        </w:rPr>
        <w:t>工程质量违约：</w:t>
      </w:r>
    </w:p>
    <w:p w14:paraId="589C1495">
      <w:pPr>
        <w:keepNext w:val="0"/>
        <w:keepLines w:val="0"/>
        <w:pageBreakBefore w:val="0"/>
        <w:widowControl w:val="0"/>
        <w:kinsoku w:val="0"/>
        <w:wordWrap/>
        <w:overflowPunct/>
        <w:autoSpaceDE w:val="0"/>
        <w:autoSpaceDN w:val="0"/>
        <w:bidi w:val="0"/>
        <w:adjustRightInd w:val="0"/>
        <w:snapToGrid w:val="0"/>
        <w:spacing w:line="360" w:lineRule="auto"/>
        <w:ind w:firstLine="48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15</w:t>
      </w:r>
      <w:r>
        <w:rPr>
          <w:rFonts w:hint="eastAsia" w:ascii="宋体" w:hAnsi="宋体" w:eastAsia="宋体" w:cs="宋体"/>
          <w:b/>
          <w:bCs/>
          <w:color w:val="auto"/>
          <w:sz w:val="24"/>
          <w:szCs w:val="24"/>
          <w:highlight w:val="none"/>
        </w:rPr>
        <w:t>.2.2.1</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color w:val="auto"/>
          <w:sz w:val="24"/>
          <w:szCs w:val="24"/>
          <w:highlight w:val="none"/>
        </w:rPr>
        <w:t>在施工过程中经监理单位日常巡查或抽检发现未达到合格标准，责令承包人进行整改，如未按规定时间进行整改或整改不到位的，每次按5000元缴纳违约金给发包人，在进度款或结算款中一并扣除。</w:t>
      </w:r>
    </w:p>
    <w:p w14:paraId="204A6E6F">
      <w:pPr>
        <w:keepNext w:val="0"/>
        <w:keepLines w:val="0"/>
        <w:pageBreakBefore w:val="0"/>
        <w:widowControl w:val="0"/>
        <w:kinsoku w:val="0"/>
        <w:wordWrap/>
        <w:overflowPunct/>
        <w:autoSpaceDE w:val="0"/>
        <w:autoSpaceDN w:val="0"/>
        <w:bidi w:val="0"/>
        <w:adjustRightInd w:val="0"/>
        <w:snapToGrid w:val="0"/>
        <w:spacing w:line="360" w:lineRule="auto"/>
        <w:ind w:firstLine="48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15</w:t>
      </w:r>
      <w:r>
        <w:rPr>
          <w:rFonts w:hint="eastAsia" w:ascii="宋体" w:hAnsi="宋体" w:eastAsia="宋体" w:cs="宋体"/>
          <w:b/>
          <w:bCs/>
          <w:color w:val="auto"/>
          <w:sz w:val="24"/>
          <w:szCs w:val="24"/>
          <w:highlight w:val="none"/>
        </w:rPr>
        <w:t>.2.2.2</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color w:val="auto"/>
          <w:sz w:val="24"/>
          <w:szCs w:val="24"/>
          <w:highlight w:val="none"/>
        </w:rPr>
        <w:t>工程质量标准须</w:t>
      </w:r>
      <w:r>
        <w:rPr>
          <w:rFonts w:hint="eastAsia" w:ascii="宋体" w:hAnsi="宋体" w:eastAsia="宋体" w:cs="宋体"/>
          <w:color w:val="auto"/>
          <w:sz w:val="24"/>
          <w:szCs w:val="24"/>
          <w:highlight w:val="none"/>
          <w:lang w:eastAsia="zh-CN"/>
        </w:rPr>
        <w:t>达到《建筑工程施工质量验收统一标准》(GB50300-2013)和《建筑与市政工程施工质量控制通用规范》（GB55032-2022）合格</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如未达到合格标准，除无偿返工至合格外，还要按合同价款的1%向招标人支付质量违约金，工期不予顺延。</w:t>
      </w:r>
    </w:p>
    <w:p w14:paraId="7E9A0895">
      <w:pPr>
        <w:pStyle w:val="36"/>
        <w:wordWrap w:val="0"/>
        <w:adjustRightInd w:val="0"/>
        <w:snapToGrid w:val="0"/>
        <w:spacing w:line="360" w:lineRule="auto"/>
        <w:ind w:firstLine="560"/>
        <w:rPr>
          <w:rFonts w:hint="eastAsia" w:ascii="宋体" w:hAnsi="宋体" w:eastAsia="宋体" w:cs="宋体"/>
          <w:b w:val="0"/>
          <w:bCs w:val="0"/>
          <w:color w:val="auto"/>
          <w:sz w:val="24"/>
          <w:szCs w:val="24"/>
          <w:highlight w:val="none"/>
          <w:lang w:val="en-US" w:eastAsia="zh-CN" w:bidi="ar"/>
        </w:rPr>
      </w:pPr>
      <w:bookmarkStart w:id="219" w:name="_Toc6857"/>
      <w:r>
        <w:rPr>
          <w:rFonts w:hint="eastAsia" w:ascii="宋体" w:hAnsi="宋体" w:eastAsia="宋体" w:cs="宋体"/>
          <w:b/>
          <w:bCs/>
          <w:color w:val="auto"/>
          <w:sz w:val="24"/>
          <w:szCs w:val="24"/>
          <w:highlight w:val="none"/>
          <w:lang w:val="en-US" w:eastAsia="zh-CN" w:bidi="ar"/>
        </w:rPr>
        <w:t xml:space="preserve">15.3 </w:t>
      </w:r>
      <w:r>
        <w:rPr>
          <w:rFonts w:hint="eastAsia" w:ascii="宋体" w:hAnsi="宋体" w:eastAsia="宋体" w:cs="宋体"/>
          <w:b w:val="0"/>
          <w:bCs w:val="0"/>
          <w:color w:val="auto"/>
          <w:sz w:val="24"/>
          <w:szCs w:val="24"/>
          <w:highlight w:val="none"/>
          <w:lang w:val="en-US" w:eastAsia="zh-CN" w:bidi="ar"/>
        </w:rPr>
        <w:t>重大责任事故违约</w:t>
      </w:r>
      <w:bookmarkEnd w:id="219"/>
    </w:p>
    <w:p w14:paraId="2C4DF0E6">
      <w:pPr>
        <w:spacing w:line="360" w:lineRule="auto"/>
        <w:ind w:firstLine="475" w:firstLineChars="19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15</w:t>
      </w:r>
      <w:r>
        <w:rPr>
          <w:rFonts w:hint="eastAsia" w:ascii="宋体" w:hAnsi="宋体" w:eastAsia="宋体" w:cs="宋体"/>
          <w:b/>
          <w:bCs/>
          <w:color w:val="auto"/>
          <w:sz w:val="24"/>
          <w:szCs w:val="24"/>
          <w:highlight w:val="none"/>
        </w:rPr>
        <w:t>.3.1</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color w:val="auto"/>
          <w:sz w:val="24"/>
          <w:szCs w:val="24"/>
          <w:highlight w:val="none"/>
        </w:rPr>
        <w:t>承包人因违反国家安全质量法规及合同有关条款约定,出现火灾、坍塌、人员重伤、死亡等重大责任事故,则承包人应承担全部损失,并按相关法规接受行政处罚；如造成发包人及对第三人利益的损害,该等损害赔偿责任均由承包人承担。</w:t>
      </w:r>
    </w:p>
    <w:p w14:paraId="71FC9DF1">
      <w:pPr>
        <w:pStyle w:val="36"/>
        <w:wordWrap w:val="0"/>
        <w:adjustRightInd w:val="0"/>
        <w:snapToGrid w:val="0"/>
        <w:spacing w:line="360" w:lineRule="auto"/>
        <w:ind w:firstLine="560"/>
        <w:rPr>
          <w:rFonts w:hint="eastAsia" w:ascii="宋体" w:hAnsi="宋体" w:eastAsia="宋体" w:cs="宋体"/>
          <w:b/>
          <w:bCs/>
          <w:color w:val="auto"/>
          <w:sz w:val="24"/>
          <w:szCs w:val="24"/>
          <w:highlight w:val="none"/>
          <w:lang w:val="en-US" w:eastAsia="zh-CN" w:bidi="ar"/>
        </w:rPr>
      </w:pPr>
      <w:bookmarkStart w:id="220" w:name="_Toc8249"/>
      <w:r>
        <w:rPr>
          <w:rFonts w:hint="eastAsia" w:ascii="宋体" w:hAnsi="宋体" w:eastAsia="宋体" w:cs="宋体"/>
          <w:b/>
          <w:bCs/>
          <w:color w:val="auto"/>
          <w:sz w:val="24"/>
          <w:szCs w:val="24"/>
          <w:highlight w:val="none"/>
          <w:lang w:val="en-US" w:eastAsia="zh-CN" w:bidi="ar"/>
        </w:rPr>
        <w:t xml:space="preserve">15.4 </w:t>
      </w:r>
      <w:r>
        <w:rPr>
          <w:rFonts w:hint="eastAsia" w:ascii="宋体" w:hAnsi="宋体" w:eastAsia="宋体" w:cs="宋体"/>
          <w:b w:val="0"/>
          <w:bCs w:val="0"/>
          <w:color w:val="auto"/>
          <w:sz w:val="24"/>
          <w:szCs w:val="24"/>
          <w:highlight w:val="none"/>
          <w:lang w:val="en-US" w:eastAsia="zh-CN" w:bidi="ar"/>
        </w:rPr>
        <w:t>用工违约</w:t>
      </w:r>
      <w:bookmarkEnd w:id="220"/>
    </w:p>
    <w:p w14:paraId="1FA6EAFA">
      <w:pPr>
        <w:spacing w:line="360" w:lineRule="auto"/>
        <w:ind w:firstLine="482" w:firstLineChars="200"/>
        <w:rPr>
          <w:rFonts w:hint="eastAsia" w:ascii="宋体" w:hAnsi="宋体" w:eastAsia="宋体" w:cs="宋体"/>
          <w:bCs/>
          <w:color w:val="auto"/>
          <w:sz w:val="24"/>
          <w:szCs w:val="24"/>
          <w:highlight w:val="none"/>
        </w:rPr>
      </w:pPr>
      <w:r>
        <w:rPr>
          <w:rFonts w:hint="eastAsia" w:ascii="宋体" w:hAnsi="宋体" w:eastAsia="宋体" w:cs="宋体"/>
          <w:b/>
          <w:bCs w:val="0"/>
          <w:color w:val="auto"/>
          <w:sz w:val="24"/>
          <w:szCs w:val="24"/>
          <w:highlight w:val="none"/>
          <w:lang w:val="en-US" w:eastAsia="zh-CN"/>
        </w:rPr>
        <w:t>15</w:t>
      </w:r>
      <w:r>
        <w:rPr>
          <w:rFonts w:hint="eastAsia" w:ascii="宋体" w:hAnsi="宋体" w:eastAsia="宋体" w:cs="宋体"/>
          <w:b/>
          <w:bCs w:val="0"/>
          <w:color w:val="auto"/>
          <w:sz w:val="24"/>
          <w:szCs w:val="24"/>
          <w:highlight w:val="none"/>
        </w:rPr>
        <w:t>.4.1</w:t>
      </w:r>
      <w:r>
        <w:rPr>
          <w:rFonts w:hint="eastAsia" w:ascii="宋体" w:hAnsi="宋体" w:eastAsia="宋体" w:cs="宋体"/>
          <w:b/>
          <w:bCs w:val="0"/>
          <w:color w:val="auto"/>
          <w:sz w:val="24"/>
          <w:szCs w:val="24"/>
          <w:highlight w:val="none"/>
          <w:lang w:val="en-US" w:eastAsia="zh-CN"/>
        </w:rPr>
        <w:t xml:space="preserve"> </w:t>
      </w:r>
      <w:r>
        <w:rPr>
          <w:rFonts w:hint="eastAsia" w:ascii="宋体" w:hAnsi="宋体" w:eastAsia="宋体" w:cs="宋体"/>
          <w:bCs/>
          <w:color w:val="auto"/>
          <w:sz w:val="24"/>
          <w:szCs w:val="24"/>
          <w:highlight w:val="none"/>
        </w:rPr>
        <w:t>在合同履行期间，如经查实承包人拖欠或克扣农民工或劳务工工资，导致劳资纠纷或发生危及公共安全或正常社会秩序的事件的，按承包人违约处理，按人民币10000元/次从工程进度款中扣除。承包人必须无条件确保民工工资得到及时发放，无拖欠民工工资现象，并采取发包人认为切实可行的措施确保无劳资纠纷事件发生，如发生承包人拖欠民工工资并且向政府或发包人索要承包人拖欠工资的，发包人有权使用工人工资保证金或在剩余进度款范围内代承包人向民工支付工资，承包人对发包人垫付工资的人员范围和工资数额均不得提异议。发包人代支的工资除了从当期工程款内直接扣除外,承包人须按照发包人所垫付的民工工资2倍向发包人支付违约金。违约金在下期进度款中扣除。未在下期进度款扣除或承包人在发包人处已经无款可扣的，起计逾期支付利息。发包人可以在承包人其他任何款项中扣除所垫付的工资和相应的违约金与利息。承包人对提供的资料真实性负责，如发现虚假不实情况，承包人须向发包人支付违约金20000元/次。</w:t>
      </w:r>
    </w:p>
    <w:p w14:paraId="64BF36BB">
      <w:pPr>
        <w:spacing w:line="360" w:lineRule="auto"/>
        <w:ind w:firstLine="475" w:firstLineChars="197"/>
        <w:rPr>
          <w:rFonts w:hint="eastAsia" w:ascii="宋体" w:hAnsi="宋体" w:eastAsia="宋体" w:cs="宋体"/>
          <w:color w:val="auto"/>
          <w:sz w:val="24"/>
          <w:szCs w:val="24"/>
          <w:highlight w:val="none"/>
        </w:rPr>
      </w:pPr>
      <w:r>
        <w:rPr>
          <w:rFonts w:hint="eastAsia" w:ascii="宋体" w:hAnsi="宋体" w:eastAsia="宋体" w:cs="宋体"/>
          <w:b/>
          <w:bCs w:val="0"/>
          <w:color w:val="auto"/>
          <w:sz w:val="24"/>
          <w:szCs w:val="24"/>
          <w:highlight w:val="none"/>
          <w:lang w:val="en-US" w:eastAsia="zh-CN"/>
        </w:rPr>
        <w:t>15</w:t>
      </w:r>
      <w:r>
        <w:rPr>
          <w:rFonts w:hint="eastAsia" w:ascii="宋体" w:hAnsi="宋体" w:eastAsia="宋体" w:cs="宋体"/>
          <w:b/>
          <w:bCs w:val="0"/>
          <w:color w:val="auto"/>
          <w:sz w:val="24"/>
          <w:szCs w:val="24"/>
          <w:highlight w:val="none"/>
        </w:rPr>
        <w:t>.4.2</w:t>
      </w:r>
      <w:r>
        <w:rPr>
          <w:rFonts w:hint="eastAsia" w:ascii="宋体" w:hAnsi="宋体" w:eastAsia="宋体" w:cs="宋体"/>
          <w:b/>
          <w:bCs w:val="0"/>
          <w:color w:val="auto"/>
          <w:sz w:val="24"/>
          <w:szCs w:val="24"/>
          <w:highlight w:val="none"/>
          <w:lang w:val="en-US" w:eastAsia="zh-CN"/>
        </w:rPr>
        <w:t xml:space="preserve"> </w:t>
      </w:r>
      <w:r>
        <w:rPr>
          <w:rFonts w:hint="eastAsia" w:ascii="宋体" w:hAnsi="宋体" w:eastAsia="宋体" w:cs="宋体"/>
          <w:bCs/>
          <w:color w:val="auto"/>
          <w:sz w:val="24"/>
          <w:szCs w:val="24"/>
          <w:highlight w:val="none"/>
        </w:rPr>
        <w:t>承包人应积极落实有关部门关于用工实名制管理工作的要求，未按规定落实农民工工资专户及实用工实名制要求，经有关部门警告或处罚的，按违约金人民币10000元/次从工程进度款中扣除。</w:t>
      </w:r>
    </w:p>
    <w:p w14:paraId="7A158BB3">
      <w:pPr>
        <w:pStyle w:val="36"/>
        <w:wordWrap w:val="0"/>
        <w:adjustRightInd w:val="0"/>
        <w:snapToGrid w:val="0"/>
        <w:spacing w:line="360" w:lineRule="auto"/>
        <w:ind w:firstLine="560"/>
        <w:rPr>
          <w:rFonts w:hint="eastAsia" w:ascii="宋体" w:hAnsi="宋体" w:eastAsia="宋体" w:cs="宋体"/>
          <w:b/>
          <w:bCs/>
          <w:color w:val="auto"/>
          <w:sz w:val="24"/>
          <w:szCs w:val="24"/>
          <w:highlight w:val="none"/>
          <w:lang w:val="en-US" w:eastAsia="zh-CN" w:bidi="ar"/>
        </w:rPr>
      </w:pPr>
      <w:bookmarkStart w:id="221" w:name="_Toc28116"/>
      <w:r>
        <w:rPr>
          <w:rFonts w:hint="eastAsia" w:ascii="宋体" w:hAnsi="宋体" w:eastAsia="宋体" w:cs="宋体"/>
          <w:b/>
          <w:bCs/>
          <w:color w:val="auto"/>
          <w:sz w:val="24"/>
          <w:szCs w:val="24"/>
          <w:highlight w:val="none"/>
          <w:lang w:val="en-US" w:eastAsia="zh-CN" w:bidi="ar"/>
        </w:rPr>
        <w:t xml:space="preserve">15.5 </w:t>
      </w:r>
      <w:r>
        <w:rPr>
          <w:rFonts w:hint="eastAsia" w:ascii="宋体" w:hAnsi="宋体" w:eastAsia="宋体" w:cs="宋体"/>
          <w:b w:val="0"/>
          <w:bCs w:val="0"/>
          <w:color w:val="auto"/>
          <w:sz w:val="24"/>
          <w:szCs w:val="24"/>
          <w:highlight w:val="none"/>
          <w:lang w:val="en-US" w:eastAsia="zh-CN" w:bidi="ar"/>
        </w:rPr>
        <w:t>安全文明施工违约</w:t>
      </w:r>
      <w:bookmarkEnd w:id="221"/>
    </w:p>
    <w:p w14:paraId="46AC7959">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Cs/>
          <w:color w:val="auto"/>
          <w:sz w:val="24"/>
          <w:szCs w:val="24"/>
          <w:highlight w:val="none"/>
        </w:rPr>
      </w:pPr>
      <w:r>
        <w:rPr>
          <w:rFonts w:hint="eastAsia" w:ascii="宋体" w:hAnsi="宋体" w:eastAsia="宋体" w:cs="宋体"/>
          <w:b/>
          <w:bCs w:val="0"/>
          <w:color w:val="auto"/>
          <w:sz w:val="24"/>
          <w:szCs w:val="24"/>
          <w:highlight w:val="none"/>
          <w:lang w:val="en-US" w:eastAsia="zh-CN"/>
        </w:rPr>
        <w:t>15</w:t>
      </w:r>
      <w:r>
        <w:rPr>
          <w:rFonts w:hint="eastAsia" w:ascii="宋体" w:hAnsi="宋体" w:eastAsia="宋体" w:cs="宋体"/>
          <w:b/>
          <w:bCs w:val="0"/>
          <w:color w:val="auto"/>
          <w:sz w:val="24"/>
          <w:szCs w:val="24"/>
          <w:highlight w:val="none"/>
        </w:rPr>
        <w:t>.5.1</w:t>
      </w:r>
      <w:r>
        <w:rPr>
          <w:rFonts w:hint="eastAsia" w:ascii="宋体" w:hAnsi="宋体" w:eastAsia="宋体" w:cs="宋体"/>
          <w:b/>
          <w:bCs w:val="0"/>
          <w:color w:val="auto"/>
          <w:sz w:val="24"/>
          <w:szCs w:val="24"/>
          <w:highlight w:val="none"/>
          <w:lang w:val="en-US" w:eastAsia="zh-CN"/>
        </w:rPr>
        <w:t xml:space="preserve"> </w:t>
      </w:r>
      <w:r>
        <w:rPr>
          <w:rFonts w:hint="eastAsia" w:ascii="宋体" w:hAnsi="宋体" w:eastAsia="宋体" w:cs="宋体"/>
          <w:bCs/>
          <w:color w:val="auto"/>
          <w:sz w:val="24"/>
          <w:szCs w:val="24"/>
          <w:highlight w:val="none"/>
        </w:rPr>
        <w:t>承包人应严格遵守国家、省、市有关防火、爆破和施工安全以及文明施工、深夜施工、环卫和城市管理等规定，建立规章制度和防护措施，并组织施工。</w:t>
      </w:r>
    </w:p>
    <w:p w14:paraId="729C277B">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Cs/>
          <w:color w:val="auto"/>
          <w:sz w:val="24"/>
          <w:szCs w:val="24"/>
          <w:highlight w:val="none"/>
        </w:rPr>
      </w:pPr>
      <w:r>
        <w:rPr>
          <w:rFonts w:hint="eastAsia" w:ascii="宋体" w:hAnsi="宋体" w:eastAsia="宋体" w:cs="宋体"/>
          <w:b/>
          <w:bCs w:val="0"/>
          <w:color w:val="auto"/>
          <w:sz w:val="24"/>
          <w:szCs w:val="24"/>
          <w:highlight w:val="none"/>
          <w:lang w:val="en-US" w:eastAsia="zh-CN"/>
        </w:rPr>
        <w:t>15</w:t>
      </w:r>
      <w:r>
        <w:rPr>
          <w:rFonts w:hint="eastAsia" w:ascii="宋体" w:hAnsi="宋体" w:eastAsia="宋体" w:cs="宋体"/>
          <w:b/>
          <w:bCs w:val="0"/>
          <w:color w:val="auto"/>
          <w:sz w:val="24"/>
          <w:szCs w:val="24"/>
          <w:highlight w:val="none"/>
        </w:rPr>
        <w:t>.5.2</w:t>
      </w:r>
      <w:r>
        <w:rPr>
          <w:rFonts w:hint="eastAsia" w:ascii="宋体" w:hAnsi="宋体" w:eastAsia="宋体" w:cs="宋体"/>
          <w:b/>
          <w:bCs w:val="0"/>
          <w:color w:val="auto"/>
          <w:sz w:val="24"/>
          <w:szCs w:val="24"/>
          <w:highlight w:val="none"/>
          <w:lang w:val="en-US" w:eastAsia="zh-CN"/>
        </w:rPr>
        <w:t xml:space="preserve"> </w:t>
      </w:r>
      <w:r>
        <w:rPr>
          <w:rFonts w:hint="eastAsia" w:ascii="宋体" w:hAnsi="宋体" w:eastAsia="宋体" w:cs="宋体"/>
          <w:bCs/>
          <w:color w:val="auto"/>
          <w:sz w:val="24"/>
          <w:szCs w:val="24"/>
          <w:highlight w:val="none"/>
        </w:rPr>
        <w:t>承包人现场施工人员存在野蛮施工行为，经现场发包人（含监理单位）管理人员确认后，承包人须按10000元/次缴纳违约金；如因野蛮施工行为，引起投诉或网络问政的，承包人须按5000元/次缴纳违约金；并承担因野蛮施工行为所造成的全部责任。</w:t>
      </w:r>
    </w:p>
    <w:p w14:paraId="12C9CB6B">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Cs/>
          <w:color w:val="auto"/>
          <w:sz w:val="24"/>
          <w:szCs w:val="24"/>
          <w:highlight w:val="none"/>
        </w:rPr>
      </w:pPr>
      <w:r>
        <w:rPr>
          <w:rFonts w:hint="eastAsia" w:ascii="宋体" w:hAnsi="宋体" w:eastAsia="宋体" w:cs="宋体"/>
          <w:b/>
          <w:bCs w:val="0"/>
          <w:color w:val="auto"/>
          <w:sz w:val="24"/>
          <w:szCs w:val="24"/>
          <w:highlight w:val="none"/>
          <w:lang w:val="en-US" w:eastAsia="zh-CN"/>
        </w:rPr>
        <w:t>15</w:t>
      </w:r>
      <w:r>
        <w:rPr>
          <w:rFonts w:hint="eastAsia" w:ascii="宋体" w:hAnsi="宋体" w:eastAsia="宋体" w:cs="宋体"/>
          <w:b/>
          <w:bCs w:val="0"/>
          <w:color w:val="auto"/>
          <w:sz w:val="24"/>
          <w:szCs w:val="24"/>
          <w:highlight w:val="none"/>
        </w:rPr>
        <w:t>.5.3</w:t>
      </w:r>
      <w:r>
        <w:rPr>
          <w:rFonts w:hint="eastAsia" w:ascii="宋体" w:hAnsi="宋体" w:eastAsia="宋体" w:cs="宋体"/>
          <w:b/>
          <w:bCs w:val="0"/>
          <w:color w:val="auto"/>
          <w:sz w:val="24"/>
          <w:szCs w:val="24"/>
          <w:highlight w:val="none"/>
          <w:lang w:val="en-US" w:eastAsia="zh-CN"/>
        </w:rPr>
        <w:t xml:space="preserve"> </w:t>
      </w:r>
      <w:r>
        <w:rPr>
          <w:rFonts w:hint="eastAsia" w:ascii="宋体" w:hAnsi="宋体" w:eastAsia="宋体" w:cs="宋体"/>
          <w:bCs/>
          <w:color w:val="auto"/>
          <w:sz w:val="24"/>
          <w:szCs w:val="24"/>
          <w:highlight w:val="none"/>
        </w:rPr>
        <w:t>承包人必须接受发包人及监理单位组织的安全、文明施工的检查，检查中的不合格项目、安全隐患必须在规定的时间内整改完成，否则每拖延一天处以10000元人民币违约金，直至整改合格。</w:t>
      </w:r>
    </w:p>
    <w:p w14:paraId="51E817EA">
      <w:pPr>
        <w:spacing w:line="360" w:lineRule="auto"/>
        <w:ind w:firstLine="482" w:firstLineChars="200"/>
        <w:rPr>
          <w:rFonts w:hint="eastAsia" w:ascii="宋体" w:hAnsi="宋体" w:eastAsia="宋体" w:cs="宋体"/>
          <w:bCs/>
          <w:color w:val="auto"/>
          <w:sz w:val="24"/>
          <w:szCs w:val="24"/>
          <w:highlight w:val="none"/>
        </w:rPr>
      </w:pPr>
      <w:r>
        <w:rPr>
          <w:rFonts w:hint="eastAsia" w:ascii="宋体" w:hAnsi="宋体" w:eastAsia="宋体" w:cs="宋体"/>
          <w:b/>
          <w:bCs w:val="0"/>
          <w:color w:val="auto"/>
          <w:sz w:val="24"/>
          <w:szCs w:val="24"/>
          <w:highlight w:val="none"/>
          <w:lang w:val="en-US" w:eastAsia="zh-CN"/>
        </w:rPr>
        <w:t>15</w:t>
      </w:r>
      <w:r>
        <w:rPr>
          <w:rFonts w:hint="eastAsia" w:ascii="宋体" w:hAnsi="宋体" w:eastAsia="宋体" w:cs="宋体"/>
          <w:b/>
          <w:bCs w:val="0"/>
          <w:color w:val="auto"/>
          <w:sz w:val="24"/>
          <w:szCs w:val="24"/>
          <w:highlight w:val="none"/>
        </w:rPr>
        <w:t>.5.4</w:t>
      </w:r>
      <w:r>
        <w:rPr>
          <w:rFonts w:hint="eastAsia" w:ascii="宋体" w:hAnsi="宋体" w:eastAsia="宋体" w:cs="宋体"/>
          <w:b/>
          <w:bCs w:val="0"/>
          <w:color w:val="auto"/>
          <w:sz w:val="24"/>
          <w:szCs w:val="24"/>
          <w:highlight w:val="none"/>
          <w:lang w:val="en-US" w:eastAsia="zh-CN"/>
        </w:rPr>
        <w:t xml:space="preserve"> </w:t>
      </w:r>
      <w:r>
        <w:rPr>
          <w:rFonts w:hint="eastAsia" w:ascii="宋体" w:hAnsi="宋体" w:eastAsia="宋体" w:cs="宋体"/>
          <w:bCs/>
          <w:color w:val="auto"/>
          <w:sz w:val="24"/>
          <w:szCs w:val="24"/>
          <w:highlight w:val="none"/>
        </w:rPr>
        <w:t>承包人施工现场发生工伤或其他责任事故的，承包人按下列标准缴纳违约金：</w:t>
      </w:r>
    </w:p>
    <w:p w14:paraId="0E86324F">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①一次事故或全年累计死亡3人及以上：项目部必须撤换项目经理、主管安全副经理和安全主管，一次或全年累计缴纳违约金100万元人民币；</w:t>
      </w:r>
    </w:p>
    <w:p w14:paraId="754DC732">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②一次事故或全年累计死亡2人：安全第一责任人在韶关市地区建设范围内公开检查；承包人必须撤换项目主管安全副经理或安全主管；一次或全年累计缴纳违约金60万元人民币；</w:t>
      </w:r>
    </w:p>
    <w:p w14:paraId="6C672175">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③全年死亡1人：安全第一责任人在韶关市地区建设范围内公开检查，并报其上级单位；承包人必须撤换项目安全主管；缴纳违约金30万元人民币。</w:t>
      </w:r>
    </w:p>
    <w:p w14:paraId="1A320279">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④重伤事故、造成10人及以上集体中毒住院、经济损失重大的火灾、设备及交通事故，缴纳违约金30万元人民币。</w:t>
      </w:r>
    </w:p>
    <w:p w14:paraId="68B62119">
      <w:pPr>
        <w:spacing w:line="360" w:lineRule="auto"/>
        <w:ind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⑤因施工造成的道路交通中断、通讯中断、管线漏水漏气等全部责任事故，由承包人承担责任，并缴纳违约金1万元人民币。</w:t>
      </w:r>
    </w:p>
    <w:p w14:paraId="62930D9D">
      <w:pPr>
        <w:pStyle w:val="36"/>
        <w:wordWrap w:val="0"/>
        <w:adjustRightInd w:val="0"/>
        <w:snapToGrid w:val="0"/>
        <w:spacing w:line="360" w:lineRule="auto"/>
        <w:ind w:firstLine="560"/>
        <w:rPr>
          <w:rFonts w:hint="eastAsia" w:ascii="宋体" w:hAnsi="宋体" w:eastAsia="宋体" w:cs="宋体"/>
          <w:b/>
          <w:bCs/>
          <w:color w:val="auto"/>
          <w:sz w:val="24"/>
          <w:szCs w:val="24"/>
          <w:highlight w:val="none"/>
          <w:lang w:val="en-US" w:eastAsia="zh-CN" w:bidi="ar"/>
        </w:rPr>
      </w:pPr>
      <w:bookmarkStart w:id="222" w:name="_Toc4275"/>
      <w:r>
        <w:rPr>
          <w:rFonts w:hint="eastAsia" w:ascii="宋体" w:hAnsi="宋体" w:eastAsia="宋体" w:cs="宋体"/>
          <w:b/>
          <w:bCs/>
          <w:color w:val="auto"/>
          <w:sz w:val="24"/>
          <w:szCs w:val="24"/>
          <w:highlight w:val="none"/>
          <w:lang w:val="en-US" w:eastAsia="zh-CN" w:bidi="ar"/>
        </w:rPr>
        <w:t xml:space="preserve">15.6 </w:t>
      </w:r>
      <w:r>
        <w:rPr>
          <w:rFonts w:hint="eastAsia" w:ascii="宋体" w:hAnsi="宋体" w:eastAsia="宋体" w:cs="宋体"/>
          <w:b w:val="0"/>
          <w:bCs w:val="0"/>
          <w:color w:val="auto"/>
          <w:sz w:val="24"/>
          <w:szCs w:val="24"/>
          <w:highlight w:val="none"/>
          <w:lang w:val="en-US" w:eastAsia="zh-CN" w:bidi="ar"/>
        </w:rPr>
        <w:t>其他违约</w:t>
      </w:r>
      <w:bookmarkEnd w:id="222"/>
    </w:p>
    <w:p w14:paraId="3F885637">
      <w:pPr>
        <w:spacing w:line="360" w:lineRule="auto"/>
        <w:ind w:firstLine="482" w:firstLineChars="200"/>
        <w:rPr>
          <w:rFonts w:hint="eastAsia" w:ascii="宋体" w:hAnsi="宋体" w:eastAsia="宋体" w:cs="宋体"/>
          <w:bCs/>
          <w:color w:val="auto"/>
          <w:sz w:val="24"/>
          <w:szCs w:val="24"/>
          <w:highlight w:val="none"/>
        </w:rPr>
      </w:pPr>
      <w:r>
        <w:rPr>
          <w:rFonts w:hint="eastAsia" w:ascii="宋体" w:hAnsi="宋体" w:eastAsia="宋体" w:cs="宋体"/>
          <w:b/>
          <w:bCs w:val="0"/>
          <w:color w:val="auto"/>
          <w:sz w:val="24"/>
          <w:szCs w:val="24"/>
          <w:highlight w:val="none"/>
          <w:lang w:val="en-US" w:eastAsia="zh-CN"/>
        </w:rPr>
        <w:t>15</w:t>
      </w:r>
      <w:r>
        <w:rPr>
          <w:rFonts w:hint="eastAsia" w:ascii="宋体" w:hAnsi="宋体" w:eastAsia="宋体" w:cs="宋体"/>
          <w:b/>
          <w:bCs w:val="0"/>
          <w:color w:val="auto"/>
          <w:sz w:val="24"/>
          <w:szCs w:val="24"/>
          <w:highlight w:val="none"/>
        </w:rPr>
        <w:t>.6.1</w:t>
      </w:r>
      <w:r>
        <w:rPr>
          <w:rFonts w:hint="eastAsia" w:ascii="宋体" w:hAnsi="宋体" w:eastAsia="宋体" w:cs="宋体"/>
          <w:b/>
          <w:bCs w:val="0"/>
          <w:color w:val="auto"/>
          <w:sz w:val="24"/>
          <w:szCs w:val="24"/>
          <w:highlight w:val="none"/>
          <w:lang w:val="en-US" w:eastAsia="zh-CN"/>
        </w:rPr>
        <w:t xml:space="preserve"> </w:t>
      </w:r>
      <w:r>
        <w:rPr>
          <w:rFonts w:hint="eastAsia" w:ascii="宋体" w:hAnsi="宋体" w:eastAsia="宋体" w:cs="宋体"/>
          <w:bCs/>
          <w:color w:val="auto"/>
          <w:sz w:val="24"/>
          <w:szCs w:val="24"/>
          <w:highlight w:val="none"/>
        </w:rPr>
        <w:t>承包人安排在施工场地的主要管理人员（主要指项目经理、项目技术负责人和专职安全生产管理人员）应与承包人投标文件承诺的名单一致，并保持相对稳定。未经总监理工程师批准，上述人员不应无故不到位或被替换。如果擅自更换项目负责人或项目技术负责人，承包人每更换一人次，需支付20000元违约金给发包人，如果擅自更换主要施工管理人员，每更换一人次，承包人需支付10000元违约金给发包人。若确实无法到位或需替换，需经总监理工程师审核并报发包人批准后，承包人可安排同等资历的人员替换；考勤采用人脸识别打卡每月累计不到位次数超过10天，按5000元/人/天缴纳违约金给发包人；在日常检查及相关会议中主要管理人员不到岗，按违约金人民币1000元/人/次从工程进度款中扣除。</w:t>
      </w:r>
    </w:p>
    <w:p w14:paraId="70AAA128">
      <w:pPr>
        <w:spacing w:line="360" w:lineRule="auto"/>
        <w:ind w:firstLine="482" w:firstLineChars="200"/>
        <w:rPr>
          <w:rFonts w:hint="eastAsia" w:ascii="宋体" w:hAnsi="宋体" w:eastAsia="宋体" w:cs="宋体"/>
          <w:bCs/>
          <w:color w:val="auto"/>
          <w:sz w:val="24"/>
          <w:szCs w:val="24"/>
          <w:highlight w:val="none"/>
        </w:rPr>
      </w:pPr>
      <w:r>
        <w:rPr>
          <w:rFonts w:hint="eastAsia" w:ascii="宋体" w:hAnsi="宋体" w:eastAsia="宋体" w:cs="宋体"/>
          <w:b/>
          <w:bCs w:val="0"/>
          <w:color w:val="auto"/>
          <w:sz w:val="24"/>
          <w:szCs w:val="24"/>
          <w:highlight w:val="none"/>
          <w:lang w:val="en-US" w:eastAsia="zh-CN"/>
        </w:rPr>
        <w:t>15</w:t>
      </w:r>
      <w:r>
        <w:rPr>
          <w:rFonts w:hint="eastAsia" w:ascii="宋体" w:hAnsi="宋体" w:eastAsia="宋体" w:cs="宋体"/>
          <w:b/>
          <w:bCs w:val="0"/>
          <w:color w:val="auto"/>
          <w:sz w:val="24"/>
          <w:szCs w:val="24"/>
          <w:highlight w:val="none"/>
        </w:rPr>
        <w:t>.6.2</w:t>
      </w:r>
      <w:r>
        <w:rPr>
          <w:rFonts w:hint="eastAsia" w:ascii="宋体" w:hAnsi="宋体" w:eastAsia="宋体" w:cs="宋体"/>
          <w:bCs/>
          <w:color w:val="auto"/>
          <w:sz w:val="24"/>
          <w:szCs w:val="24"/>
          <w:highlight w:val="none"/>
        </w:rPr>
        <w:t xml:space="preserve"> 承包人施工资料必须与形象进度同步，如发包人在日常检查中发现不同步的现象的，视为违约并按违约金人民币1000元/次从工程进度款中扣除。</w:t>
      </w:r>
    </w:p>
    <w:p w14:paraId="7E2B002B">
      <w:pPr>
        <w:spacing w:line="360" w:lineRule="auto"/>
        <w:ind w:firstLine="482" w:firstLineChars="200"/>
        <w:rPr>
          <w:rFonts w:hint="eastAsia" w:ascii="宋体" w:hAnsi="宋体" w:eastAsia="宋体" w:cs="宋体"/>
          <w:bCs/>
          <w:color w:val="auto"/>
          <w:sz w:val="24"/>
          <w:szCs w:val="24"/>
          <w:highlight w:val="none"/>
        </w:rPr>
      </w:pPr>
      <w:r>
        <w:rPr>
          <w:rFonts w:hint="eastAsia" w:ascii="宋体" w:hAnsi="宋体" w:eastAsia="宋体" w:cs="宋体"/>
          <w:b/>
          <w:bCs w:val="0"/>
          <w:color w:val="auto"/>
          <w:sz w:val="24"/>
          <w:szCs w:val="24"/>
          <w:highlight w:val="none"/>
          <w:lang w:val="en-US" w:eastAsia="zh-CN"/>
        </w:rPr>
        <w:t>15</w:t>
      </w:r>
      <w:r>
        <w:rPr>
          <w:rFonts w:hint="eastAsia" w:ascii="宋体" w:hAnsi="宋体" w:eastAsia="宋体" w:cs="宋体"/>
          <w:b/>
          <w:bCs w:val="0"/>
          <w:color w:val="auto"/>
          <w:sz w:val="24"/>
          <w:szCs w:val="24"/>
          <w:highlight w:val="none"/>
        </w:rPr>
        <w:t>.6.3</w:t>
      </w:r>
      <w:r>
        <w:rPr>
          <w:rFonts w:hint="eastAsia" w:ascii="宋体" w:hAnsi="宋体" w:eastAsia="宋体" w:cs="宋体"/>
          <w:b/>
          <w:bCs w:val="0"/>
          <w:color w:val="auto"/>
          <w:sz w:val="24"/>
          <w:szCs w:val="24"/>
          <w:highlight w:val="none"/>
          <w:lang w:val="en-US" w:eastAsia="zh-CN"/>
        </w:rPr>
        <w:t xml:space="preserve"> </w:t>
      </w:r>
      <w:r>
        <w:rPr>
          <w:rFonts w:hint="eastAsia" w:ascii="宋体" w:hAnsi="宋体" w:eastAsia="宋体" w:cs="宋体"/>
          <w:bCs/>
          <w:color w:val="auto"/>
          <w:sz w:val="24"/>
          <w:szCs w:val="24"/>
          <w:highlight w:val="none"/>
        </w:rPr>
        <w:t>发包人要求承包人替换项目部中不称职人员或能力有异议，而承包人不予替换，视为承包人违约，承包人须按承包人项目部主要管理人员（主要指项目经理、项目技术负责人和专职安全生产管理人员）20000元/人次缴纳违约金给发包人。</w:t>
      </w:r>
    </w:p>
    <w:p w14:paraId="1454ACB7">
      <w:pPr>
        <w:spacing w:line="360" w:lineRule="auto"/>
        <w:ind w:firstLine="482" w:firstLineChars="200"/>
        <w:rPr>
          <w:rFonts w:hint="eastAsia" w:ascii="宋体" w:hAnsi="宋体" w:eastAsia="宋体" w:cs="宋体"/>
          <w:bCs/>
          <w:color w:val="auto"/>
          <w:sz w:val="24"/>
          <w:szCs w:val="24"/>
          <w:highlight w:val="none"/>
        </w:rPr>
      </w:pPr>
      <w:r>
        <w:rPr>
          <w:rFonts w:hint="eastAsia" w:ascii="宋体" w:hAnsi="宋体" w:eastAsia="宋体" w:cs="宋体"/>
          <w:b/>
          <w:bCs w:val="0"/>
          <w:color w:val="auto"/>
          <w:sz w:val="24"/>
          <w:szCs w:val="24"/>
          <w:highlight w:val="none"/>
          <w:lang w:val="en-US" w:eastAsia="zh-CN"/>
        </w:rPr>
        <w:t>15</w:t>
      </w:r>
      <w:r>
        <w:rPr>
          <w:rFonts w:hint="eastAsia" w:ascii="宋体" w:hAnsi="宋体" w:eastAsia="宋体" w:cs="宋体"/>
          <w:b/>
          <w:bCs w:val="0"/>
          <w:color w:val="auto"/>
          <w:sz w:val="24"/>
          <w:szCs w:val="24"/>
          <w:highlight w:val="none"/>
        </w:rPr>
        <w:t>.6.4</w:t>
      </w:r>
      <w:r>
        <w:rPr>
          <w:rFonts w:hint="eastAsia" w:ascii="宋体" w:hAnsi="宋体" w:eastAsia="宋体" w:cs="宋体"/>
          <w:b/>
          <w:bCs w:val="0"/>
          <w:color w:val="auto"/>
          <w:sz w:val="24"/>
          <w:szCs w:val="24"/>
          <w:highlight w:val="none"/>
          <w:lang w:val="en-US" w:eastAsia="zh-CN"/>
        </w:rPr>
        <w:t xml:space="preserve"> </w:t>
      </w:r>
      <w:r>
        <w:rPr>
          <w:rFonts w:hint="eastAsia" w:ascii="宋体" w:hAnsi="宋体" w:eastAsia="宋体" w:cs="宋体"/>
          <w:bCs/>
          <w:color w:val="auto"/>
          <w:sz w:val="24"/>
          <w:szCs w:val="24"/>
          <w:highlight w:val="none"/>
        </w:rPr>
        <w:t>发包人对上述约定中的规定并不免除承包人接受国家、地方政府相关部门依法对承包人的处罚。</w:t>
      </w:r>
    </w:p>
    <w:p w14:paraId="131B29AE">
      <w:pPr>
        <w:spacing w:line="360" w:lineRule="auto"/>
        <w:ind w:firstLine="482" w:firstLineChars="200"/>
        <w:rPr>
          <w:rFonts w:hint="eastAsia" w:ascii="宋体" w:hAnsi="宋体" w:eastAsia="宋体" w:cs="宋体"/>
          <w:bCs/>
          <w:color w:val="auto"/>
          <w:sz w:val="24"/>
          <w:szCs w:val="24"/>
          <w:highlight w:val="none"/>
        </w:rPr>
      </w:pPr>
      <w:r>
        <w:rPr>
          <w:rFonts w:hint="eastAsia" w:ascii="宋体" w:hAnsi="宋体" w:eastAsia="宋体" w:cs="宋体"/>
          <w:b/>
          <w:bCs w:val="0"/>
          <w:color w:val="auto"/>
          <w:sz w:val="24"/>
          <w:szCs w:val="24"/>
          <w:highlight w:val="none"/>
          <w:lang w:val="en-US" w:eastAsia="zh-CN"/>
        </w:rPr>
        <w:t>15</w:t>
      </w:r>
      <w:r>
        <w:rPr>
          <w:rFonts w:hint="eastAsia" w:ascii="宋体" w:hAnsi="宋体" w:eastAsia="宋体" w:cs="宋体"/>
          <w:b/>
          <w:bCs w:val="0"/>
          <w:color w:val="auto"/>
          <w:sz w:val="24"/>
          <w:szCs w:val="24"/>
          <w:highlight w:val="none"/>
        </w:rPr>
        <w:t>.6.5</w:t>
      </w:r>
      <w:r>
        <w:rPr>
          <w:rFonts w:hint="eastAsia" w:ascii="宋体" w:hAnsi="宋体" w:eastAsia="宋体" w:cs="宋体"/>
          <w:b/>
          <w:bCs w:val="0"/>
          <w:color w:val="auto"/>
          <w:sz w:val="24"/>
          <w:szCs w:val="24"/>
          <w:highlight w:val="none"/>
          <w:lang w:val="en-US" w:eastAsia="zh-CN"/>
        </w:rPr>
        <w:t xml:space="preserve"> </w:t>
      </w:r>
      <w:r>
        <w:rPr>
          <w:rFonts w:hint="eastAsia" w:ascii="宋体" w:hAnsi="宋体" w:eastAsia="宋体" w:cs="宋体"/>
          <w:bCs/>
          <w:color w:val="auto"/>
          <w:sz w:val="24"/>
          <w:szCs w:val="24"/>
          <w:highlight w:val="none"/>
        </w:rPr>
        <w:t>承包人没有正当合理的理由中途退场，可扣除承包人已递交的所有履约保证金作为违约金。</w:t>
      </w:r>
    </w:p>
    <w:p w14:paraId="18C370B0">
      <w:pPr>
        <w:spacing w:line="360" w:lineRule="auto"/>
        <w:ind w:firstLine="482" w:firstLineChars="200"/>
        <w:rPr>
          <w:rFonts w:hint="eastAsia" w:ascii="宋体" w:hAnsi="宋体" w:eastAsia="宋体" w:cs="宋体"/>
          <w:bCs/>
          <w:color w:val="auto"/>
          <w:sz w:val="24"/>
          <w:szCs w:val="24"/>
          <w:highlight w:val="none"/>
        </w:rPr>
      </w:pPr>
      <w:r>
        <w:rPr>
          <w:rFonts w:hint="eastAsia" w:ascii="宋体" w:hAnsi="宋体" w:eastAsia="宋体" w:cs="宋体"/>
          <w:b/>
          <w:bCs w:val="0"/>
          <w:color w:val="auto"/>
          <w:sz w:val="24"/>
          <w:szCs w:val="24"/>
          <w:highlight w:val="none"/>
          <w:lang w:val="en-US" w:eastAsia="zh-CN"/>
        </w:rPr>
        <w:t>15</w:t>
      </w:r>
      <w:r>
        <w:rPr>
          <w:rFonts w:hint="eastAsia" w:ascii="宋体" w:hAnsi="宋体" w:eastAsia="宋体" w:cs="宋体"/>
          <w:b/>
          <w:bCs w:val="0"/>
          <w:color w:val="auto"/>
          <w:sz w:val="24"/>
          <w:szCs w:val="24"/>
          <w:highlight w:val="none"/>
        </w:rPr>
        <w:t>.6.6</w:t>
      </w:r>
      <w:r>
        <w:rPr>
          <w:rFonts w:hint="eastAsia" w:ascii="宋体" w:hAnsi="宋体" w:eastAsia="宋体" w:cs="宋体"/>
          <w:b/>
          <w:bCs w:val="0"/>
          <w:color w:val="auto"/>
          <w:sz w:val="24"/>
          <w:szCs w:val="24"/>
          <w:highlight w:val="none"/>
          <w:lang w:val="en-US" w:eastAsia="zh-CN"/>
        </w:rPr>
        <w:t xml:space="preserve"> </w:t>
      </w:r>
      <w:r>
        <w:rPr>
          <w:rFonts w:hint="eastAsia" w:ascii="宋体" w:hAnsi="宋体" w:eastAsia="宋体" w:cs="宋体"/>
          <w:bCs/>
          <w:color w:val="auto"/>
          <w:sz w:val="24"/>
          <w:szCs w:val="24"/>
          <w:highlight w:val="none"/>
        </w:rPr>
        <w:t>有下列情况之一的，承包人在一年内不得参与发包人的任何工程任务，并勒令从现施工的工地退场，同时按违约金人民币50000元从工程进度款中扣除：</w:t>
      </w:r>
    </w:p>
    <w:p w14:paraId="13573040">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A、路面沉降、开裂超过规范要求并造成不良社会影响的；</w:t>
      </w:r>
    </w:p>
    <w:p w14:paraId="2D6F4834">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B、发生重大责任安全事故的；</w:t>
      </w:r>
    </w:p>
    <w:p w14:paraId="3C314A72">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C、不能在合同规定的期限内竣工的；</w:t>
      </w:r>
    </w:p>
    <w:p w14:paraId="6C9E5A92">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D、承包人所承担的施工任务在施工期间，由于工程质量或工程进度原因，监理单位发出10个以上﹙含10个﹚停工令的；</w:t>
      </w:r>
    </w:p>
    <w:p w14:paraId="571A4F11">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E、质量监督部门在抽检时发出5个以上（含5个）由于工程质量原因通报的；</w:t>
      </w:r>
    </w:p>
    <w:p w14:paraId="3C08B80A">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F、业主组织的质量大检查发现由于工程质量原因而通报二次以上（含二次）的；</w:t>
      </w:r>
    </w:p>
    <w:p w14:paraId="300ADEC7">
      <w:pPr>
        <w:spacing w:line="360" w:lineRule="auto"/>
        <w:ind w:firstLine="482" w:firstLineChars="200"/>
        <w:rPr>
          <w:rFonts w:hint="eastAsia" w:ascii="宋体" w:hAnsi="宋体" w:eastAsia="宋体" w:cs="宋体"/>
          <w:bCs/>
          <w:color w:val="auto"/>
          <w:sz w:val="24"/>
          <w:szCs w:val="24"/>
          <w:highlight w:val="none"/>
        </w:rPr>
      </w:pPr>
      <w:r>
        <w:rPr>
          <w:rFonts w:hint="eastAsia" w:ascii="宋体" w:hAnsi="宋体" w:eastAsia="宋体" w:cs="宋体"/>
          <w:b/>
          <w:bCs w:val="0"/>
          <w:color w:val="auto"/>
          <w:sz w:val="24"/>
          <w:szCs w:val="24"/>
          <w:highlight w:val="none"/>
          <w:lang w:val="en-US" w:eastAsia="zh-CN"/>
        </w:rPr>
        <w:t>15</w:t>
      </w:r>
      <w:r>
        <w:rPr>
          <w:rFonts w:hint="eastAsia" w:ascii="宋体" w:hAnsi="宋体" w:eastAsia="宋体" w:cs="宋体"/>
          <w:b/>
          <w:bCs w:val="0"/>
          <w:color w:val="auto"/>
          <w:sz w:val="24"/>
          <w:szCs w:val="24"/>
          <w:highlight w:val="none"/>
        </w:rPr>
        <w:t>.6.7</w:t>
      </w:r>
      <w:r>
        <w:rPr>
          <w:rFonts w:hint="eastAsia" w:ascii="宋体" w:hAnsi="宋体" w:eastAsia="宋体" w:cs="宋体"/>
          <w:b/>
          <w:bCs w:val="0"/>
          <w:color w:val="auto"/>
          <w:sz w:val="24"/>
          <w:szCs w:val="24"/>
          <w:highlight w:val="none"/>
          <w:lang w:val="en-US" w:eastAsia="zh-CN"/>
        </w:rPr>
        <w:t xml:space="preserve"> </w:t>
      </w:r>
      <w:r>
        <w:rPr>
          <w:rFonts w:hint="eastAsia" w:ascii="宋体" w:hAnsi="宋体" w:eastAsia="宋体" w:cs="宋体"/>
          <w:bCs/>
          <w:color w:val="auto"/>
          <w:sz w:val="24"/>
          <w:szCs w:val="24"/>
          <w:highlight w:val="none"/>
        </w:rPr>
        <w:t>承包人必须严格塔吊、起重机等机械设备及货梯、提升机等机电设备的安装、拆卸和使用运行管理。必须落实持证上岗、专人操作、专人检查，严格落实每天操作前和操作后的检查，检查发现未落实相关措施和规定的，按违约金人民币2000元/次从工程进度款中扣除。</w:t>
      </w:r>
    </w:p>
    <w:p w14:paraId="0F1810E3">
      <w:pPr>
        <w:spacing w:line="360" w:lineRule="auto"/>
        <w:ind w:firstLine="482" w:firstLineChars="200"/>
        <w:rPr>
          <w:rFonts w:hint="eastAsia" w:ascii="宋体" w:hAnsi="宋体" w:eastAsia="宋体" w:cs="宋体"/>
          <w:bCs/>
          <w:color w:val="auto"/>
          <w:sz w:val="24"/>
          <w:szCs w:val="24"/>
          <w:highlight w:val="none"/>
        </w:rPr>
      </w:pPr>
      <w:r>
        <w:rPr>
          <w:rFonts w:hint="eastAsia" w:ascii="宋体" w:hAnsi="宋体" w:eastAsia="宋体" w:cs="宋体"/>
          <w:b/>
          <w:bCs w:val="0"/>
          <w:color w:val="auto"/>
          <w:sz w:val="24"/>
          <w:szCs w:val="24"/>
          <w:highlight w:val="none"/>
          <w:lang w:val="en-US" w:eastAsia="zh-CN"/>
        </w:rPr>
        <w:t>15</w:t>
      </w:r>
      <w:r>
        <w:rPr>
          <w:rFonts w:hint="eastAsia" w:ascii="宋体" w:hAnsi="宋体" w:eastAsia="宋体" w:cs="宋体"/>
          <w:b/>
          <w:bCs w:val="0"/>
          <w:color w:val="auto"/>
          <w:sz w:val="24"/>
          <w:szCs w:val="24"/>
          <w:highlight w:val="none"/>
        </w:rPr>
        <w:t>.6.8</w:t>
      </w:r>
      <w:r>
        <w:rPr>
          <w:rFonts w:hint="eastAsia" w:ascii="宋体" w:hAnsi="宋体" w:eastAsia="宋体" w:cs="宋体"/>
          <w:b/>
          <w:bCs w:val="0"/>
          <w:color w:val="auto"/>
          <w:sz w:val="24"/>
          <w:szCs w:val="24"/>
          <w:highlight w:val="none"/>
          <w:lang w:val="en-US" w:eastAsia="zh-CN"/>
        </w:rPr>
        <w:t xml:space="preserve"> </w:t>
      </w:r>
      <w:r>
        <w:rPr>
          <w:rFonts w:hint="eastAsia" w:ascii="宋体" w:hAnsi="宋体" w:eastAsia="宋体" w:cs="宋体"/>
          <w:bCs/>
          <w:color w:val="auto"/>
          <w:sz w:val="24"/>
          <w:szCs w:val="24"/>
          <w:highlight w:val="none"/>
        </w:rPr>
        <w:t>承包人应加强生活用电管理，检查发现私拉乱接电线的，承包人须按人民币500元/次缴纳违约金给发包人。</w:t>
      </w:r>
    </w:p>
    <w:p w14:paraId="168FAA31">
      <w:pPr>
        <w:spacing w:line="360" w:lineRule="auto"/>
        <w:ind w:firstLine="482" w:firstLineChars="200"/>
        <w:rPr>
          <w:rFonts w:hint="eastAsia" w:ascii="宋体" w:hAnsi="宋体" w:eastAsia="宋体" w:cs="宋体"/>
          <w:bCs/>
          <w:color w:val="auto"/>
          <w:sz w:val="24"/>
          <w:szCs w:val="24"/>
          <w:highlight w:val="none"/>
        </w:rPr>
      </w:pPr>
      <w:r>
        <w:rPr>
          <w:rFonts w:hint="eastAsia" w:ascii="宋体" w:hAnsi="宋体" w:eastAsia="宋体" w:cs="宋体"/>
          <w:b/>
          <w:bCs w:val="0"/>
          <w:color w:val="auto"/>
          <w:sz w:val="24"/>
          <w:szCs w:val="24"/>
          <w:highlight w:val="none"/>
          <w:lang w:val="en-US" w:eastAsia="zh-CN"/>
        </w:rPr>
        <w:t>15</w:t>
      </w:r>
      <w:r>
        <w:rPr>
          <w:rFonts w:hint="eastAsia" w:ascii="宋体" w:hAnsi="宋体" w:eastAsia="宋体" w:cs="宋体"/>
          <w:b/>
          <w:bCs w:val="0"/>
          <w:color w:val="auto"/>
          <w:sz w:val="24"/>
          <w:szCs w:val="24"/>
          <w:highlight w:val="none"/>
        </w:rPr>
        <w:t>.6.9</w:t>
      </w:r>
      <w:r>
        <w:rPr>
          <w:rFonts w:hint="eastAsia" w:ascii="宋体" w:hAnsi="宋体" w:eastAsia="宋体" w:cs="宋体"/>
          <w:b/>
          <w:bCs w:val="0"/>
          <w:color w:val="auto"/>
          <w:sz w:val="24"/>
          <w:szCs w:val="24"/>
          <w:highlight w:val="none"/>
          <w:lang w:val="en-US" w:eastAsia="zh-CN"/>
        </w:rPr>
        <w:t xml:space="preserve"> </w:t>
      </w:r>
      <w:r>
        <w:rPr>
          <w:rFonts w:hint="eastAsia" w:ascii="宋体" w:hAnsi="宋体" w:eastAsia="宋体" w:cs="宋体"/>
          <w:bCs/>
          <w:color w:val="auto"/>
          <w:sz w:val="24"/>
          <w:szCs w:val="24"/>
          <w:highlight w:val="none"/>
        </w:rPr>
        <w:t>承包人应加强建设范围内因雨季造成临时积水部位的管理，防止发生淹亡、溺亡事故，若因措施不严造成的后果全部由承包人承担。</w:t>
      </w:r>
    </w:p>
    <w:p w14:paraId="67A9EE07">
      <w:pPr>
        <w:spacing w:line="360" w:lineRule="auto"/>
        <w:ind w:firstLine="482" w:firstLineChars="200"/>
        <w:rPr>
          <w:rFonts w:hint="eastAsia" w:ascii="宋体" w:hAnsi="宋体" w:eastAsia="宋体" w:cs="宋体"/>
          <w:bCs/>
          <w:color w:val="auto"/>
          <w:sz w:val="24"/>
          <w:szCs w:val="24"/>
          <w:highlight w:val="none"/>
        </w:rPr>
      </w:pPr>
      <w:r>
        <w:rPr>
          <w:rFonts w:hint="eastAsia" w:ascii="宋体" w:hAnsi="宋体" w:eastAsia="宋体" w:cs="宋体"/>
          <w:b/>
          <w:bCs w:val="0"/>
          <w:color w:val="auto"/>
          <w:sz w:val="24"/>
          <w:szCs w:val="24"/>
          <w:highlight w:val="none"/>
          <w:lang w:val="en-US" w:eastAsia="zh-CN"/>
        </w:rPr>
        <w:t>15</w:t>
      </w:r>
      <w:r>
        <w:rPr>
          <w:rFonts w:hint="eastAsia" w:ascii="宋体" w:hAnsi="宋体" w:eastAsia="宋体" w:cs="宋体"/>
          <w:b/>
          <w:bCs w:val="0"/>
          <w:color w:val="auto"/>
          <w:sz w:val="24"/>
          <w:szCs w:val="24"/>
          <w:highlight w:val="none"/>
        </w:rPr>
        <w:t>.6.10</w:t>
      </w:r>
      <w:r>
        <w:rPr>
          <w:rFonts w:hint="eastAsia" w:ascii="宋体" w:hAnsi="宋体" w:eastAsia="宋体" w:cs="宋体"/>
          <w:b/>
          <w:bCs w:val="0"/>
          <w:color w:val="auto"/>
          <w:sz w:val="24"/>
          <w:szCs w:val="24"/>
          <w:highlight w:val="none"/>
          <w:lang w:val="en-US" w:eastAsia="zh-CN"/>
        </w:rPr>
        <w:t xml:space="preserve"> </w:t>
      </w:r>
      <w:r>
        <w:rPr>
          <w:rFonts w:hint="eastAsia" w:ascii="宋体" w:hAnsi="宋体" w:eastAsia="宋体" w:cs="宋体"/>
          <w:bCs/>
          <w:color w:val="auto"/>
          <w:sz w:val="24"/>
          <w:szCs w:val="24"/>
          <w:highlight w:val="none"/>
        </w:rPr>
        <w:t>国家发生疫情或其他重大风险期间，承包人不执行有关部门关于特殊时期管控规定、不落实相关措施的，承包人须按人民币1000元/人/次缴纳违约金给发包人。</w:t>
      </w:r>
    </w:p>
    <w:p w14:paraId="6F9DB328">
      <w:pPr>
        <w:spacing w:line="360" w:lineRule="auto"/>
        <w:ind w:firstLine="352" w:firstLineChars="147"/>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承包人因上述违约行为而须缴纳的违约金在工程进度款中或结算时一并扣除。</w:t>
      </w:r>
    </w:p>
    <w:p w14:paraId="1A93E041">
      <w:pPr>
        <w:pStyle w:val="9"/>
        <w:spacing w:line="360" w:lineRule="auto"/>
        <w:ind w:firstLine="482" w:firstLineChars="200"/>
        <w:rPr>
          <w:rFonts w:hint="eastAsia" w:ascii="宋体" w:hAnsi="宋体" w:eastAsia="宋体" w:cs="宋体"/>
          <w:color w:val="auto"/>
          <w:sz w:val="24"/>
          <w:szCs w:val="24"/>
          <w:highlight w:val="none"/>
          <w:lang w:eastAsia="zh-CN"/>
        </w:rPr>
      </w:pPr>
      <w:r>
        <w:rPr>
          <w:rFonts w:hint="eastAsia" w:ascii="宋体" w:hAnsi="宋体" w:eastAsia="宋体" w:cs="宋体"/>
          <w:b/>
          <w:bCs w:val="0"/>
          <w:color w:val="auto"/>
          <w:sz w:val="24"/>
          <w:szCs w:val="24"/>
          <w:highlight w:val="none"/>
          <w:lang w:val="en-US" w:eastAsia="zh-CN"/>
        </w:rPr>
        <w:t>15</w:t>
      </w:r>
      <w:r>
        <w:rPr>
          <w:rFonts w:hint="eastAsia" w:ascii="宋体" w:hAnsi="宋体" w:eastAsia="宋体" w:cs="宋体"/>
          <w:b/>
          <w:bCs w:val="0"/>
          <w:color w:val="auto"/>
          <w:sz w:val="24"/>
          <w:szCs w:val="24"/>
          <w:highlight w:val="none"/>
          <w:lang w:eastAsia="zh-CN"/>
        </w:rPr>
        <w:t>.7</w:t>
      </w:r>
      <w:r>
        <w:rPr>
          <w:rFonts w:hint="eastAsia" w:ascii="宋体" w:hAnsi="宋体" w:eastAsia="宋体" w:cs="宋体"/>
          <w:b/>
          <w:bCs w:val="0"/>
          <w:color w:val="auto"/>
          <w:sz w:val="24"/>
          <w:szCs w:val="24"/>
          <w:highlight w:val="none"/>
          <w:lang w:val="en-US" w:eastAsia="zh-CN"/>
        </w:rPr>
        <w:t xml:space="preserve"> </w:t>
      </w:r>
      <w:r>
        <w:rPr>
          <w:rFonts w:hint="eastAsia" w:ascii="宋体" w:hAnsi="宋体" w:eastAsia="宋体" w:cs="宋体"/>
          <w:bCs/>
          <w:color w:val="auto"/>
          <w:sz w:val="24"/>
          <w:szCs w:val="24"/>
          <w:highlight w:val="none"/>
          <w:lang w:eastAsia="zh-CN"/>
        </w:rPr>
        <w:t>专业工程发包：</w:t>
      </w:r>
      <w:r>
        <w:rPr>
          <w:rFonts w:hint="eastAsia" w:ascii="宋体" w:hAnsi="宋体" w:eastAsia="宋体" w:cs="宋体"/>
          <w:bCs/>
          <w:color w:val="auto"/>
          <w:sz w:val="24"/>
          <w:szCs w:val="24"/>
          <w:highlight w:val="none"/>
        </w:rPr>
        <w:t>合同范围内的工程未经发包人同意一律不得发包，一经发现，取消承包人的承包资格，由此引起的一切经济损失和法律责任由承包人自行承担。若有专业工程必须发包的，发包人不另行支付总包服务费；其发包合同由承包人与对方签订，发包人不参与承包人与对方之间的结算，该部分工程的造价仍按承包人与发包人签订的合同的有关条款进行结算。注：本项目包含电力部分及电力附属部分内容，应由执有电力相关专业资质的单位承接，若达到必须招标规模标准的，由中标人招标，招标人参与管理，确定电力专业工程承包人和合同价格。</w:t>
      </w:r>
    </w:p>
    <w:p w14:paraId="4678F62D">
      <w:pPr>
        <w:pStyle w:val="36"/>
        <w:wordWrap w:val="0"/>
        <w:adjustRightInd w:val="0"/>
        <w:snapToGrid w:val="0"/>
        <w:spacing w:line="360" w:lineRule="auto"/>
        <w:ind w:firstLine="560"/>
        <w:rPr>
          <w:rFonts w:hint="eastAsia" w:ascii="宋体" w:hAnsi="宋体" w:eastAsia="宋体" w:cs="宋体"/>
          <w:b/>
          <w:bCs/>
          <w:color w:val="auto"/>
          <w:sz w:val="24"/>
          <w:szCs w:val="24"/>
          <w:highlight w:val="none"/>
          <w:lang w:val="en-US" w:eastAsia="zh-CN" w:bidi="ar"/>
        </w:rPr>
      </w:pPr>
      <w:bookmarkStart w:id="223" w:name="_Toc21685"/>
      <w:r>
        <w:rPr>
          <w:rFonts w:hint="eastAsia" w:ascii="宋体" w:hAnsi="宋体" w:eastAsia="宋体" w:cs="宋体"/>
          <w:b/>
          <w:bCs/>
          <w:color w:val="auto"/>
          <w:sz w:val="24"/>
          <w:szCs w:val="24"/>
          <w:highlight w:val="none"/>
          <w:lang w:val="en-US" w:eastAsia="zh-CN" w:bidi="ar"/>
        </w:rPr>
        <w:t xml:space="preserve">15.8  </w:t>
      </w:r>
      <w:r>
        <w:rPr>
          <w:rFonts w:hint="eastAsia" w:ascii="宋体" w:hAnsi="宋体" w:eastAsia="宋体" w:cs="宋体"/>
          <w:b w:val="0"/>
          <w:bCs w:val="0"/>
          <w:color w:val="auto"/>
          <w:sz w:val="24"/>
          <w:szCs w:val="24"/>
          <w:highlight w:val="none"/>
          <w:lang w:val="en-US" w:eastAsia="zh-CN" w:bidi="ar"/>
        </w:rPr>
        <w:t>质量保证</w:t>
      </w:r>
      <w:bookmarkEnd w:id="223"/>
    </w:p>
    <w:p w14:paraId="73C841B6">
      <w:pPr>
        <w:wordWrap w:val="0"/>
        <w:spacing w:line="360" w:lineRule="auto"/>
        <w:ind w:firstLine="482" w:firstLineChars="200"/>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val="en-US" w:eastAsia="zh-CN"/>
        </w:rPr>
        <w:t>15</w:t>
      </w:r>
      <w:r>
        <w:rPr>
          <w:rFonts w:hint="eastAsia" w:ascii="宋体" w:hAnsi="宋体" w:eastAsia="宋体" w:cs="宋体"/>
          <w:b/>
          <w:bCs/>
          <w:color w:val="auto"/>
          <w:sz w:val="24"/>
          <w:szCs w:val="24"/>
          <w:highlight w:val="none"/>
          <w:lang w:eastAsia="zh-CN"/>
        </w:rPr>
        <w:t>.8.1</w:t>
      </w:r>
      <w:r>
        <w:rPr>
          <w:rFonts w:hint="eastAsia" w:ascii="宋体" w:hAnsi="宋体" w:eastAsia="宋体" w:cs="宋体"/>
          <w:color w:val="auto"/>
          <w:sz w:val="24"/>
          <w:szCs w:val="24"/>
          <w:highlight w:val="none"/>
          <w:lang w:eastAsia="zh-CN"/>
        </w:rPr>
        <w:t xml:space="preserve"> 本招标项目缺陷责任期为</w:t>
      </w:r>
      <w:r>
        <w:rPr>
          <w:rFonts w:hint="eastAsia" w:ascii="宋体" w:hAnsi="宋体" w:eastAsia="宋体" w:cs="宋体"/>
          <w:color w:val="auto"/>
          <w:sz w:val="24"/>
          <w:szCs w:val="24"/>
          <w:highlight w:val="none"/>
          <w:u w:val="single"/>
          <w:lang w:val="en-US" w:eastAsia="zh-CN"/>
        </w:rPr>
        <w:t xml:space="preserve"> 2 </w:t>
      </w:r>
      <w:r>
        <w:rPr>
          <w:rFonts w:hint="eastAsia" w:ascii="宋体" w:hAnsi="宋体" w:eastAsia="宋体" w:cs="宋体"/>
          <w:color w:val="auto"/>
          <w:sz w:val="24"/>
          <w:szCs w:val="24"/>
          <w:highlight w:val="none"/>
          <w:lang w:eastAsia="zh-CN"/>
        </w:rPr>
        <w:t>年（自通过竣工验收之日起计），在此期间预留金额为结算价</w:t>
      </w:r>
      <w:r>
        <w:rPr>
          <w:rFonts w:hint="eastAsia" w:ascii="宋体" w:hAnsi="宋体" w:eastAsia="宋体" w:cs="宋体"/>
          <w:color w:val="auto"/>
          <w:sz w:val="24"/>
          <w:szCs w:val="24"/>
          <w:highlight w:val="none"/>
          <w:u w:val="single"/>
          <w:lang w:eastAsia="zh-CN"/>
        </w:rPr>
        <w:t>3%</w:t>
      </w:r>
      <w:r>
        <w:rPr>
          <w:rFonts w:hint="eastAsia" w:ascii="宋体" w:hAnsi="宋体" w:eastAsia="宋体" w:cs="宋体"/>
          <w:color w:val="auto"/>
          <w:sz w:val="24"/>
          <w:szCs w:val="24"/>
          <w:highlight w:val="none"/>
          <w:lang w:eastAsia="zh-CN"/>
        </w:rPr>
        <w:t>的质量保证。</w:t>
      </w:r>
    </w:p>
    <w:p w14:paraId="4136F31C">
      <w:pPr>
        <w:wordWrap w:val="0"/>
        <w:spacing w:line="360" w:lineRule="auto"/>
        <w:ind w:firstLine="482" w:firstLineChars="200"/>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val="en-US" w:eastAsia="zh-CN"/>
        </w:rPr>
        <w:t>15</w:t>
      </w:r>
      <w:r>
        <w:rPr>
          <w:rFonts w:hint="eastAsia" w:ascii="宋体" w:hAnsi="宋体" w:eastAsia="宋体" w:cs="宋体"/>
          <w:b/>
          <w:bCs/>
          <w:color w:val="auto"/>
          <w:sz w:val="24"/>
          <w:szCs w:val="24"/>
          <w:highlight w:val="none"/>
          <w:lang w:eastAsia="zh-CN"/>
        </w:rPr>
        <w:t>.8.2</w:t>
      </w:r>
      <w:r>
        <w:rPr>
          <w:rFonts w:hint="eastAsia" w:ascii="宋体" w:hAnsi="宋体" w:eastAsia="宋体" w:cs="宋体"/>
          <w:color w:val="auto"/>
          <w:sz w:val="24"/>
          <w:szCs w:val="24"/>
          <w:highlight w:val="none"/>
          <w:lang w:eastAsia="zh-CN"/>
        </w:rPr>
        <w:t xml:space="preserve"> 质量保证的形式包括质量保证金、质量保证担保、质量保证保险三种，由承包人自主选择。（1）采用质量保证金形式的，在结清审定总造价时一次性扣留相应金额作为质量保证金。（2）采用质量保证担保或质量保证保险的，承包人应在竣工验收时向发包人提交有效的商业保函、银行保函或保险合同（或保险单）原件，商业保函、银行保函或保险合同（或保险单）的有效期不得短于缺陷责任期。</w:t>
      </w:r>
    </w:p>
    <w:p w14:paraId="365BFA4C">
      <w:pPr>
        <w:wordWrap w:val="0"/>
        <w:spacing w:line="360" w:lineRule="auto"/>
        <w:ind w:firstLine="482" w:firstLineChars="200"/>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val="en-US" w:eastAsia="zh-CN"/>
        </w:rPr>
        <w:t>15</w:t>
      </w:r>
      <w:r>
        <w:rPr>
          <w:rFonts w:hint="eastAsia" w:ascii="宋体" w:hAnsi="宋体" w:eastAsia="宋体" w:cs="宋体"/>
          <w:b/>
          <w:bCs/>
          <w:color w:val="auto"/>
          <w:sz w:val="24"/>
          <w:szCs w:val="24"/>
          <w:highlight w:val="none"/>
          <w:lang w:eastAsia="zh-CN"/>
        </w:rPr>
        <w:t xml:space="preserve">.8.3 </w:t>
      </w:r>
      <w:r>
        <w:rPr>
          <w:rFonts w:hint="eastAsia" w:ascii="宋体" w:hAnsi="宋体" w:eastAsia="宋体" w:cs="宋体"/>
          <w:color w:val="auto"/>
          <w:sz w:val="24"/>
          <w:szCs w:val="24"/>
          <w:highlight w:val="none"/>
          <w:lang w:eastAsia="zh-CN"/>
        </w:rPr>
        <w:t>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由他人原因造成的缺陷，发包人负责组织维修，承包人不承担费用，且发包人不得从质量保证中扣除费用。</w:t>
      </w:r>
    </w:p>
    <w:p w14:paraId="354BEC50">
      <w:pPr>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15</w:t>
      </w:r>
      <w:r>
        <w:rPr>
          <w:rFonts w:hint="eastAsia" w:ascii="宋体" w:hAnsi="宋体" w:eastAsia="宋体" w:cs="宋体"/>
          <w:b/>
          <w:bCs/>
          <w:color w:val="auto"/>
          <w:sz w:val="24"/>
          <w:szCs w:val="24"/>
          <w:highlight w:val="none"/>
          <w:lang w:eastAsia="zh-CN"/>
        </w:rPr>
        <w:t xml:space="preserve">.8.4 </w:t>
      </w:r>
      <w:r>
        <w:rPr>
          <w:rFonts w:hint="eastAsia" w:ascii="宋体" w:hAnsi="宋体" w:eastAsia="宋体" w:cs="宋体"/>
          <w:color w:val="auto"/>
          <w:sz w:val="24"/>
          <w:szCs w:val="24"/>
          <w:highlight w:val="none"/>
          <w:lang w:eastAsia="zh-CN"/>
        </w:rPr>
        <w:t>缺陷责任期内，承包人应认真履行合同约定的责任。缺陷责任期到期后，承包人向发包人申请退还质量保证，发包人应按照《建设工程质量保证金管理办法》有关规定将质量保证退还给承包人。</w:t>
      </w:r>
    </w:p>
    <w:p w14:paraId="58D94BAD">
      <w:pPr>
        <w:rPr>
          <w:rFonts w:hint="eastAsia" w:ascii="宋体" w:hAnsi="宋体" w:eastAsia="宋体" w:cs="宋体"/>
          <w:lang w:val="en-US" w:eastAsia="zh-CN"/>
        </w:rPr>
      </w:pPr>
    </w:p>
    <w:p w14:paraId="7FCFD948">
      <w:pPr>
        <w:rPr>
          <w:rFonts w:hint="eastAsia" w:ascii="宋体" w:hAnsi="宋体" w:eastAsia="宋体" w:cs="宋体"/>
          <w:lang w:val="en-US" w:eastAsia="zh-CN"/>
        </w:rPr>
      </w:pPr>
    </w:p>
    <w:p w14:paraId="2E939D59">
      <w:pPr>
        <w:rPr>
          <w:rFonts w:hint="eastAsia" w:ascii="宋体" w:hAnsi="宋体" w:eastAsia="宋体" w:cs="宋体"/>
          <w:lang w:val="en-US" w:eastAsia="zh-CN"/>
        </w:rPr>
      </w:pPr>
    </w:p>
    <w:p w14:paraId="0B476A82">
      <w:pPr>
        <w:rPr>
          <w:rFonts w:hint="eastAsia"/>
          <w:lang w:val="en-US" w:eastAsia="zh-CN"/>
        </w:rPr>
      </w:pPr>
    </w:p>
    <w:p w14:paraId="149E1870">
      <w:pPr>
        <w:rPr>
          <w:rFonts w:hint="eastAsia"/>
          <w:lang w:val="en-US" w:eastAsia="zh-CN"/>
        </w:rPr>
      </w:pPr>
    </w:p>
    <w:p w14:paraId="0E31E7B9">
      <w:pPr>
        <w:rPr>
          <w:rFonts w:hint="eastAsia" w:ascii="宋体" w:hAnsi="宋体" w:eastAsia="宋体" w:cs="宋体"/>
          <w:lang w:val="en-US" w:eastAsia="zh-CN"/>
        </w:rPr>
      </w:pPr>
    </w:p>
    <w:p w14:paraId="3F731866">
      <w:pPr>
        <w:rPr>
          <w:rFonts w:hint="eastAsia" w:ascii="宋体" w:hAnsi="宋体" w:eastAsia="宋体" w:cs="宋体"/>
          <w:lang w:val="en-US" w:eastAsia="zh-CN"/>
        </w:rPr>
      </w:pPr>
    </w:p>
    <w:p w14:paraId="173DB6B5">
      <w:pPr>
        <w:rPr>
          <w:rFonts w:hint="eastAsia" w:ascii="宋体" w:hAnsi="宋体" w:eastAsia="宋体" w:cs="宋体"/>
          <w:lang w:val="en-US" w:eastAsia="zh-CN"/>
        </w:rPr>
      </w:pPr>
    </w:p>
    <w:p w14:paraId="6A975D24">
      <w:pPr>
        <w:rPr>
          <w:rFonts w:hint="eastAsia" w:ascii="宋体" w:hAnsi="宋体" w:eastAsia="宋体" w:cs="宋体"/>
          <w:lang w:val="en-US" w:eastAsia="zh-CN"/>
        </w:rPr>
      </w:pPr>
    </w:p>
    <w:p w14:paraId="0E5278BB">
      <w:pPr>
        <w:rPr>
          <w:rFonts w:hint="eastAsia" w:ascii="宋体" w:hAnsi="宋体" w:eastAsia="宋体" w:cs="宋体"/>
          <w:lang w:val="en-US" w:eastAsia="zh-CN"/>
        </w:rPr>
      </w:pPr>
    </w:p>
    <w:p w14:paraId="05418F16">
      <w:pPr>
        <w:rPr>
          <w:rFonts w:hint="eastAsia" w:ascii="宋体" w:hAnsi="宋体" w:eastAsia="宋体" w:cs="宋体"/>
          <w:lang w:val="en-US" w:eastAsia="zh-CN"/>
        </w:rPr>
      </w:pPr>
    </w:p>
    <w:p w14:paraId="0E7CDE14">
      <w:pPr>
        <w:rPr>
          <w:rFonts w:hint="eastAsia" w:ascii="宋体" w:hAnsi="宋体" w:eastAsia="宋体" w:cs="宋体"/>
          <w:lang w:val="en-US" w:eastAsia="zh-CN"/>
        </w:rPr>
      </w:pPr>
    </w:p>
    <w:p w14:paraId="4F337BC7">
      <w:pPr>
        <w:rPr>
          <w:rFonts w:hint="eastAsia" w:ascii="宋体" w:hAnsi="宋体" w:eastAsia="宋体" w:cs="宋体"/>
          <w:lang w:val="en-US" w:eastAsia="zh-CN"/>
        </w:rPr>
      </w:pPr>
    </w:p>
    <w:p w14:paraId="18341E03">
      <w:pPr>
        <w:rPr>
          <w:rFonts w:hint="eastAsia" w:ascii="宋体" w:hAnsi="宋体" w:eastAsia="宋体" w:cs="宋体"/>
          <w:lang w:val="en-US" w:eastAsia="zh-CN"/>
        </w:rPr>
      </w:pPr>
    </w:p>
    <w:p w14:paraId="6F8358C6">
      <w:pPr>
        <w:rPr>
          <w:rFonts w:hint="eastAsia" w:ascii="宋体" w:hAnsi="宋体" w:eastAsia="宋体" w:cs="宋体"/>
          <w:lang w:val="en-US" w:eastAsia="zh-CN"/>
        </w:rPr>
      </w:pPr>
    </w:p>
    <w:p w14:paraId="71C1F71A">
      <w:pPr>
        <w:rPr>
          <w:rFonts w:hint="eastAsia" w:ascii="宋体" w:hAnsi="宋体" w:eastAsia="宋体" w:cs="宋体"/>
          <w:lang w:val="en-US" w:eastAsia="zh-CN"/>
        </w:rPr>
      </w:pPr>
    </w:p>
    <w:p w14:paraId="21D1F574">
      <w:pPr>
        <w:rPr>
          <w:rFonts w:hint="eastAsia" w:ascii="宋体" w:hAnsi="宋体" w:eastAsia="宋体" w:cs="宋体"/>
          <w:lang w:val="en-US" w:eastAsia="zh-CN"/>
        </w:rPr>
      </w:pPr>
    </w:p>
    <w:p w14:paraId="2CD315AE">
      <w:pPr>
        <w:rPr>
          <w:rFonts w:hint="eastAsia" w:ascii="宋体" w:hAnsi="宋体" w:eastAsia="宋体" w:cs="宋体"/>
          <w:lang w:val="en-US" w:eastAsia="zh-CN"/>
        </w:rPr>
      </w:pPr>
    </w:p>
    <w:p w14:paraId="47AF1870">
      <w:pPr>
        <w:rPr>
          <w:rFonts w:hint="eastAsia" w:ascii="宋体" w:hAnsi="宋体" w:eastAsia="宋体" w:cs="宋体"/>
          <w:lang w:val="en-US" w:eastAsia="zh-CN"/>
        </w:rPr>
      </w:pPr>
    </w:p>
    <w:p w14:paraId="37476A96">
      <w:pPr>
        <w:rPr>
          <w:rFonts w:hint="eastAsia" w:ascii="宋体" w:hAnsi="宋体" w:eastAsia="宋体" w:cs="宋体"/>
          <w:lang w:val="en-US" w:eastAsia="zh-CN"/>
        </w:rPr>
      </w:pPr>
    </w:p>
    <w:p w14:paraId="7423B61D">
      <w:pPr>
        <w:rPr>
          <w:rFonts w:hint="eastAsia" w:ascii="宋体" w:hAnsi="宋体" w:eastAsia="宋体" w:cs="宋体"/>
          <w:lang w:val="en-US" w:eastAsia="zh-CN"/>
        </w:rPr>
      </w:pPr>
    </w:p>
    <w:p w14:paraId="67C28AEE">
      <w:pPr>
        <w:rPr>
          <w:rFonts w:hint="eastAsia" w:ascii="宋体" w:hAnsi="宋体" w:eastAsia="宋体" w:cs="宋体"/>
          <w:lang w:val="en-US" w:eastAsia="zh-CN"/>
        </w:rPr>
      </w:pPr>
    </w:p>
    <w:p w14:paraId="43062068">
      <w:pPr>
        <w:rPr>
          <w:rFonts w:hint="eastAsia" w:ascii="宋体" w:hAnsi="宋体" w:eastAsia="宋体" w:cs="宋体"/>
          <w:lang w:val="en-US" w:eastAsia="zh-CN"/>
        </w:rPr>
      </w:pPr>
    </w:p>
    <w:p w14:paraId="6F2FBEA5">
      <w:pPr>
        <w:rPr>
          <w:rFonts w:hint="eastAsia" w:ascii="宋体" w:hAnsi="宋体" w:eastAsia="宋体" w:cs="宋体"/>
          <w:lang w:val="en-US" w:eastAsia="zh-CN"/>
        </w:rPr>
      </w:pPr>
    </w:p>
    <w:p w14:paraId="6AE7F9B8">
      <w:pPr>
        <w:rPr>
          <w:rFonts w:hint="eastAsia" w:ascii="宋体" w:hAnsi="宋体" w:eastAsia="宋体" w:cs="宋体"/>
          <w:lang w:val="en-US" w:eastAsia="zh-CN"/>
        </w:rPr>
      </w:pPr>
    </w:p>
    <w:p w14:paraId="5999B868">
      <w:pPr>
        <w:rPr>
          <w:rFonts w:hint="eastAsia" w:ascii="宋体" w:hAnsi="宋体" w:eastAsia="宋体" w:cs="宋体"/>
          <w:lang w:val="en-US" w:eastAsia="zh-CN"/>
        </w:rPr>
      </w:pPr>
    </w:p>
    <w:p w14:paraId="251B0041">
      <w:pPr>
        <w:rPr>
          <w:rFonts w:hint="eastAsia" w:ascii="宋体" w:hAnsi="宋体" w:eastAsia="宋体" w:cs="宋体"/>
          <w:lang w:val="en-US" w:eastAsia="zh-CN"/>
        </w:rPr>
      </w:pPr>
    </w:p>
    <w:p w14:paraId="6FB9D1E9">
      <w:pPr>
        <w:rPr>
          <w:rFonts w:hint="eastAsia" w:ascii="宋体" w:hAnsi="宋体" w:eastAsia="宋体" w:cs="宋体"/>
          <w:lang w:val="en-US" w:eastAsia="zh-CN"/>
        </w:rPr>
      </w:pPr>
    </w:p>
    <w:p w14:paraId="1E0D3329">
      <w:pPr>
        <w:rPr>
          <w:rFonts w:hint="eastAsia" w:ascii="宋体" w:hAnsi="宋体" w:eastAsia="宋体" w:cs="宋体"/>
          <w:lang w:val="en-US" w:eastAsia="zh-CN"/>
        </w:rPr>
      </w:pPr>
    </w:p>
    <w:p w14:paraId="0A1C2E85">
      <w:pPr>
        <w:rPr>
          <w:rFonts w:hint="eastAsia" w:ascii="宋体" w:hAnsi="宋体" w:eastAsia="宋体" w:cs="宋体"/>
          <w:lang w:val="en-US" w:eastAsia="zh-CN"/>
        </w:rPr>
      </w:pPr>
    </w:p>
    <w:p w14:paraId="450E2142">
      <w:pPr>
        <w:rPr>
          <w:rFonts w:hint="eastAsia" w:ascii="宋体" w:hAnsi="宋体" w:eastAsia="宋体" w:cs="宋体"/>
          <w:lang w:val="en-US" w:eastAsia="zh-CN"/>
        </w:rPr>
      </w:pPr>
    </w:p>
    <w:p w14:paraId="0F0DAA1B">
      <w:pPr>
        <w:rPr>
          <w:rFonts w:hint="eastAsia" w:ascii="宋体" w:hAnsi="宋体" w:eastAsia="宋体" w:cs="宋体"/>
          <w:lang w:val="en-US" w:eastAsia="zh-CN"/>
        </w:rPr>
      </w:pPr>
    </w:p>
    <w:p w14:paraId="54749CE1">
      <w:pPr>
        <w:rPr>
          <w:rFonts w:hint="eastAsia" w:ascii="宋体" w:hAnsi="宋体" w:eastAsia="宋体" w:cs="宋体"/>
          <w:lang w:val="en-US" w:eastAsia="zh-CN"/>
        </w:rPr>
      </w:pPr>
    </w:p>
    <w:p w14:paraId="5992B179">
      <w:pPr>
        <w:rPr>
          <w:rFonts w:hint="eastAsia" w:ascii="宋体" w:hAnsi="宋体" w:eastAsia="宋体" w:cs="宋体"/>
          <w:lang w:val="en-US" w:eastAsia="zh-CN"/>
        </w:rPr>
      </w:pPr>
    </w:p>
    <w:p w14:paraId="2C4353C6">
      <w:pPr>
        <w:rPr>
          <w:rFonts w:hint="eastAsia" w:ascii="宋体" w:hAnsi="宋体" w:eastAsia="宋体" w:cs="宋体"/>
          <w:lang w:val="en-US" w:eastAsia="zh-CN"/>
        </w:rPr>
      </w:pPr>
    </w:p>
    <w:p w14:paraId="0EB50C1A">
      <w:pPr>
        <w:rPr>
          <w:rFonts w:hint="eastAsia" w:ascii="宋体" w:hAnsi="宋体" w:eastAsia="宋体" w:cs="宋体"/>
          <w:lang w:val="en-US" w:eastAsia="zh-CN"/>
        </w:rPr>
      </w:pPr>
    </w:p>
    <w:p w14:paraId="53B52D89">
      <w:pPr>
        <w:pStyle w:val="4"/>
        <w:tabs>
          <w:tab w:val="left" w:pos="885"/>
        </w:tabs>
        <w:wordWrap w:val="0"/>
        <w:autoSpaceDE/>
        <w:autoSpaceDN/>
        <w:snapToGrid w:val="0"/>
        <w:spacing w:line="360" w:lineRule="auto"/>
        <w:ind w:left="885" w:hanging="885"/>
        <w:jc w:val="center"/>
        <w:rPr>
          <w:rFonts w:hint="eastAsia" w:ascii="宋体" w:hAnsi="宋体" w:eastAsia="宋体" w:cs="宋体"/>
          <w:b/>
          <w:snapToGrid w:val="0"/>
          <w:color w:val="auto"/>
          <w:kern w:val="0"/>
          <w:highlight w:val="none"/>
        </w:rPr>
      </w:pPr>
      <w:bookmarkStart w:id="224" w:name="_Toc10521"/>
      <w:bookmarkStart w:id="225" w:name="_Toc27525"/>
      <w:r>
        <w:rPr>
          <w:rFonts w:hint="eastAsia" w:ascii="宋体" w:hAnsi="宋体" w:eastAsia="宋体" w:cs="宋体"/>
          <w:b/>
          <w:snapToGrid w:val="0"/>
          <w:color w:val="auto"/>
          <w:sz w:val="24"/>
          <w:highlight w:val="none"/>
        </w:rPr>
        <w:t>第四章</w:t>
      </w:r>
      <w:bookmarkStart w:id="226" w:name="_Hlt87793853"/>
      <w:bookmarkEnd w:id="226"/>
      <w:r>
        <w:rPr>
          <w:rFonts w:hint="eastAsia" w:ascii="宋体" w:hAnsi="宋体" w:eastAsia="宋体" w:cs="宋体"/>
          <w:b/>
          <w:snapToGrid w:val="0"/>
          <w:color w:val="auto"/>
          <w:sz w:val="24"/>
          <w:highlight w:val="none"/>
          <w:lang w:val="en-US" w:eastAsia="zh-CN"/>
        </w:rPr>
        <w:t xml:space="preserve">   </w:t>
      </w:r>
      <w:r>
        <w:rPr>
          <w:rFonts w:hint="eastAsia" w:ascii="宋体" w:hAnsi="宋体" w:eastAsia="宋体" w:cs="宋体"/>
          <w:b/>
          <w:snapToGrid w:val="0"/>
          <w:color w:val="auto"/>
          <w:sz w:val="24"/>
          <w:highlight w:val="none"/>
        </w:rPr>
        <w:t>技术要求</w:t>
      </w:r>
      <w:bookmarkEnd w:id="224"/>
      <w:bookmarkEnd w:id="225"/>
      <w:bookmarkStart w:id="227" w:name="_Hlt80411122"/>
      <w:bookmarkEnd w:id="227"/>
      <w:bookmarkStart w:id="228" w:name="_Hlt69357851"/>
      <w:bookmarkEnd w:id="228"/>
      <w:bookmarkStart w:id="229" w:name="_Hlt69358207"/>
      <w:bookmarkEnd w:id="229"/>
      <w:bookmarkStart w:id="230" w:name="_Hlt69359335"/>
      <w:bookmarkEnd w:id="230"/>
      <w:bookmarkStart w:id="231" w:name="_Hlt69265216"/>
      <w:bookmarkEnd w:id="231"/>
      <w:bookmarkStart w:id="232" w:name="_Hlt68774758"/>
      <w:bookmarkEnd w:id="232"/>
      <w:bookmarkStart w:id="233" w:name="_Hlt87793346"/>
      <w:bookmarkEnd w:id="233"/>
      <w:bookmarkStart w:id="234" w:name="_Hlt66104926"/>
      <w:bookmarkEnd w:id="234"/>
      <w:bookmarkStart w:id="235" w:name="_Hlt75685840"/>
      <w:bookmarkEnd w:id="235"/>
      <w:bookmarkStart w:id="236" w:name="_Hlt69116854"/>
      <w:bookmarkEnd w:id="236"/>
      <w:bookmarkStart w:id="237" w:name="_Hlt87793370"/>
      <w:bookmarkEnd w:id="237"/>
    </w:p>
    <w:p w14:paraId="734D1832">
      <w:pPr>
        <w:spacing w:before="151" w:line="360" w:lineRule="auto"/>
        <w:ind w:left="476"/>
        <w:outlineLvl w:val="2"/>
        <w:rPr>
          <w:rFonts w:hint="eastAsia" w:ascii="宋体" w:hAnsi="宋体" w:eastAsia="宋体" w:cs="宋体"/>
          <w:b/>
          <w:bCs/>
          <w:color w:val="auto"/>
          <w:spacing w:val="-11"/>
          <w:sz w:val="24"/>
          <w:szCs w:val="24"/>
          <w:highlight w:val="none"/>
          <w:lang w:val="en-US" w:eastAsia="zh-CN"/>
        </w:rPr>
      </w:pPr>
      <w:bookmarkStart w:id="238" w:name="_Toc26090"/>
      <w:bookmarkStart w:id="239" w:name="_Toc17047"/>
      <w:r>
        <w:rPr>
          <w:rFonts w:hint="eastAsia" w:ascii="宋体" w:hAnsi="宋体" w:eastAsia="宋体" w:cs="宋体"/>
          <w:b/>
          <w:bCs/>
          <w:color w:val="auto"/>
          <w:spacing w:val="-11"/>
          <w:sz w:val="24"/>
          <w:szCs w:val="24"/>
          <w:highlight w:val="none"/>
          <w:lang w:val="en-US" w:eastAsia="zh-CN"/>
        </w:rPr>
        <w:t>1.房屋建筑工程建设项目</w:t>
      </w:r>
      <w:bookmarkEnd w:id="238"/>
      <w:bookmarkEnd w:id="239"/>
    </w:p>
    <w:p w14:paraId="218F8398">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rPr>
      </w:pPr>
      <w:bookmarkStart w:id="240" w:name="_Hlt78709799"/>
      <w:bookmarkEnd w:id="240"/>
      <w:bookmarkStart w:id="241" w:name="_Hlt69116858"/>
      <w:bookmarkEnd w:id="241"/>
      <w:bookmarkStart w:id="242" w:name="_Hlt69635252"/>
      <w:bookmarkEnd w:id="242"/>
      <w:bookmarkStart w:id="243" w:name="_Hlt69358458"/>
      <w:bookmarkEnd w:id="243"/>
      <w:bookmarkStart w:id="244" w:name="_Hlt69359086"/>
      <w:bookmarkEnd w:id="244"/>
      <w:bookmarkStart w:id="245" w:name="_Hlt69359245"/>
      <w:bookmarkEnd w:id="245"/>
      <w:bookmarkStart w:id="246" w:name="_Hlt69359243"/>
      <w:bookmarkEnd w:id="246"/>
      <w:r>
        <w:rPr>
          <w:rFonts w:hint="eastAsia" w:ascii="宋体" w:hAnsi="宋体" w:eastAsia="宋体" w:cs="宋体"/>
          <w:bCs/>
          <w:snapToGrid w:val="0"/>
          <w:color w:val="auto"/>
          <w:kern w:val="0"/>
          <w:sz w:val="24"/>
          <w:szCs w:val="24"/>
          <w:highlight w:val="none"/>
        </w:rPr>
        <w:t>房屋建筑工程建设项目必须执行的现行技术规范，包括且不限于：</w:t>
      </w:r>
    </w:p>
    <w:p w14:paraId="4E5A4EB3">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（1）《建筑工程施工质量验收统一标准》；</w:t>
      </w:r>
    </w:p>
    <w:p w14:paraId="51C32296">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（2）《建筑地基基础工程施工质量验收规范》；</w:t>
      </w:r>
    </w:p>
    <w:p w14:paraId="35B95C09">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（3）《砌体工程施工质量验收规范》；</w:t>
      </w:r>
    </w:p>
    <w:p w14:paraId="43D00813">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（4）《混凝土结构工程施工质量验收规范》；</w:t>
      </w:r>
    </w:p>
    <w:p w14:paraId="6C4C169B">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（5）《屋面工程质量验收规范》；</w:t>
      </w:r>
    </w:p>
    <w:p w14:paraId="6612E9C8">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（6）《地下防水工程质量验收规范》；</w:t>
      </w:r>
    </w:p>
    <w:p w14:paraId="070A69D2">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（7）《建筑地面工程施工质量验收规范》；</w:t>
      </w:r>
    </w:p>
    <w:p w14:paraId="18D78826">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（8）《建筑装饰装修工程施工质量验收规范》；</w:t>
      </w:r>
    </w:p>
    <w:p w14:paraId="5AA4B157">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（9）《建筑给排水及采暖工程施工质量验收规范》；</w:t>
      </w:r>
    </w:p>
    <w:p w14:paraId="2A65A6B4">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（10）《建筑电气工程施工质量验收规范》；</w:t>
      </w:r>
    </w:p>
    <w:p w14:paraId="6DBB2AD6">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（11）《住建部绿色建筑评价标准》；</w:t>
      </w:r>
    </w:p>
    <w:p w14:paraId="3DA12AF9">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（12）《建筑节能与可再生能源利用通用规范》（GB55015-2021）；</w:t>
      </w:r>
    </w:p>
    <w:p w14:paraId="398E5EF3">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47" w:name="_Toc2709"/>
      <w:r>
        <w:rPr>
          <w:rFonts w:hint="eastAsia" w:ascii="宋体" w:hAnsi="宋体" w:eastAsia="宋体" w:cs="宋体"/>
          <w:bCs/>
          <w:snapToGrid w:val="0"/>
          <w:color w:val="auto"/>
          <w:kern w:val="0"/>
          <w:sz w:val="24"/>
          <w:szCs w:val="24"/>
          <w:highlight w:val="none"/>
          <w:lang w:val="en-US" w:eastAsia="zh-CN"/>
        </w:rPr>
        <w:t>（13）《建筑环境通用规范》；</w:t>
      </w:r>
      <w:bookmarkEnd w:id="247"/>
    </w:p>
    <w:p w14:paraId="031802A8">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（14）《建筑与市政工程无障碍通用规范》 GB 55019-2021；</w:t>
      </w:r>
    </w:p>
    <w:p w14:paraId="3D946755">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48" w:name="_Toc11217"/>
      <w:r>
        <w:rPr>
          <w:rFonts w:hint="eastAsia" w:ascii="宋体" w:hAnsi="宋体" w:eastAsia="宋体" w:cs="宋体"/>
          <w:bCs/>
          <w:snapToGrid w:val="0"/>
          <w:color w:val="auto"/>
          <w:kern w:val="0"/>
          <w:sz w:val="24"/>
          <w:szCs w:val="24"/>
          <w:highlight w:val="none"/>
          <w:lang w:val="en-US" w:eastAsia="zh-CN"/>
        </w:rPr>
        <w:t>（15）《建筑防火通用规范》GB 55037-2022；</w:t>
      </w:r>
      <w:bookmarkEnd w:id="248"/>
    </w:p>
    <w:p w14:paraId="2947DFF5">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（16）《建筑与市政工程抗震通用规范》GB55002-2001；</w:t>
      </w:r>
    </w:p>
    <w:p w14:paraId="46BF576B">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（17）《建筑与市政地基基础通用规范》GB55003-2001；</w:t>
      </w:r>
    </w:p>
    <w:p w14:paraId="098A9110">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（18）《广东省住房和城乡建设厅绿色施工导则》；</w:t>
      </w:r>
    </w:p>
    <w:p w14:paraId="1DDCA89D">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（19）《广东省建筑工程绿色施工评价标准》；</w:t>
      </w:r>
    </w:p>
    <w:p w14:paraId="663B1A03">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（20）《广东省建筑节能与绿色建筑工程施工质量验收规范》；</w:t>
      </w:r>
    </w:p>
    <w:p w14:paraId="4804FA75">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（21）其他现行国家、广东省关于房建工程的施工及验收规范、定额、规程、标准。</w:t>
      </w:r>
    </w:p>
    <w:p w14:paraId="59DEDCF1">
      <w:pPr>
        <w:spacing w:before="151" w:line="360" w:lineRule="auto"/>
        <w:ind w:left="476"/>
        <w:outlineLvl w:val="2"/>
        <w:rPr>
          <w:rFonts w:hint="eastAsia" w:ascii="宋体" w:hAnsi="宋体" w:eastAsia="宋体" w:cs="宋体"/>
          <w:b/>
          <w:bCs/>
          <w:color w:val="auto"/>
          <w:spacing w:val="-11"/>
          <w:sz w:val="24"/>
          <w:szCs w:val="24"/>
          <w:highlight w:val="none"/>
          <w:lang w:val="en-US" w:eastAsia="zh-CN"/>
        </w:rPr>
      </w:pPr>
      <w:bookmarkStart w:id="249" w:name="_Toc30825"/>
      <w:bookmarkStart w:id="250" w:name="_Toc30106"/>
      <w:r>
        <w:rPr>
          <w:rFonts w:hint="eastAsia" w:ascii="宋体" w:hAnsi="宋体" w:eastAsia="宋体" w:cs="宋体"/>
          <w:b/>
          <w:bCs/>
          <w:color w:val="auto"/>
          <w:spacing w:val="-11"/>
          <w:sz w:val="24"/>
          <w:szCs w:val="24"/>
          <w:highlight w:val="none"/>
          <w:lang w:val="en-US" w:eastAsia="zh-CN"/>
        </w:rPr>
        <w:t>2.市政基础设施工程建设项目</w:t>
      </w:r>
      <w:bookmarkEnd w:id="249"/>
      <w:bookmarkEnd w:id="250"/>
    </w:p>
    <w:p w14:paraId="2CEB27A3">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市政基础设施工程建设项目必须执行的现行技术规范，包括且不限于：</w:t>
      </w:r>
    </w:p>
    <w:p w14:paraId="558C1C07">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（1）《公路路基施工技术规范》；</w:t>
      </w:r>
    </w:p>
    <w:p w14:paraId="482B8419">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（2）《市政道路工程质量检验评定标准》；</w:t>
      </w:r>
    </w:p>
    <w:p w14:paraId="524F1946">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（3）《市政排水管渠工程质量检验评定标准》；</w:t>
      </w:r>
    </w:p>
    <w:p w14:paraId="607991AD">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（4）《给水排水管道工程施工及验收规范》；</w:t>
      </w:r>
    </w:p>
    <w:p w14:paraId="52AF8649">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51" w:name="_Toc28136"/>
      <w:r>
        <w:rPr>
          <w:rFonts w:hint="eastAsia" w:ascii="宋体" w:hAnsi="宋体" w:eastAsia="宋体" w:cs="宋体"/>
          <w:bCs/>
          <w:snapToGrid w:val="0"/>
          <w:color w:val="auto"/>
          <w:kern w:val="0"/>
          <w:sz w:val="24"/>
          <w:szCs w:val="24"/>
          <w:highlight w:val="none"/>
          <w:lang w:val="en-US" w:eastAsia="zh-CN"/>
        </w:rPr>
        <w:t>（5）《城市道路路基工程施工及验收规范》；</w:t>
      </w:r>
      <w:bookmarkEnd w:id="251"/>
    </w:p>
    <w:p w14:paraId="25D57464">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52" w:name="_Toc30468"/>
      <w:r>
        <w:rPr>
          <w:rFonts w:hint="eastAsia" w:ascii="宋体" w:hAnsi="宋体" w:eastAsia="宋体" w:cs="宋体"/>
          <w:bCs/>
          <w:snapToGrid w:val="0"/>
          <w:color w:val="auto"/>
          <w:kern w:val="0"/>
          <w:sz w:val="24"/>
          <w:szCs w:val="24"/>
          <w:highlight w:val="none"/>
          <w:lang w:val="en-US" w:eastAsia="zh-CN"/>
        </w:rPr>
        <w:t>（6）《水泥砼路面施工及验收规范》；</w:t>
      </w:r>
      <w:bookmarkEnd w:id="252"/>
      <w:bookmarkStart w:id="253" w:name="_Toc27799"/>
    </w:p>
    <w:p w14:paraId="74C68974">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（7）《公路水泥砼路面施工技术规范》；</w:t>
      </w:r>
      <w:bookmarkEnd w:id="253"/>
    </w:p>
    <w:p w14:paraId="19CC2514">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54" w:name="_Toc12308"/>
      <w:r>
        <w:rPr>
          <w:rFonts w:hint="eastAsia" w:ascii="宋体" w:hAnsi="宋体" w:eastAsia="宋体" w:cs="宋体"/>
          <w:bCs/>
          <w:snapToGrid w:val="0"/>
          <w:color w:val="auto"/>
          <w:kern w:val="0"/>
          <w:sz w:val="24"/>
          <w:szCs w:val="24"/>
          <w:highlight w:val="none"/>
          <w:lang w:val="en-US" w:eastAsia="zh-CN"/>
        </w:rPr>
        <w:t>（8）《埋地硬聚氯乙烯排水管道工程技术规程》；</w:t>
      </w:r>
      <w:bookmarkEnd w:id="254"/>
    </w:p>
    <w:p w14:paraId="34D4253E">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55" w:name="_Toc13357"/>
      <w:r>
        <w:rPr>
          <w:rFonts w:hint="eastAsia" w:ascii="宋体" w:hAnsi="宋体" w:eastAsia="宋体" w:cs="宋体"/>
          <w:bCs/>
          <w:snapToGrid w:val="0"/>
          <w:color w:val="auto"/>
          <w:kern w:val="0"/>
          <w:sz w:val="24"/>
          <w:szCs w:val="24"/>
          <w:highlight w:val="none"/>
          <w:lang w:val="en-US" w:eastAsia="zh-CN"/>
        </w:rPr>
        <w:t>（9）《沥青路面施工及验收规范》；</w:t>
      </w:r>
      <w:bookmarkEnd w:id="255"/>
    </w:p>
    <w:p w14:paraId="010FCBBB">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56" w:name="_Toc19104"/>
      <w:r>
        <w:rPr>
          <w:rFonts w:hint="eastAsia" w:ascii="宋体" w:hAnsi="宋体" w:eastAsia="宋体" w:cs="宋体"/>
          <w:bCs/>
          <w:snapToGrid w:val="0"/>
          <w:color w:val="auto"/>
          <w:kern w:val="0"/>
          <w:sz w:val="24"/>
          <w:szCs w:val="24"/>
          <w:highlight w:val="none"/>
          <w:lang w:val="en-US" w:eastAsia="zh-CN"/>
        </w:rPr>
        <w:t>（10）《广东省市政工程施工质量技术资料统一用表》。</w:t>
      </w:r>
      <w:bookmarkEnd w:id="256"/>
    </w:p>
    <w:p w14:paraId="6F64952B">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57" w:name="_Toc13247"/>
      <w:r>
        <w:rPr>
          <w:rFonts w:hint="eastAsia" w:ascii="宋体" w:hAnsi="宋体" w:eastAsia="宋体" w:cs="宋体"/>
          <w:bCs/>
          <w:snapToGrid w:val="0"/>
          <w:color w:val="auto"/>
          <w:kern w:val="0"/>
          <w:sz w:val="24"/>
          <w:szCs w:val="24"/>
          <w:highlight w:val="none"/>
          <w:lang w:val="en-US" w:eastAsia="zh-CN"/>
        </w:rPr>
        <w:t>（11）《建筑与市政工程无障碍通用规范》 GB 55019-2021；</w:t>
      </w:r>
      <w:bookmarkEnd w:id="257"/>
    </w:p>
    <w:p w14:paraId="1E71A5A7">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58" w:name="_Toc29931"/>
      <w:r>
        <w:rPr>
          <w:rFonts w:hint="eastAsia" w:ascii="宋体" w:hAnsi="宋体" w:eastAsia="宋体" w:cs="宋体"/>
          <w:bCs/>
          <w:snapToGrid w:val="0"/>
          <w:color w:val="auto"/>
          <w:kern w:val="0"/>
          <w:sz w:val="24"/>
          <w:szCs w:val="24"/>
          <w:highlight w:val="none"/>
          <w:lang w:val="en-US" w:eastAsia="zh-CN"/>
        </w:rPr>
        <w:t>（12）《建筑防火通用规范》GB 55037-2022</w:t>
      </w:r>
      <w:bookmarkEnd w:id="258"/>
      <w:r>
        <w:rPr>
          <w:rFonts w:hint="eastAsia" w:ascii="宋体" w:hAnsi="宋体" w:eastAsia="宋体" w:cs="宋体"/>
          <w:bCs/>
          <w:snapToGrid w:val="0"/>
          <w:color w:val="auto"/>
          <w:kern w:val="0"/>
          <w:sz w:val="24"/>
          <w:szCs w:val="24"/>
          <w:highlight w:val="none"/>
          <w:lang w:val="en-US" w:eastAsia="zh-CN"/>
        </w:rPr>
        <w:t>；</w:t>
      </w:r>
    </w:p>
    <w:p w14:paraId="0A32268F">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59" w:name="_Toc30206"/>
      <w:r>
        <w:rPr>
          <w:rFonts w:hint="eastAsia" w:ascii="宋体" w:hAnsi="宋体" w:eastAsia="宋体" w:cs="宋体"/>
          <w:bCs/>
          <w:snapToGrid w:val="0"/>
          <w:color w:val="auto"/>
          <w:kern w:val="0"/>
          <w:sz w:val="24"/>
          <w:szCs w:val="24"/>
          <w:highlight w:val="none"/>
          <w:lang w:val="en-US" w:eastAsia="zh-CN"/>
        </w:rPr>
        <w:t>（13）《建筑与市政工程抗震通用规范》GB55002-2001</w:t>
      </w:r>
      <w:bookmarkEnd w:id="259"/>
      <w:r>
        <w:rPr>
          <w:rFonts w:hint="eastAsia" w:ascii="宋体" w:hAnsi="宋体" w:eastAsia="宋体" w:cs="宋体"/>
          <w:bCs/>
          <w:snapToGrid w:val="0"/>
          <w:color w:val="auto"/>
          <w:kern w:val="0"/>
          <w:sz w:val="24"/>
          <w:szCs w:val="24"/>
          <w:highlight w:val="none"/>
          <w:lang w:val="en-US" w:eastAsia="zh-CN"/>
        </w:rPr>
        <w:t>；</w:t>
      </w:r>
    </w:p>
    <w:p w14:paraId="298D3072">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60" w:name="_Toc13940"/>
      <w:r>
        <w:rPr>
          <w:rFonts w:hint="eastAsia" w:ascii="宋体" w:hAnsi="宋体" w:eastAsia="宋体" w:cs="宋体"/>
          <w:bCs/>
          <w:snapToGrid w:val="0"/>
          <w:color w:val="auto"/>
          <w:kern w:val="0"/>
          <w:sz w:val="24"/>
          <w:szCs w:val="24"/>
          <w:highlight w:val="none"/>
          <w:lang w:val="en-US" w:eastAsia="zh-CN"/>
        </w:rPr>
        <w:t>（14）《建筑与市政地基基础通用规范》GB55003-200</w:t>
      </w:r>
      <w:bookmarkEnd w:id="260"/>
      <w:r>
        <w:rPr>
          <w:rFonts w:hint="eastAsia" w:ascii="宋体" w:hAnsi="宋体" w:eastAsia="宋体" w:cs="宋体"/>
          <w:bCs/>
          <w:snapToGrid w:val="0"/>
          <w:color w:val="auto"/>
          <w:kern w:val="0"/>
          <w:sz w:val="24"/>
          <w:szCs w:val="24"/>
          <w:highlight w:val="none"/>
          <w:lang w:val="en-US" w:eastAsia="zh-CN"/>
        </w:rPr>
        <w:t>；</w:t>
      </w:r>
    </w:p>
    <w:p w14:paraId="7F5C686A">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61" w:name="_Toc13747"/>
      <w:r>
        <w:rPr>
          <w:rFonts w:hint="eastAsia" w:ascii="宋体" w:hAnsi="宋体" w:eastAsia="宋体" w:cs="宋体"/>
          <w:bCs/>
          <w:snapToGrid w:val="0"/>
          <w:color w:val="auto"/>
          <w:kern w:val="0"/>
          <w:sz w:val="24"/>
          <w:szCs w:val="24"/>
          <w:highlight w:val="none"/>
          <w:lang w:val="en-US" w:eastAsia="zh-CN"/>
        </w:rPr>
        <w:t>（15）《城市道路照明设计标准》（CJJ45-2015）；</w:t>
      </w:r>
      <w:bookmarkEnd w:id="261"/>
    </w:p>
    <w:p w14:paraId="0F139841">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62" w:name="_Toc4862"/>
      <w:r>
        <w:rPr>
          <w:rFonts w:hint="eastAsia" w:ascii="宋体" w:hAnsi="宋体" w:eastAsia="宋体" w:cs="宋体"/>
          <w:bCs/>
          <w:snapToGrid w:val="0"/>
          <w:color w:val="auto"/>
          <w:kern w:val="0"/>
          <w:sz w:val="24"/>
          <w:szCs w:val="24"/>
          <w:highlight w:val="none"/>
          <w:lang w:val="en-US" w:eastAsia="zh-CN"/>
        </w:rPr>
        <w:t>（16）《低压配电设计规范》（GB50054-2011）；</w:t>
      </w:r>
      <w:bookmarkEnd w:id="262"/>
    </w:p>
    <w:p w14:paraId="521230EA">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63" w:name="_Toc21300"/>
      <w:r>
        <w:rPr>
          <w:rFonts w:hint="eastAsia" w:ascii="宋体" w:hAnsi="宋体" w:eastAsia="宋体" w:cs="宋体"/>
          <w:bCs/>
          <w:snapToGrid w:val="0"/>
          <w:color w:val="auto"/>
          <w:kern w:val="0"/>
          <w:sz w:val="24"/>
          <w:szCs w:val="24"/>
          <w:highlight w:val="none"/>
          <w:lang w:val="en-US" w:eastAsia="zh-CN"/>
        </w:rPr>
        <w:t>（17）《城市道路照明工程施工及验收规程》（CJJ89-2012）；</w:t>
      </w:r>
      <w:bookmarkEnd w:id="263"/>
    </w:p>
    <w:p w14:paraId="5DA9A4A5">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64" w:name="_Toc3776"/>
      <w:r>
        <w:rPr>
          <w:rFonts w:hint="eastAsia" w:ascii="宋体" w:hAnsi="宋体" w:eastAsia="宋体" w:cs="宋体"/>
          <w:bCs/>
          <w:snapToGrid w:val="0"/>
          <w:color w:val="auto"/>
          <w:kern w:val="0"/>
          <w:sz w:val="24"/>
          <w:szCs w:val="24"/>
          <w:highlight w:val="none"/>
          <w:lang w:val="en-US" w:eastAsia="zh-CN"/>
        </w:rPr>
        <w:t>（18）《LED 道路照明工程技术规范》（DB44/T 1898-2016）；</w:t>
      </w:r>
      <w:bookmarkEnd w:id="264"/>
    </w:p>
    <w:p w14:paraId="026D9627">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65" w:name="_Toc6724"/>
      <w:r>
        <w:rPr>
          <w:rFonts w:hint="eastAsia" w:ascii="宋体" w:hAnsi="宋体" w:eastAsia="宋体" w:cs="宋体"/>
          <w:bCs/>
          <w:snapToGrid w:val="0"/>
          <w:color w:val="auto"/>
          <w:kern w:val="0"/>
          <w:sz w:val="24"/>
          <w:szCs w:val="24"/>
          <w:highlight w:val="none"/>
          <w:lang w:val="en-US" w:eastAsia="zh-CN"/>
        </w:rPr>
        <w:t>（19）《灯具第 1 部分：一般要求与试验》（GB7000.1-2015）；</w:t>
      </w:r>
      <w:bookmarkEnd w:id="265"/>
    </w:p>
    <w:p w14:paraId="62E09E97">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66" w:name="_Toc25902"/>
      <w:r>
        <w:rPr>
          <w:rFonts w:hint="eastAsia" w:ascii="宋体" w:hAnsi="宋体" w:eastAsia="宋体" w:cs="宋体"/>
          <w:bCs/>
          <w:snapToGrid w:val="0"/>
          <w:color w:val="auto"/>
          <w:kern w:val="0"/>
          <w:sz w:val="24"/>
          <w:szCs w:val="24"/>
          <w:highlight w:val="none"/>
          <w:lang w:val="en-US" w:eastAsia="zh-CN"/>
        </w:rPr>
        <w:t>（20）《电缆工程电缆设计标准》（GB50217-2018）；</w:t>
      </w:r>
      <w:bookmarkEnd w:id="266"/>
    </w:p>
    <w:p w14:paraId="2D969733">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67" w:name="_Toc1090"/>
      <w:r>
        <w:rPr>
          <w:rFonts w:hint="eastAsia" w:ascii="宋体" w:hAnsi="宋体" w:eastAsia="宋体" w:cs="宋体"/>
          <w:bCs/>
          <w:snapToGrid w:val="0"/>
          <w:color w:val="auto"/>
          <w:kern w:val="0"/>
          <w:sz w:val="24"/>
          <w:szCs w:val="24"/>
          <w:highlight w:val="none"/>
          <w:lang w:val="en-US" w:eastAsia="zh-CN"/>
        </w:rPr>
        <w:t>（21）其他现行国家、广东省关于市政工程的技术及验收规范、定额、规程、标准。</w:t>
      </w:r>
      <w:bookmarkEnd w:id="267"/>
    </w:p>
    <w:p w14:paraId="7F176370">
      <w:pPr>
        <w:spacing w:before="151" w:line="360" w:lineRule="auto"/>
        <w:ind w:left="476"/>
        <w:outlineLvl w:val="2"/>
        <w:rPr>
          <w:rFonts w:hint="eastAsia" w:ascii="宋体" w:hAnsi="宋体" w:eastAsia="宋体" w:cs="宋体"/>
          <w:b/>
          <w:bCs/>
          <w:color w:val="auto"/>
          <w:spacing w:val="-11"/>
          <w:sz w:val="24"/>
          <w:szCs w:val="24"/>
          <w:highlight w:val="none"/>
          <w:lang w:val="en-US" w:eastAsia="zh-CN"/>
        </w:rPr>
      </w:pPr>
      <w:bookmarkStart w:id="268" w:name="_Toc3836"/>
      <w:bookmarkStart w:id="269" w:name="_Toc11550"/>
      <w:r>
        <w:rPr>
          <w:rFonts w:hint="eastAsia" w:ascii="宋体" w:hAnsi="宋体" w:eastAsia="宋体" w:cs="宋体"/>
          <w:b/>
          <w:bCs/>
          <w:color w:val="auto"/>
          <w:spacing w:val="-11"/>
          <w:sz w:val="24"/>
          <w:szCs w:val="24"/>
          <w:highlight w:val="none"/>
          <w:lang w:val="en-US" w:eastAsia="zh-CN"/>
        </w:rPr>
        <w:t>3.备查要求</w:t>
      </w:r>
      <w:bookmarkEnd w:id="268"/>
      <w:bookmarkEnd w:id="269"/>
    </w:p>
    <w:p w14:paraId="7C248B02">
      <w:pPr>
        <w:wordWrap w:val="0"/>
        <w:adjustRightInd w:val="0"/>
        <w:snapToGrid w:val="0"/>
        <w:spacing w:line="360" w:lineRule="auto"/>
        <w:ind w:firstLine="560"/>
        <w:rPr>
          <w:rFonts w:hint="eastAsia" w:ascii="宋体" w:hAnsi="宋体" w:eastAsia="宋体" w:cs="宋体"/>
          <w:bCs/>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承包</w:t>
      </w:r>
      <w:r>
        <w:rPr>
          <w:rFonts w:hint="eastAsia" w:ascii="宋体" w:hAnsi="宋体" w:eastAsia="宋体" w:cs="宋体"/>
          <w:bCs/>
          <w:snapToGrid w:val="0"/>
          <w:color w:val="auto"/>
          <w:kern w:val="0"/>
          <w:sz w:val="24"/>
          <w:szCs w:val="24"/>
          <w:highlight w:val="none"/>
        </w:rPr>
        <w:t>人必须在施工现场准备至少一套上述规范，</w:t>
      </w:r>
      <w:r>
        <w:rPr>
          <w:rFonts w:hint="eastAsia" w:ascii="宋体" w:hAnsi="宋体" w:eastAsia="宋体" w:cs="宋体"/>
          <w:snapToGrid w:val="0"/>
          <w:color w:val="auto"/>
          <w:kern w:val="0"/>
          <w:sz w:val="24"/>
          <w:szCs w:val="24"/>
          <w:highlight w:val="none"/>
        </w:rPr>
        <w:t>发包</w:t>
      </w:r>
      <w:r>
        <w:rPr>
          <w:rFonts w:hint="eastAsia" w:ascii="宋体" w:hAnsi="宋体" w:eastAsia="宋体" w:cs="宋体"/>
          <w:bCs/>
          <w:snapToGrid w:val="0"/>
          <w:color w:val="auto"/>
          <w:kern w:val="0"/>
          <w:sz w:val="24"/>
          <w:szCs w:val="24"/>
          <w:highlight w:val="none"/>
        </w:rPr>
        <w:t>人和监理单位可随时检查</w:t>
      </w:r>
      <w:r>
        <w:rPr>
          <w:rFonts w:hint="eastAsia" w:ascii="宋体" w:hAnsi="宋体" w:eastAsia="宋体" w:cs="宋体"/>
          <w:snapToGrid w:val="0"/>
          <w:color w:val="auto"/>
          <w:kern w:val="0"/>
          <w:sz w:val="24"/>
          <w:szCs w:val="24"/>
          <w:highlight w:val="none"/>
        </w:rPr>
        <w:t>承包</w:t>
      </w:r>
      <w:r>
        <w:rPr>
          <w:rFonts w:hint="eastAsia" w:ascii="宋体" w:hAnsi="宋体" w:eastAsia="宋体" w:cs="宋体"/>
          <w:bCs/>
          <w:snapToGrid w:val="0"/>
          <w:color w:val="auto"/>
          <w:kern w:val="0"/>
          <w:sz w:val="24"/>
          <w:szCs w:val="24"/>
          <w:highlight w:val="none"/>
        </w:rPr>
        <w:t>人的上述规范，并监督</w:t>
      </w:r>
      <w:r>
        <w:rPr>
          <w:rFonts w:hint="eastAsia" w:ascii="宋体" w:hAnsi="宋体" w:eastAsia="宋体" w:cs="宋体"/>
          <w:snapToGrid w:val="0"/>
          <w:color w:val="auto"/>
          <w:kern w:val="0"/>
          <w:sz w:val="24"/>
          <w:szCs w:val="24"/>
          <w:highlight w:val="none"/>
        </w:rPr>
        <w:t>承包</w:t>
      </w:r>
      <w:r>
        <w:rPr>
          <w:rFonts w:hint="eastAsia" w:ascii="宋体" w:hAnsi="宋体" w:eastAsia="宋体" w:cs="宋体"/>
          <w:bCs/>
          <w:snapToGrid w:val="0"/>
          <w:color w:val="auto"/>
          <w:kern w:val="0"/>
          <w:sz w:val="24"/>
          <w:szCs w:val="24"/>
          <w:highlight w:val="none"/>
        </w:rPr>
        <w:t>人按规范要求执行</w:t>
      </w:r>
      <w:bookmarkStart w:id="270" w:name="_Hlt69670335"/>
      <w:bookmarkEnd w:id="270"/>
      <w:r>
        <w:rPr>
          <w:rFonts w:hint="eastAsia" w:ascii="宋体" w:hAnsi="宋体" w:eastAsia="宋体" w:cs="宋体"/>
          <w:bCs/>
          <w:snapToGrid w:val="0"/>
          <w:color w:val="auto"/>
          <w:kern w:val="0"/>
          <w:sz w:val="24"/>
          <w:szCs w:val="24"/>
          <w:highlight w:val="none"/>
          <w:lang w:eastAsia="zh-CN"/>
        </w:rPr>
        <w:t>。</w:t>
      </w:r>
    </w:p>
    <w:p w14:paraId="272C0D8A">
      <w:pPr>
        <w:rPr>
          <w:rFonts w:hint="eastAsia" w:ascii="宋体" w:hAnsi="宋体" w:eastAsia="宋体" w:cs="宋体"/>
          <w:lang w:eastAsia="zh-CN"/>
        </w:rPr>
      </w:pPr>
    </w:p>
    <w:p w14:paraId="5DF324EC">
      <w:pPr>
        <w:rPr>
          <w:rFonts w:hint="eastAsia" w:ascii="宋体" w:hAnsi="宋体" w:eastAsia="宋体" w:cs="宋体"/>
          <w:lang w:eastAsia="zh-CN"/>
        </w:rPr>
      </w:pPr>
    </w:p>
    <w:p w14:paraId="19FEA4E7">
      <w:pPr>
        <w:rPr>
          <w:rFonts w:hint="eastAsia" w:ascii="宋体" w:hAnsi="宋体" w:eastAsia="宋体" w:cs="宋体"/>
          <w:lang w:eastAsia="zh-CN"/>
        </w:rPr>
      </w:pPr>
    </w:p>
    <w:p w14:paraId="58FBF145">
      <w:pPr>
        <w:rPr>
          <w:rFonts w:hint="eastAsia" w:ascii="宋体" w:hAnsi="宋体" w:eastAsia="宋体" w:cs="宋体"/>
          <w:lang w:eastAsia="zh-CN"/>
        </w:rPr>
      </w:pPr>
    </w:p>
    <w:p w14:paraId="69EF7EFC">
      <w:pPr>
        <w:rPr>
          <w:rFonts w:hint="eastAsia" w:ascii="宋体" w:hAnsi="宋体" w:eastAsia="宋体" w:cs="宋体"/>
          <w:lang w:eastAsia="zh-CN"/>
        </w:rPr>
      </w:pPr>
    </w:p>
    <w:p w14:paraId="0BE24F3A">
      <w:pPr>
        <w:rPr>
          <w:rFonts w:hint="eastAsia" w:ascii="宋体" w:hAnsi="宋体" w:eastAsia="宋体" w:cs="宋体"/>
          <w:lang w:eastAsia="zh-CN"/>
        </w:rPr>
      </w:pPr>
    </w:p>
    <w:p w14:paraId="291010C6">
      <w:pPr>
        <w:rPr>
          <w:rFonts w:hint="eastAsia" w:ascii="宋体" w:hAnsi="宋体" w:eastAsia="宋体" w:cs="宋体"/>
          <w:lang w:eastAsia="zh-CN"/>
        </w:rPr>
      </w:pPr>
    </w:p>
    <w:p w14:paraId="79499EC9">
      <w:pPr>
        <w:rPr>
          <w:rFonts w:hint="eastAsia" w:ascii="宋体" w:hAnsi="宋体" w:eastAsia="宋体" w:cs="宋体"/>
          <w:lang w:eastAsia="zh-CN"/>
        </w:rPr>
      </w:pPr>
    </w:p>
    <w:p w14:paraId="5963324A">
      <w:pPr>
        <w:rPr>
          <w:rFonts w:hint="eastAsia" w:ascii="宋体" w:hAnsi="宋体" w:eastAsia="宋体" w:cs="宋体"/>
          <w:lang w:eastAsia="zh-CN"/>
        </w:rPr>
      </w:pPr>
    </w:p>
    <w:p w14:paraId="3E051E01">
      <w:pPr>
        <w:rPr>
          <w:rFonts w:hint="eastAsia" w:ascii="宋体" w:hAnsi="宋体" w:eastAsia="宋体" w:cs="宋体"/>
          <w:lang w:eastAsia="zh-CN"/>
        </w:rPr>
      </w:pPr>
    </w:p>
    <w:p w14:paraId="3296A7D0">
      <w:pPr>
        <w:rPr>
          <w:rFonts w:hint="eastAsia" w:ascii="宋体" w:hAnsi="宋体" w:eastAsia="宋体" w:cs="宋体"/>
          <w:lang w:eastAsia="zh-CN"/>
        </w:rPr>
      </w:pPr>
    </w:p>
    <w:p w14:paraId="73A36266">
      <w:pPr>
        <w:rPr>
          <w:rFonts w:hint="eastAsia" w:ascii="宋体" w:hAnsi="宋体" w:eastAsia="宋体" w:cs="宋体"/>
          <w:lang w:eastAsia="zh-CN"/>
        </w:rPr>
      </w:pPr>
    </w:p>
    <w:p w14:paraId="5D5C3951">
      <w:pPr>
        <w:rPr>
          <w:rFonts w:hint="eastAsia" w:ascii="宋体" w:hAnsi="宋体" w:eastAsia="宋体" w:cs="宋体"/>
          <w:lang w:eastAsia="zh-CN"/>
        </w:rPr>
      </w:pPr>
    </w:p>
    <w:p w14:paraId="4E10EEC1">
      <w:pPr>
        <w:rPr>
          <w:rFonts w:hint="eastAsia" w:ascii="宋体" w:hAnsi="宋体" w:eastAsia="宋体" w:cs="宋体"/>
          <w:lang w:eastAsia="zh-CN"/>
        </w:rPr>
      </w:pPr>
    </w:p>
    <w:p w14:paraId="187BE5FD">
      <w:pPr>
        <w:rPr>
          <w:rFonts w:hint="eastAsia" w:ascii="宋体" w:hAnsi="宋体" w:eastAsia="宋体" w:cs="宋体"/>
          <w:lang w:eastAsia="zh-CN"/>
        </w:rPr>
      </w:pPr>
    </w:p>
    <w:p w14:paraId="65F8FDE4">
      <w:pPr>
        <w:rPr>
          <w:rFonts w:hint="eastAsia" w:ascii="宋体" w:hAnsi="宋体" w:eastAsia="宋体" w:cs="宋体"/>
          <w:lang w:eastAsia="zh-CN"/>
        </w:rPr>
      </w:pPr>
    </w:p>
    <w:p w14:paraId="27B8E0EE">
      <w:pPr>
        <w:rPr>
          <w:rFonts w:hint="eastAsia" w:ascii="宋体" w:hAnsi="宋体" w:eastAsia="宋体" w:cs="宋体"/>
          <w:lang w:eastAsia="zh-CN"/>
        </w:rPr>
      </w:pPr>
    </w:p>
    <w:p w14:paraId="744B5637">
      <w:pPr>
        <w:rPr>
          <w:rFonts w:hint="eastAsia" w:ascii="宋体" w:hAnsi="宋体" w:eastAsia="宋体" w:cs="宋体"/>
          <w:lang w:eastAsia="zh-CN"/>
        </w:rPr>
      </w:pPr>
    </w:p>
    <w:p w14:paraId="3BBD4F7B">
      <w:pPr>
        <w:pStyle w:val="4"/>
        <w:keepNext w:val="0"/>
        <w:keepLines w:val="0"/>
        <w:pageBreakBefore w:val="0"/>
        <w:widowControl w:val="0"/>
        <w:tabs>
          <w:tab w:val="left" w:pos="885"/>
        </w:tabs>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b/>
          <w:snapToGrid w:val="0"/>
          <w:color w:val="auto"/>
          <w:sz w:val="24"/>
          <w:highlight w:val="none"/>
        </w:rPr>
      </w:pPr>
      <w:bookmarkStart w:id="271" w:name="_Toc26952"/>
      <w:bookmarkStart w:id="272" w:name="_Toc30652"/>
      <w:r>
        <w:rPr>
          <w:rFonts w:hint="eastAsia" w:ascii="宋体" w:hAnsi="宋体" w:eastAsia="宋体" w:cs="宋体"/>
          <w:b/>
          <w:snapToGrid w:val="0"/>
          <w:color w:val="auto"/>
          <w:sz w:val="24"/>
          <w:highlight w:val="none"/>
        </w:rPr>
        <w:t>第五章</w:t>
      </w:r>
      <w:bookmarkStart w:id="273" w:name="_Hlt87793860"/>
      <w:bookmarkEnd w:id="273"/>
      <w:r>
        <w:rPr>
          <w:rFonts w:hint="eastAsia" w:ascii="宋体" w:hAnsi="宋体" w:eastAsia="宋体" w:cs="宋体"/>
          <w:b/>
          <w:snapToGrid w:val="0"/>
          <w:color w:val="auto"/>
          <w:sz w:val="24"/>
          <w:highlight w:val="none"/>
          <w:lang w:val="en-US" w:eastAsia="zh-CN"/>
        </w:rPr>
        <w:t xml:space="preserve">   </w:t>
      </w:r>
      <w:r>
        <w:rPr>
          <w:rFonts w:hint="eastAsia" w:ascii="宋体" w:hAnsi="宋体" w:eastAsia="宋体" w:cs="宋体"/>
          <w:b/>
          <w:snapToGrid w:val="0"/>
          <w:color w:val="auto"/>
          <w:sz w:val="24"/>
          <w:highlight w:val="none"/>
        </w:rPr>
        <w:t>图纸和招标工程</w:t>
      </w:r>
      <w:bookmarkStart w:id="274" w:name="_Hlt69669215"/>
      <w:bookmarkEnd w:id="274"/>
      <w:r>
        <w:rPr>
          <w:rFonts w:hint="eastAsia" w:ascii="宋体" w:hAnsi="宋体" w:eastAsia="宋体" w:cs="宋体"/>
          <w:b/>
          <w:snapToGrid w:val="0"/>
          <w:color w:val="auto"/>
          <w:sz w:val="24"/>
          <w:highlight w:val="none"/>
        </w:rPr>
        <w:t>量清单</w:t>
      </w:r>
      <w:bookmarkEnd w:id="271"/>
      <w:bookmarkEnd w:id="272"/>
    </w:p>
    <w:p w14:paraId="30EC7900">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bCs/>
          <w:snapToGrid w:val="0"/>
          <w:color w:val="auto"/>
          <w:kern w:val="0"/>
          <w:sz w:val="24"/>
          <w:szCs w:val="24"/>
          <w:highlight w:val="none"/>
        </w:rPr>
      </w:pPr>
      <w:bookmarkStart w:id="275" w:name="_Hlt69669182"/>
      <w:bookmarkEnd w:id="275"/>
      <w:bookmarkStart w:id="276" w:name="_Hlt87793868"/>
      <w:bookmarkEnd w:id="276"/>
      <w:bookmarkStart w:id="277" w:name="_Hlt66104919"/>
      <w:bookmarkEnd w:id="277"/>
      <w:bookmarkStart w:id="278" w:name="_Hlt75747203"/>
      <w:bookmarkEnd w:id="278"/>
      <w:r>
        <w:rPr>
          <w:rFonts w:hint="eastAsia" w:ascii="宋体" w:hAnsi="宋体" w:eastAsia="宋体" w:cs="宋体"/>
          <w:b w:val="0"/>
          <w:bCs w:val="0"/>
          <w:snapToGrid w:val="0"/>
          <w:color w:val="auto"/>
          <w:kern w:val="0"/>
          <w:sz w:val="24"/>
          <w:szCs w:val="24"/>
          <w:highlight w:val="none"/>
          <w:lang w:val="en-US" w:eastAsia="zh-CN"/>
        </w:rPr>
        <w:t>□有，另附复印件        ☑有，自行网上下载(浏览)         □无</w:t>
      </w:r>
    </w:p>
    <w:p w14:paraId="301EE95D">
      <w:pPr>
        <w:spacing w:before="151" w:line="360" w:lineRule="auto"/>
        <w:ind w:left="476"/>
        <w:outlineLvl w:val="2"/>
        <w:rPr>
          <w:rFonts w:hint="eastAsia" w:ascii="宋体" w:hAnsi="宋体" w:eastAsia="宋体" w:cs="宋体"/>
          <w:b/>
          <w:bCs/>
          <w:color w:val="auto"/>
          <w:spacing w:val="-11"/>
          <w:sz w:val="24"/>
          <w:szCs w:val="24"/>
          <w:highlight w:val="none"/>
          <w:lang w:val="en-US" w:eastAsia="zh-CN"/>
        </w:rPr>
      </w:pPr>
      <w:bookmarkStart w:id="279" w:name="_Toc2389"/>
      <w:r>
        <w:rPr>
          <w:rFonts w:hint="eastAsia" w:ascii="宋体" w:hAnsi="宋体" w:eastAsia="宋体" w:cs="宋体"/>
          <w:b/>
          <w:bCs/>
          <w:color w:val="auto"/>
          <w:spacing w:val="-11"/>
          <w:sz w:val="24"/>
          <w:szCs w:val="24"/>
          <w:highlight w:val="none"/>
          <w:lang w:val="en-US" w:eastAsia="zh-CN"/>
        </w:rPr>
        <w:t>1.图纸</w:t>
      </w:r>
      <w:bookmarkEnd w:id="279"/>
    </w:p>
    <w:p w14:paraId="07760D9D">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本招标文件随文另附施工图（电子文件）各一套。</w:t>
      </w:r>
    </w:p>
    <w:p w14:paraId="055C8AC2">
      <w:pPr>
        <w:spacing w:before="151" w:line="360" w:lineRule="auto"/>
        <w:ind w:left="476"/>
        <w:outlineLvl w:val="2"/>
        <w:rPr>
          <w:rFonts w:hint="eastAsia" w:ascii="宋体" w:hAnsi="宋体" w:eastAsia="宋体" w:cs="宋体"/>
          <w:b/>
          <w:bCs/>
          <w:color w:val="auto"/>
          <w:spacing w:val="-11"/>
          <w:sz w:val="24"/>
          <w:szCs w:val="24"/>
          <w:highlight w:val="none"/>
          <w:lang w:val="en-US" w:eastAsia="zh-CN"/>
        </w:rPr>
      </w:pPr>
      <w:bookmarkStart w:id="280" w:name="_Toc30082"/>
      <w:r>
        <w:rPr>
          <w:rFonts w:hint="eastAsia" w:ascii="宋体" w:hAnsi="宋体" w:eastAsia="宋体" w:cs="宋体"/>
          <w:b/>
          <w:bCs/>
          <w:color w:val="auto"/>
          <w:spacing w:val="-11"/>
          <w:sz w:val="24"/>
          <w:szCs w:val="24"/>
          <w:highlight w:val="none"/>
          <w:lang w:val="en-US" w:eastAsia="zh-CN"/>
        </w:rPr>
        <w:t>2.招标工程量清单</w:t>
      </w:r>
      <w:bookmarkEnd w:id="280"/>
    </w:p>
    <w:p w14:paraId="6D1595F6">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2.1 本招标文件随文另附招标工程量清单（电子文件）一套。</w:t>
      </w:r>
    </w:p>
    <w:p w14:paraId="52DCD214">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81" w:name="_Toc7961"/>
      <w:r>
        <w:rPr>
          <w:rFonts w:hint="eastAsia" w:ascii="宋体" w:hAnsi="宋体" w:eastAsia="宋体" w:cs="宋体"/>
          <w:bCs/>
          <w:snapToGrid w:val="0"/>
          <w:color w:val="auto"/>
          <w:kern w:val="0"/>
          <w:sz w:val="24"/>
          <w:szCs w:val="24"/>
          <w:highlight w:val="none"/>
          <w:lang w:val="en-US" w:eastAsia="zh-CN"/>
        </w:rPr>
        <w:t>2.2 本工程按照以下依据编制招标工程量清单、招标控制价：</w:t>
      </w:r>
      <w:bookmarkEnd w:id="281"/>
    </w:p>
    <w:p w14:paraId="2CDCC34F">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82" w:name="_Toc32626"/>
      <w:r>
        <w:rPr>
          <w:rFonts w:hint="eastAsia" w:ascii="宋体" w:hAnsi="宋体" w:eastAsia="宋体" w:cs="宋体"/>
          <w:bCs/>
          <w:snapToGrid w:val="0"/>
          <w:color w:val="auto"/>
          <w:kern w:val="0"/>
          <w:sz w:val="24"/>
          <w:szCs w:val="24"/>
          <w:highlight w:val="none"/>
          <w:lang w:val="en-US" w:eastAsia="zh-CN"/>
        </w:rPr>
        <w:t>（1）《建设工程工程量清单计价规范》（GB50500—2013）；</w:t>
      </w:r>
      <w:bookmarkEnd w:id="282"/>
    </w:p>
    <w:p w14:paraId="01774E47">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83" w:name="_Toc32632"/>
      <w:r>
        <w:rPr>
          <w:rFonts w:hint="eastAsia" w:ascii="宋体" w:hAnsi="宋体" w:eastAsia="宋体" w:cs="宋体"/>
          <w:bCs/>
          <w:snapToGrid w:val="0"/>
          <w:color w:val="auto"/>
          <w:kern w:val="0"/>
          <w:sz w:val="24"/>
          <w:szCs w:val="24"/>
          <w:highlight w:val="none"/>
          <w:lang w:val="en-US" w:eastAsia="zh-CN"/>
        </w:rPr>
        <w:t>（2）投标人应对招标人提供的工程量清单进行认真细致的复核。这种复核包括对招标人提供的工程量清单中的子目编码、子目名称、子目特征描述、计量单位、工程量的准确性以及可能存在的任何书写、打印错误进行检查和复核，特别是对“分部分项工程量清单与计价表”中每个工作子目的工程量进行重新计算和校核。如果投标人经过检查和复核以后认为招标人提供的工程量清单存在差异，则投标人应将此类差异的详细情况连同按“投标须知”规定提交的要求招标人澄清的其他问题一起提交给招标人，招标人将根据实际情况决定是否颁发工程量清单、招标控制价的补充和(或)修改文件。</w:t>
      </w:r>
      <w:bookmarkEnd w:id="283"/>
      <w:r>
        <w:rPr>
          <w:rFonts w:hint="eastAsia" w:ascii="宋体" w:hAnsi="宋体" w:eastAsia="宋体" w:cs="宋体"/>
          <w:bCs/>
          <w:snapToGrid w:val="0"/>
          <w:color w:val="auto"/>
          <w:kern w:val="0"/>
          <w:sz w:val="24"/>
          <w:szCs w:val="24"/>
          <w:highlight w:val="none"/>
          <w:lang w:val="en-US" w:eastAsia="zh-CN"/>
        </w:rPr>
        <w:t xml:space="preserve"> </w:t>
      </w:r>
    </w:p>
    <w:p w14:paraId="0496BAE5">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84" w:name="_Toc12902"/>
      <w:r>
        <w:rPr>
          <w:rFonts w:hint="eastAsia" w:ascii="宋体" w:hAnsi="宋体" w:eastAsia="宋体" w:cs="宋体"/>
          <w:bCs/>
          <w:snapToGrid w:val="0"/>
          <w:color w:val="auto"/>
          <w:kern w:val="0"/>
          <w:sz w:val="24"/>
          <w:szCs w:val="24"/>
          <w:highlight w:val="none"/>
          <w:lang w:val="en-US" w:eastAsia="zh-CN"/>
        </w:rPr>
        <w:t>（3）本招标工程量清单措施项目中的绿色施工安全防护措施费、暂列金额、暂估价不得作为竞争性费用，投标报价必须按本招标工程量清单规定的金额填报。</w:t>
      </w:r>
      <w:bookmarkEnd w:id="284"/>
    </w:p>
    <w:p w14:paraId="2D3BD3AE">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85" w:name="_Toc32266"/>
      <w:r>
        <w:rPr>
          <w:rFonts w:hint="eastAsia" w:ascii="宋体" w:hAnsi="宋体" w:eastAsia="宋体" w:cs="宋体"/>
          <w:bCs/>
          <w:snapToGrid w:val="0"/>
          <w:color w:val="auto"/>
          <w:kern w:val="0"/>
          <w:sz w:val="24"/>
          <w:szCs w:val="24"/>
          <w:highlight w:val="none"/>
          <w:lang w:val="en-US" w:eastAsia="zh-CN"/>
        </w:rPr>
        <w:t>（4）投标报价使用的表格格式须按照 GB50500-2013《建设工程工程量清单计价规范》。</w:t>
      </w:r>
      <w:bookmarkEnd w:id="285"/>
    </w:p>
    <w:p w14:paraId="3F52F0C8">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86" w:name="_Toc13700"/>
      <w:r>
        <w:rPr>
          <w:rFonts w:hint="eastAsia" w:ascii="宋体" w:hAnsi="宋体" w:eastAsia="宋体" w:cs="宋体"/>
          <w:bCs/>
          <w:snapToGrid w:val="0"/>
          <w:color w:val="auto"/>
          <w:kern w:val="0"/>
          <w:sz w:val="24"/>
          <w:szCs w:val="24"/>
          <w:highlight w:val="none"/>
          <w:lang w:val="en-US" w:eastAsia="zh-CN"/>
        </w:rPr>
        <w:t>（5）《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bookmarkEnd w:id="286"/>
    </w:p>
    <w:p w14:paraId="49B1030A">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87" w:name="_Toc10455"/>
      <w:r>
        <w:rPr>
          <w:rFonts w:hint="eastAsia" w:ascii="宋体" w:hAnsi="宋体" w:eastAsia="宋体" w:cs="宋体"/>
          <w:bCs/>
          <w:snapToGrid w:val="0"/>
          <w:color w:val="auto"/>
          <w:kern w:val="0"/>
          <w:sz w:val="24"/>
          <w:szCs w:val="24"/>
          <w:highlight w:val="none"/>
          <w:lang w:val="en-US" w:eastAsia="zh-CN"/>
        </w:rPr>
        <w:t>（6）施工图及相关资料；</w:t>
      </w:r>
      <w:bookmarkEnd w:id="287"/>
    </w:p>
    <w:p w14:paraId="2E0315EC">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88" w:name="_Toc1743"/>
      <w:r>
        <w:rPr>
          <w:rFonts w:hint="eastAsia" w:ascii="宋体" w:hAnsi="宋体" w:eastAsia="宋体" w:cs="宋体"/>
          <w:bCs/>
          <w:snapToGrid w:val="0"/>
          <w:color w:val="auto"/>
          <w:kern w:val="0"/>
          <w:sz w:val="24"/>
          <w:szCs w:val="24"/>
          <w:highlight w:val="none"/>
          <w:lang w:val="en-US" w:eastAsia="zh-CN"/>
        </w:rPr>
        <w:t>（7）招标文件；</w:t>
      </w:r>
      <w:bookmarkEnd w:id="288"/>
    </w:p>
    <w:p w14:paraId="5357C6CC">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89" w:name="_Toc30083"/>
      <w:r>
        <w:rPr>
          <w:rFonts w:hint="eastAsia" w:ascii="宋体" w:hAnsi="宋体" w:eastAsia="宋体" w:cs="宋体"/>
          <w:bCs/>
          <w:snapToGrid w:val="0"/>
          <w:color w:val="auto"/>
          <w:kern w:val="0"/>
          <w:sz w:val="24"/>
          <w:szCs w:val="24"/>
          <w:highlight w:val="none"/>
          <w:lang w:val="en-US" w:eastAsia="zh-CN"/>
        </w:rPr>
        <w:t>（8）施工现场情况、地勘水文资料、工程特点及常规施工方案；</w:t>
      </w:r>
      <w:bookmarkEnd w:id="289"/>
    </w:p>
    <w:p w14:paraId="416327A7">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90" w:name="_Toc15937"/>
      <w:r>
        <w:rPr>
          <w:rFonts w:hint="eastAsia" w:ascii="宋体" w:hAnsi="宋体" w:eastAsia="宋体" w:cs="宋体"/>
          <w:bCs/>
          <w:snapToGrid w:val="0"/>
          <w:color w:val="auto"/>
          <w:kern w:val="0"/>
          <w:sz w:val="24"/>
          <w:szCs w:val="24"/>
          <w:highlight w:val="none"/>
          <w:lang w:val="en-US" w:eastAsia="zh-CN"/>
        </w:rPr>
        <w:t>（9）与建设工程有关的标准、规范、技术资料、材料设备信息价或市场价格等。</w:t>
      </w:r>
      <w:bookmarkEnd w:id="290"/>
    </w:p>
    <w:p w14:paraId="312D3A83">
      <w:pPr>
        <w:rPr>
          <w:rFonts w:hint="eastAsia" w:ascii="宋体" w:hAnsi="宋体" w:eastAsia="宋体" w:cs="宋体"/>
          <w:lang w:val="en-US" w:eastAsia="zh-CN"/>
        </w:rPr>
      </w:pPr>
    </w:p>
    <w:p w14:paraId="52A4AAD7">
      <w:pPr>
        <w:rPr>
          <w:rFonts w:hint="eastAsia" w:ascii="宋体" w:hAnsi="宋体" w:eastAsia="宋体" w:cs="宋体"/>
          <w:lang w:val="en-US" w:eastAsia="zh-CN"/>
        </w:rPr>
      </w:pPr>
    </w:p>
    <w:p w14:paraId="140BCE1C">
      <w:pPr>
        <w:rPr>
          <w:rFonts w:hint="eastAsia" w:ascii="宋体" w:hAnsi="宋体" w:eastAsia="宋体" w:cs="宋体"/>
          <w:lang w:val="en-US" w:eastAsia="zh-CN"/>
        </w:rPr>
      </w:pPr>
    </w:p>
    <w:p w14:paraId="6977C69B">
      <w:pPr>
        <w:rPr>
          <w:rFonts w:hint="eastAsia"/>
          <w:lang w:val="en-US" w:eastAsia="zh-CN"/>
        </w:rPr>
      </w:pPr>
    </w:p>
    <w:p w14:paraId="4A87BCA8">
      <w:pPr>
        <w:rPr>
          <w:rFonts w:hint="eastAsia" w:ascii="宋体" w:hAnsi="宋体" w:eastAsia="宋体" w:cs="宋体"/>
          <w:lang w:val="en-US" w:eastAsia="zh-CN"/>
        </w:rPr>
      </w:pPr>
    </w:p>
    <w:p w14:paraId="055BD2B2">
      <w:pPr>
        <w:rPr>
          <w:rFonts w:hint="eastAsia" w:ascii="宋体" w:hAnsi="宋体" w:eastAsia="宋体" w:cs="宋体"/>
          <w:lang w:val="en-US" w:eastAsia="zh-CN"/>
        </w:rPr>
      </w:pPr>
    </w:p>
    <w:p w14:paraId="4811ADCA">
      <w:pPr>
        <w:rPr>
          <w:rFonts w:hint="eastAsia" w:ascii="宋体" w:hAnsi="宋体" w:eastAsia="宋体" w:cs="宋体"/>
          <w:lang w:val="en-US" w:eastAsia="zh-CN"/>
        </w:rPr>
      </w:pPr>
    </w:p>
    <w:p w14:paraId="4947C4AC">
      <w:pPr>
        <w:pStyle w:val="4"/>
        <w:wordWrap w:val="0"/>
        <w:autoSpaceDE/>
        <w:autoSpaceDN/>
        <w:snapToGrid w:val="0"/>
        <w:spacing w:line="360" w:lineRule="auto"/>
        <w:jc w:val="center"/>
        <w:rPr>
          <w:rFonts w:hint="eastAsia" w:ascii="宋体" w:hAnsi="宋体" w:eastAsia="宋体" w:cs="宋体"/>
          <w:color w:val="auto"/>
          <w:highlight w:val="none"/>
        </w:rPr>
      </w:pPr>
      <w:bookmarkStart w:id="291" w:name="_Toc6239"/>
      <w:bookmarkStart w:id="292" w:name="_Toc11826"/>
      <w:r>
        <w:rPr>
          <w:rFonts w:hint="eastAsia" w:ascii="宋体" w:hAnsi="宋体" w:eastAsia="宋体" w:cs="宋体"/>
          <w:b/>
          <w:snapToGrid w:val="0"/>
          <w:color w:val="auto"/>
          <w:sz w:val="24"/>
          <w:highlight w:val="none"/>
        </w:rPr>
        <w:t>第六章</w:t>
      </w:r>
      <w:bookmarkStart w:id="293" w:name="_Hlt75747044"/>
      <w:bookmarkEnd w:id="293"/>
      <w:r>
        <w:rPr>
          <w:rFonts w:hint="eastAsia" w:ascii="宋体" w:hAnsi="宋体" w:eastAsia="宋体" w:cs="宋体"/>
          <w:b/>
          <w:snapToGrid w:val="0"/>
          <w:color w:val="auto"/>
          <w:sz w:val="24"/>
          <w:highlight w:val="none"/>
          <w:lang w:val="en-US" w:eastAsia="zh-CN"/>
        </w:rPr>
        <w:t xml:space="preserve">   </w:t>
      </w:r>
      <w:r>
        <w:rPr>
          <w:rFonts w:hint="eastAsia" w:ascii="宋体" w:hAnsi="宋体" w:eastAsia="宋体" w:cs="宋体"/>
          <w:b/>
          <w:snapToGrid w:val="0"/>
          <w:color w:val="auto"/>
          <w:sz w:val="24"/>
          <w:highlight w:val="none"/>
        </w:rPr>
        <w:t>投标文件格式</w:t>
      </w:r>
      <w:bookmarkEnd w:id="291"/>
      <w:bookmarkEnd w:id="292"/>
      <w:bookmarkStart w:id="294" w:name="_附件四：工期承诺书"/>
      <w:bookmarkEnd w:id="294"/>
      <w:bookmarkStart w:id="295" w:name="_附件一：投标函"/>
      <w:bookmarkEnd w:id="295"/>
      <w:bookmarkStart w:id="296" w:name="_附件五：综合评审合理低价法"/>
      <w:bookmarkEnd w:id="296"/>
      <w:bookmarkStart w:id="297" w:name="_附件二：工期承诺书"/>
      <w:bookmarkEnd w:id="297"/>
      <w:bookmarkStart w:id="298" w:name="_附件二：近三年度主要施工项目（竣工及在建）一览表"/>
      <w:bookmarkEnd w:id="298"/>
      <w:bookmarkStart w:id="299" w:name="_附件一：对招标文件条款自愿接受承诺书"/>
      <w:bookmarkEnd w:id="299"/>
      <w:bookmarkStart w:id="300" w:name="_Toc137621693"/>
      <w:bookmarkStart w:id="301" w:name="_Toc200338097"/>
      <w:bookmarkStart w:id="302" w:name="_Hlt66847557"/>
      <w:bookmarkStart w:id="303" w:name="_Toc66849200"/>
    </w:p>
    <w:p w14:paraId="35D43320">
      <w:pPr>
        <w:spacing w:before="151" w:line="360" w:lineRule="auto"/>
        <w:ind w:left="476"/>
        <w:outlineLvl w:val="2"/>
        <w:rPr>
          <w:rFonts w:hint="eastAsia" w:ascii="宋体" w:hAnsi="宋体" w:eastAsia="宋体" w:cs="宋体"/>
          <w:b/>
          <w:bCs/>
          <w:color w:val="auto"/>
          <w:spacing w:val="-11"/>
          <w:sz w:val="24"/>
          <w:szCs w:val="24"/>
          <w:highlight w:val="none"/>
          <w:lang w:val="en-US" w:eastAsia="zh-CN"/>
        </w:rPr>
      </w:pPr>
      <w:bookmarkStart w:id="304" w:name="_Toc9708"/>
      <w:bookmarkStart w:id="305" w:name="_Toc5248"/>
      <w:r>
        <w:rPr>
          <w:rFonts w:hint="eastAsia" w:ascii="宋体" w:hAnsi="宋体" w:eastAsia="宋体" w:cs="宋体"/>
          <w:b/>
          <w:bCs/>
          <w:color w:val="auto"/>
          <w:spacing w:val="-11"/>
          <w:sz w:val="24"/>
          <w:szCs w:val="24"/>
          <w:highlight w:val="none"/>
          <w:lang w:val="en-US" w:eastAsia="zh-CN"/>
        </w:rPr>
        <w:t>格式一   封面</w:t>
      </w:r>
      <w:bookmarkEnd w:id="304"/>
      <w:bookmarkEnd w:id="305"/>
    </w:p>
    <w:p w14:paraId="2C41E55F">
      <w:pPr>
        <w:pStyle w:val="60"/>
        <w:widowControl w:val="0"/>
        <w:wordWrap w:val="0"/>
        <w:adjustRightInd w:val="0"/>
        <w:snapToGrid w:val="0"/>
        <w:spacing w:line="360" w:lineRule="auto"/>
        <w:rPr>
          <w:rFonts w:hint="eastAsia" w:ascii="宋体" w:hAnsi="宋体" w:eastAsia="宋体" w:cs="宋体"/>
          <w:b/>
          <w:snapToGrid w:val="0"/>
          <w:color w:val="auto"/>
          <w:sz w:val="24"/>
          <w:highlight w:val="none"/>
        </w:rPr>
      </w:pPr>
    </w:p>
    <w:p w14:paraId="64F599D5">
      <w:pPr>
        <w:pStyle w:val="60"/>
        <w:widowControl w:val="0"/>
        <w:wordWrap w:val="0"/>
        <w:adjustRightInd w:val="0"/>
        <w:snapToGrid w:val="0"/>
        <w:spacing w:line="360" w:lineRule="auto"/>
        <w:jc w:val="both"/>
        <w:rPr>
          <w:rFonts w:hint="eastAsia" w:ascii="宋体" w:hAnsi="宋体" w:eastAsia="宋体" w:cs="宋体"/>
          <w:b/>
          <w:snapToGrid w:val="0"/>
          <w:color w:val="auto"/>
          <w:sz w:val="24"/>
          <w:highlight w:val="none"/>
        </w:rPr>
      </w:pPr>
    </w:p>
    <w:p w14:paraId="264A32FC">
      <w:pPr>
        <w:pStyle w:val="60"/>
        <w:widowControl w:val="0"/>
        <w:wordWrap w:val="0"/>
        <w:adjustRightInd w:val="0"/>
        <w:snapToGrid w:val="0"/>
        <w:spacing w:line="360" w:lineRule="auto"/>
        <w:rPr>
          <w:rFonts w:hint="eastAsia" w:ascii="宋体" w:hAnsi="宋体" w:eastAsia="宋体" w:cs="宋体"/>
          <w:b/>
          <w:snapToGrid w:val="0"/>
          <w:color w:val="auto"/>
          <w:sz w:val="24"/>
          <w:highlight w:val="none"/>
        </w:rPr>
      </w:pPr>
    </w:p>
    <w:p w14:paraId="01047916">
      <w:pPr>
        <w:pStyle w:val="60"/>
        <w:widowControl w:val="0"/>
        <w:wordWrap w:val="0"/>
        <w:adjustRightInd w:val="0"/>
        <w:snapToGrid w:val="0"/>
        <w:spacing w:line="360" w:lineRule="auto"/>
        <w:rPr>
          <w:rFonts w:hint="eastAsia" w:ascii="宋体" w:hAnsi="宋体" w:eastAsia="宋体" w:cs="宋体"/>
          <w:b/>
          <w:snapToGrid w:val="0"/>
          <w:color w:val="auto"/>
          <w:sz w:val="24"/>
          <w:highlight w:val="none"/>
        </w:rPr>
      </w:pPr>
    </w:p>
    <w:p w14:paraId="68318CBB">
      <w:pPr>
        <w:keepNext w:val="0"/>
        <w:keepLines w:val="0"/>
        <w:widowControl/>
        <w:suppressLineNumbers w:val="0"/>
        <w:spacing w:line="360" w:lineRule="auto"/>
        <w:jc w:val="center"/>
        <w:rPr>
          <w:rFonts w:hint="eastAsia" w:ascii="宋体" w:hAnsi="宋体" w:eastAsia="宋体" w:cs="宋体"/>
          <w:b/>
          <w:snapToGrid w:val="0"/>
          <w:color w:val="auto"/>
          <w:sz w:val="48"/>
          <w:szCs w:val="48"/>
          <w:highlight w:val="none"/>
        </w:rPr>
      </w:pPr>
      <w:r>
        <w:rPr>
          <w:rFonts w:hint="eastAsia" w:ascii="宋体" w:hAnsi="宋体" w:eastAsia="宋体" w:cs="宋体"/>
          <w:b/>
          <w:snapToGrid w:val="0"/>
          <w:color w:val="auto"/>
          <w:sz w:val="48"/>
          <w:szCs w:val="48"/>
          <w:highlight w:val="none"/>
        </w:rPr>
        <w:t>（项目名称）</w:t>
      </w:r>
      <w:r>
        <w:rPr>
          <w:rFonts w:hint="eastAsia" w:ascii="宋体" w:hAnsi="宋体" w:eastAsia="宋体" w:cs="宋体"/>
          <w:b/>
          <w:snapToGrid w:val="0"/>
          <w:color w:val="auto"/>
          <w:sz w:val="48"/>
          <w:szCs w:val="48"/>
          <w:highlight w:val="none"/>
          <w:lang w:val="en-US" w:eastAsia="zh-CN"/>
        </w:rPr>
        <w:t>工程施工</w:t>
      </w:r>
      <w:r>
        <w:rPr>
          <w:rFonts w:hint="eastAsia" w:ascii="宋体" w:hAnsi="宋体" w:eastAsia="宋体" w:cs="宋体"/>
          <w:b/>
          <w:snapToGrid w:val="0"/>
          <w:color w:val="auto"/>
          <w:sz w:val="48"/>
          <w:szCs w:val="48"/>
          <w:highlight w:val="none"/>
        </w:rPr>
        <w:t>招标</w:t>
      </w:r>
    </w:p>
    <w:p w14:paraId="3BFA3CCF">
      <w:pPr>
        <w:pStyle w:val="60"/>
        <w:widowControl w:val="0"/>
        <w:wordWrap w:val="0"/>
        <w:adjustRightInd w:val="0"/>
        <w:snapToGrid w:val="0"/>
        <w:spacing w:line="360" w:lineRule="auto"/>
        <w:ind w:firstLine="0"/>
        <w:jc w:val="center"/>
        <w:rPr>
          <w:rFonts w:hint="eastAsia" w:ascii="宋体" w:hAnsi="宋体" w:eastAsia="宋体" w:cs="宋体"/>
          <w:b/>
          <w:snapToGrid w:val="0"/>
          <w:color w:val="auto"/>
          <w:sz w:val="32"/>
          <w:highlight w:val="none"/>
        </w:rPr>
      </w:pPr>
    </w:p>
    <w:p w14:paraId="539028DF">
      <w:pPr>
        <w:pStyle w:val="60"/>
        <w:widowControl w:val="0"/>
        <w:wordWrap w:val="0"/>
        <w:adjustRightInd w:val="0"/>
        <w:snapToGrid w:val="0"/>
        <w:spacing w:line="360" w:lineRule="auto"/>
        <w:ind w:firstLine="0"/>
        <w:jc w:val="center"/>
        <w:rPr>
          <w:rFonts w:hint="eastAsia" w:ascii="宋体" w:hAnsi="宋体" w:eastAsia="宋体" w:cs="宋体"/>
          <w:b/>
          <w:snapToGrid w:val="0"/>
          <w:color w:val="auto"/>
          <w:sz w:val="72"/>
          <w:highlight w:val="none"/>
        </w:rPr>
      </w:pPr>
      <w:r>
        <w:rPr>
          <w:rFonts w:hint="eastAsia" w:ascii="宋体" w:hAnsi="宋体" w:eastAsia="宋体" w:cs="宋体"/>
          <w:b/>
          <w:snapToGrid w:val="0"/>
          <w:color w:val="auto"/>
          <w:sz w:val="72"/>
          <w:highlight w:val="none"/>
        </w:rPr>
        <w:t>投  标  文  件</w:t>
      </w:r>
    </w:p>
    <w:p w14:paraId="44CCF37F">
      <w:pPr>
        <w:pStyle w:val="60"/>
        <w:widowControl w:val="0"/>
        <w:wordWrap w:val="0"/>
        <w:adjustRightInd w:val="0"/>
        <w:snapToGrid w:val="0"/>
        <w:spacing w:line="360" w:lineRule="auto"/>
        <w:ind w:firstLine="0"/>
        <w:jc w:val="center"/>
        <w:rPr>
          <w:rFonts w:hint="eastAsia" w:ascii="宋体" w:hAnsi="宋体" w:eastAsia="宋体" w:cs="宋体"/>
          <w:b/>
          <w:snapToGrid w:val="0"/>
          <w:color w:val="auto"/>
          <w:sz w:val="32"/>
          <w:highlight w:val="none"/>
        </w:rPr>
      </w:pPr>
    </w:p>
    <w:p w14:paraId="1CBA27F3">
      <w:pPr>
        <w:pStyle w:val="60"/>
        <w:widowControl w:val="0"/>
        <w:wordWrap w:val="0"/>
        <w:adjustRightInd w:val="0"/>
        <w:snapToGrid w:val="0"/>
        <w:spacing w:line="360" w:lineRule="auto"/>
        <w:ind w:firstLine="0"/>
        <w:jc w:val="center"/>
        <w:rPr>
          <w:rFonts w:hint="eastAsia" w:ascii="宋体" w:hAnsi="宋体" w:eastAsia="宋体" w:cs="宋体"/>
          <w:b/>
          <w:snapToGrid w:val="0"/>
          <w:color w:val="auto"/>
          <w:sz w:val="48"/>
          <w:szCs w:val="48"/>
          <w:highlight w:val="none"/>
        </w:rPr>
      </w:pPr>
      <w:r>
        <w:rPr>
          <w:rFonts w:hint="eastAsia" w:ascii="宋体" w:hAnsi="宋体" w:eastAsia="宋体" w:cs="宋体"/>
          <w:b/>
          <w:snapToGrid w:val="0"/>
          <w:color w:val="auto"/>
          <w:sz w:val="48"/>
          <w:szCs w:val="48"/>
          <w:highlight w:val="none"/>
        </w:rPr>
        <w:t>（商务标书／经济标书／施工组织设计）</w:t>
      </w:r>
    </w:p>
    <w:p w14:paraId="3D95CC72">
      <w:pPr>
        <w:pStyle w:val="60"/>
        <w:widowControl w:val="0"/>
        <w:wordWrap w:val="0"/>
        <w:adjustRightInd w:val="0"/>
        <w:snapToGrid w:val="0"/>
        <w:spacing w:line="360" w:lineRule="auto"/>
        <w:rPr>
          <w:rFonts w:hint="eastAsia" w:ascii="宋体" w:hAnsi="宋体" w:eastAsia="宋体" w:cs="宋体"/>
          <w:b/>
          <w:snapToGrid w:val="0"/>
          <w:color w:val="auto"/>
          <w:highlight w:val="none"/>
        </w:rPr>
      </w:pPr>
    </w:p>
    <w:p w14:paraId="71A1C0CC">
      <w:pPr>
        <w:pStyle w:val="60"/>
        <w:widowControl w:val="0"/>
        <w:wordWrap w:val="0"/>
        <w:adjustRightInd w:val="0"/>
        <w:snapToGrid w:val="0"/>
        <w:spacing w:line="360" w:lineRule="auto"/>
        <w:rPr>
          <w:rFonts w:hint="eastAsia" w:ascii="宋体" w:hAnsi="宋体" w:eastAsia="宋体" w:cs="宋体"/>
          <w:b/>
          <w:snapToGrid w:val="0"/>
          <w:color w:val="auto"/>
          <w:sz w:val="32"/>
          <w:highlight w:val="none"/>
        </w:rPr>
      </w:pPr>
    </w:p>
    <w:p w14:paraId="56947D7C">
      <w:pPr>
        <w:pStyle w:val="60"/>
        <w:widowControl w:val="0"/>
        <w:wordWrap w:val="0"/>
        <w:adjustRightInd w:val="0"/>
        <w:snapToGrid w:val="0"/>
        <w:spacing w:line="360" w:lineRule="auto"/>
        <w:rPr>
          <w:rFonts w:hint="eastAsia" w:ascii="宋体" w:hAnsi="宋体" w:eastAsia="宋体" w:cs="宋体"/>
          <w:b/>
          <w:snapToGrid w:val="0"/>
          <w:color w:val="auto"/>
          <w:sz w:val="32"/>
          <w:highlight w:val="none"/>
        </w:rPr>
      </w:pPr>
    </w:p>
    <w:p w14:paraId="452183E4">
      <w:pPr>
        <w:pStyle w:val="60"/>
        <w:widowControl w:val="0"/>
        <w:wordWrap w:val="0"/>
        <w:adjustRightInd w:val="0"/>
        <w:snapToGrid w:val="0"/>
        <w:spacing w:line="360" w:lineRule="auto"/>
        <w:rPr>
          <w:rFonts w:hint="eastAsia" w:ascii="宋体" w:hAnsi="宋体" w:eastAsia="宋体" w:cs="宋体"/>
          <w:b/>
          <w:snapToGrid w:val="0"/>
          <w:color w:val="auto"/>
          <w:sz w:val="32"/>
          <w:highlight w:val="none"/>
        </w:rPr>
      </w:pPr>
    </w:p>
    <w:p w14:paraId="63A9DDCA">
      <w:pPr>
        <w:pStyle w:val="60"/>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投标人：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（盖单位章）</w:t>
      </w:r>
    </w:p>
    <w:p w14:paraId="06234196">
      <w:pPr>
        <w:pStyle w:val="60"/>
        <w:widowControl w:val="0"/>
        <w:wordWrap w:val="0"/>
        <w:adjustRightInd w:val="0"/>
        <w:snapToGrid w:val="0"/>
        <w:spacing w:line="360" w:lineRule="auto"/>
        <w:ind w:firstLine="0"/>
        <w:jc w:val="both"/>
        <w:rPr>
          <w:rFonts w:hint="eastAsia" w:ascii="宋体" w:hAnsi="宋体" w:eastAsia="宋体" w:cs="宋体"/>
          <w:bCs/>
          <w:snapToGrid w:val="0"/>
          <w:color w:val="auto"/>
          <w:sz w:val="32"/>
          <w:highlight w:val="none"/>
        </w:rPr>
      </w:pPr>
    </w:p>
    <w:p w14:paraId="2D081AA0">
      <w:pPr>
        <w:pStyle w:val="60"/>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法定代表人或其委托代理人：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（签字或盖章）</w:t>
      </w:r>
    </w:p>
    <w:p w14:paraId="56D1462D">
      <w:pPr>
        <w:pStyle w:val="60"/>
        <w:widowControl w:val="0"/>
        <w:wordWrap w:val="0"/>
        <w:adjustRightInd w:val="0"/>
        <w:snapToGrid w:val="0"/>
        <w:spacing w:line="360" w:lineRule="auto"/>
        <w:ind w:firstLine="0"/>
        <w:jc w:val="both"/>
        <w:rPr>
          <w:rFonts w:hint="eastAsia" w:ascii="宋体" w:hAnsi="宋体" w:eastAsia="宋体" w:cs="宋体"/>
          <w:bCs/>
          <w:snapToGrid w:val="0"/>
          <w:color w:val="auto"/>
          <w:sz w:val="32"/>
          <w:highlight w:val="none"/>
          <w:u w:val="single"/>
        </w:rPr>
      </w:pPr>
    </w:p>
    <w:p w14:paraId="673B1733">
      <w:pPr>
        <w:pStyle w:val="60"/>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年</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月</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日</w:t>
      </w:r>
    </w:p>
    <w:p w14:paraId="2F36BE3D">
      <w:pPr>
        <w:rPr>
          <w:rFonts w:hint="eastAsia" w:ascii="宋体" w:hAnsi="宋体" w:eastAsia="宋体" w:cs="宋体"/>
        </w:rPr>
      </w:pPr>
      <w:bookmarkStart w:id="306" w:name="_Toc15092"/>
      <w:bookmarkStart w:id="307" w:name="_Toc106418843"/>
      <w:bookmarkStart w:id="308" w:name="_Toc104711098"/>
    </w:p>
    <w:p w14:paraId="6832A50E">
      <w:pPr>
        <w:rPr>
          <w:rFonts w:hint="eastAsia" w:ascii="宋体" w:hAnsi="宋体" w:eastAsia="宋体" w:cs="宋体"/>
        </w:rPr>
      </w:pPr>
    </w:p>
    <w:p w14:paraId="4E5A5E31">
      <w:pPr>
        <w:rPr>
          <w:rFonts w:hint="eastAsia" w:ascii="宋体" w:hAnsi="宋体" w:eastAsia="宋体" w:cs="宋体"/>
        </w:rPr>
      </w:pPr>
    </w:p>
    <w:p w14:paraId="024AE31D">
      <w:pPr>
        <w:rPr>
          <w:rFonts w:hint="eastAsia" w:ascii="宋体" w:hAnsi="宋体" w:eastAsia="宋体" w:cs="宋体"/>
        </w:rPr>
      </w:pPr>
    </w:p>
    <w:p w14:paraId="33966578">
      <w:pPr>
        <w:rPr>
          <w:rFonts w:hint="eastAsia" w:ascii="宋体" w:hAnsi="宋体" w:eastAsia="宋体" w:cs="宋体"/>
        </w:rPr>
      </w:pPr>
    </w:p>
    <w:p w14:paraId="7100C261">
      <w:pPr>
        <w:rPr>
          <w:rFonts w:hint="eastAsia" w:ascii="宋体" w:hAnsi="宋体" w:eastAsia="宋体" w:cs="宋体"/>
        </w:rPr>
      </w:pPr>
    </w:p>
    <w:p w14:paraId="4FDFF029">
      <w:pPr>
        <w:spacing w:before="151" w:line="360" w:lineRule="auto"/>
        <w:ind w:left="476"/>
        <w:outlineLvl w:val="2"/>
        <w:rPr>
          <w:rFonts w:hint="eastAsia" w:ascii="宋体" w:hAnsi="宋体" w:eastAsia="宋体" w:cs="宋体"/>
          <w:b/>
          <w:bCs/>
          <w:color w:val="auto"/>
          <w:spacing w:val="-11"/>
          <w:sz w:val="24"/>
          <w:szCs w:val="24"/>
          <w:highlight w:val="none"/>
          <w:lang w:val="en-US" w:eastAsia="zh-CN"/>
        </w:rPr>
      </w:pPr>
      <w:bookmarkStart w:id="309" w:name="_Toc19730"/>
      <w:r>
        <w:rPr>
          <w:rFonts w:hint="eastAsia" w:ascii="宋体" w:hAnsi="宋体" w:eastAsia="宋体" w:cs="宋体"/>
          <w:b/>
          <w:bCs/>
          <w:color w:val="auto"/>
          <w:spacing w:val="-11"/>
          <w:sz w:val="24"/>
          <w:szCs w:val="24"/>
          <w:highlight w:val="none"/>
          <w:lang w:val="en-US" w:eastAsia="zh-CN"/>
        </w:rPr>
        <w:t>格式</w:t>
      </w:r>
      <w:bookmarkStart w:id="310" w:name="_Hlt97526007"/>
      <w:bookmarkEnd w:id="310"/>
      <w:r>
        <w:rPr>
          <w:rFonts w:hint="eastAsia" w:ascii="宋体" w:hAnsi="宋体" w:eastAsia="宋体" w:cs="宋体"/>
          <w:b/>
          <w:bCs/>
          <w:color w:val="auto"/>
          <w:spacing w:val="-11"/>
          <w:sz w:val="24"/>
          <w:szCs w:val="24"/>
          <w:highlight w:val="none"/>
          <w:lang w:val="en-US" w:eastAsia="zh-CN"/>
        </w:rPr>
        <w:t>二   投标函</w:t>
      </w:r>
      <w:bookmarkEnd w:id="306"/>
      <w:bookmarkEnd w:id="309"/>
    </w:p>
    <w:p w14:paraId="07C295E9">
      <w:pPr>
        <w:wordWrap w:val="0"/>
        <w:adjustRightInd w:val="0"/>
        <w:snapToGrid w:val="0"/>
        <w:spacing w:before="260" w:after="260" w:line="360" w:lineRule="auto"/>
        <w:jc w:val="center"/>
        <w:rPr>
          <w:rFonts w:hint="eastAsia" w:ascii="宋体" w:hAnsi="宋体" w:eastAsia="宋体" w:cs="宋体"/>
          <w:b/>
          <w:snapToGrid w:val="0"/>
          <w:color w:val="auto"/>
          <w:kern w:val="0"/>
          <w:sz w:val="30"/>
          <w:highlight w:val="none"/>
        </w:rPr>
      </w:pPr>
      <w:r>
        <w:rPr>
          <w:rFonts w:hint="eastAsia" w:ascii="宋体" w:hAnsi="宋体" w:eastAsia="宋体" w:cs="宋体"/>
          <w:b/>
          <w:snapToGrid w:val="0"/>
          <w:color w:val="auto"/>
          <w:kern w:val="0"/>
          <w:sz w:val="30"/>
          <w:highlight w:val="none"/>
        </w:rPr>
        <w:t>投  标  函</w:t>
      </w:r>
      <w:bookmarkEnd w:id="307"/>
      <w:bookmarkEnd w:id="308"/>
    </w:p>
    <w:p w14:paraId="37577B2E">
      <w:pPr>
        <w:wordWrap w:val="0"/>
        <w:adjustRightInd w:val="0"/>
        <w:snapToGrid w:val="0"/>
        <w:spacing w:line="360" w:lineRule="auto"/>
        <w:jc w:val="center"/>
        <w:rPr>
          <w:rFonts w:hint="eastAsia" w:ascii="宋体" w:hAnsi="宋体" w:eastAsia="宋体" w:cs="宋体"/>
          <w:b/>
          <w:snapToGrid w:val="0"/>
          <w:color w:val="auto"/>
          <w:kern w:val="0"/>
          <w:highlight w:val="none"/>
        </w:rPr>
      </w:pPr>
    </w:p>
    <w:p w14:paraId="72CE9446">
      <w:pPr>
        <w:wordWrap w:val="0"/>
        <w:adjustRightInd w:val="0"/>
        <w:snapToGrid w:val="0"/>
        <w:spacing w:line="360" w:lineRule="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致：</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（招标人名称）</w:t>
      </w:r>
    </w:p>
    <w:p w14:paraId="1BB50ABC">
      <w:pPr>
        <w:wordWrap w:val="0"/>
        <w:adjustRightInd w:val="0"/>
        <w:snapToGrid w:val="0"/>
        <w:spacing w:line="360" w:lineRule="auto"/>
        <w:ind w:firstLine="57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 xml:space="preserve">1. </w:t>
      </w:r>
      <w:r>
        <w:rPr>
          <w:rFonts w:hint="eastAsia" w:ascii="宋体" w:hAnsi="宋体" w:eastAsia="宋体" w:cs="宋体"/>
          <w:snapToGrid w:val="0"/>
          <w:color w:val="auto"/>
          <w:kern w:val="0"/>
          <w:szCs w:val="22"/>
          <w:highlight w:val="none"/>
        </w:rPr>
        <w:t>我方</w:t>
      </w:r>
      <w:r>
        <w:rPr>
          <w:rFonts w:hint="eastAsia" w:ascii="宋体" w:hAnsi="宋体" w:eastAsia="宋体" w:cs="宋体"/>
          <w:snapToGrid w:val="0"/>
          <w:color w:val="auto"/>
          <w:kern w:val="0"/>
          <w:highlight w:val="none"/>
        </w:rPr>
        <w:t>考察现场并充分研究</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（项目名称）（以下简称“本项目”）招标文件</w:t>
      </w:r>
      <w:r>
        <w:rPr>
          <w:rFonts w:hint="eastAsia" w:ascii="宋体" w:hAnsi="宋体" w:eastAsia="宋体" w:cs="宋体"/>
          <w:snapToGrid w:val="0"/>
          <w:color w:val="auto"/>
          <w:kern w:val="0"/>
          <w:szCs w:val="22"/>
          <w:highlight w:val="none"/>
        </w:rPr>
        <w:t>所有内容后</w:t>
      </w:r>
      <w:r>
        <w:rPr>
          <w:rFonts w:hint="eastAsia" w:ascii="宋体" w:hAnsi="宋体" w:eastAsia="宋体" w:cs="宋体"/>
          <w:snapToGrid w:val="0"/>
          <w:color w:val="auto"/>
          <w:kern w:val="0"/>
          <w:highlight w:val="none"/>
        </w:rPr>
        <w:t>，结合自身资质、能力和特点，愿意接受招标文件的全部内容和条件，兹以人民币（大写）：</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u w:val="single"/>
          <w:lang w:val="en-US" w:eastAsia="zh-CN"/>
        </w:rPr>
        <w:t xml:space="preserve"> </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szCs w:val="22"/>
          <w:highlight w:val="none"/>
        </w:rPr>
        <w:t>的投标总价</w:t>
      </w:r>
      <w:r>
        <w:rPr>
          <w:rFonts w:hint="eastAsia" w:ascii="宋体" w:hAnsi="宋体" w:eastAsia="宋体" w:cs="宋体"/>
          <w:snapToGrid w:val="0"/>
          <w:color w:val="auto"/>
          <w:kern w:val="0"/>
          <w:highlight w:val="none"/>
        </w:rPr>
        <w:t>竞投本项目施工。</w:t>
      </w:r>
    </w:p>
    <w:p w14:paraId="7CC51F54">
      <w:pPr>
        <w:wordWrap w:val="0"/>
        <w:adjustRightInd w:val="0"/>
        <w:snapToGrid w:val="0"/>
        <w:spacing w:line="360" w:lineRule="auto"/>
        <w:ind w:firstLine="57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在我方的上述投标总价中，包括：绿色施工安全防护措施费¥</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u w:val="single"/>
          <w:lang w:val="en-US" w:eastAsia="zh-CN"/>
        </w:rPr>
        <w:t xml:space="preserve">   </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w:t>
      </w:r>
      <w:r>
        <w:rPr>
          <w:rFonts w:hint="eastAsia" w:ascii="宋体" w:hAnsi="宋体" w:eastAsia="宋体" w:cs="宋体"/>
          <w:color w:val="auto"/>
          <w:kern w:val="0"/>
          <w:szCs w:val="24"/>
          <w:highlight w:val="none"/>
          <w:lang w:bidi="ar"/>
        </w:rPr>
        <w:t>暂列金额</w:t>
      </w: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u w:val="single"/>
          <w:lang w:val="en-US" w:eastAsia="zh-CN"/>
        </w:rPr>
        <w:t xml:space="preserve"> </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，暂估价¥</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u w:val="single"/>
          <w:lang w:val="en-US" w:eastAsia="zh-CN"/>
        </w:rPr>
        <w:t xml:space="preserve">   </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w:t>
      </w:r>
    </w:p>
    <w:p w14:paraId="53D8C7E3">
      <w:pPr>
        <w:wordWrap w:val="0"/>
        <w:adjustRightInd w:val="0"/>
        <w:snapToGrid w:val="0"/>
        <w:spacing w:line="360" w:lineRule="auto"/>
        <w:ind w:firstLine="57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2. 如果我方中标，我方保证按照合同约定的开工日期开始本项目的施工，</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个日历天内竣工，并确保工程质量达到</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标准和维修其中的任何缺陷。</w:t>
      </w:r>
    </w:p>
    <w:p w14:paraId="6B88A785">
      <w:pPr>
        <w:wordWrap w:val="0"/>
        <w:adjustRightInd w:val="0"/>
        <w:snapToGrid w:val="0"/>
        <w:spacing w:line="360" w:lineRule="auto"/>
        <w:ind w:firstLine="57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3. 本投标函在你方接收我方递交的投标文件之日起、到招标文件规定的投标有效期期满前对我方具有约束力。我方随时准备接受你方发出的中标通知书。</w:t>
      </w:r>
    </w:p>
    <w:p w14:paraId="23012583">
      <w:pPr>
        <w:wordWrap w:val="0"/>
        <w:adjustRightInd w:val="0"/>
        <w:snapToGrid w:val="0"/>
        <w:spacing w:line="360" w:lineRule="auto"/>
        <w:ind w:firstLine="57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w:t>
      </w:r>
      <w:r>
        <w:rPr>
          <w:rFonts w:hint="eastAsia" w:ascii="宋体" w:hAnsi="宋体" w:eastAsia="宋体" w:cs="宋体"/>
          <w:snapToGrid w:val="0"/>
          <w:color w:val="auto"/>
          <w:kern w:val="0"/>
          <w:highlight w:val="none"/>
          <w:lang w:eastAsia="zh-CN"/>
        </w:rPr>
        <w:t>.</w:t>
      </w:r>
      <w:r>
        <w:rPr>
          <w:rFonts w:hint="eastAsia" w:ascii="宋体" w:hAnsi="宋体" w:eastAsia="宋体" w:cs="宋体"/>
          <w:snapToGrid w:val="0"/>
          <w:color w:val="auto"/>
          <w:kern w:val="0"/>
          <w:highlight w:val="none"/>
        </w:rPr>
        <w:t>我方在此声明，我方不存在本项目招标文件第一章第三节第</w:t>
      </w:r>
      <w:r>
        <w:rPr>
          <w:rFonts w:hint="eastAsia" w:ascii="宋体" w:hAnsi="宋体" w:eastAsia="宋体" w:cs="宋体"/>
          <w:b/>
          <w:bCs/>
          <w:snapToGrid w:val="0"/>
          <w:color w:val="auto"/>
          <w:kern w:val="0"/>
          <w:highlight w:val="none"/>
        </w:rPr>
        <w:t>2.4</w:t>
      </w:r>
      <w:r>
        <w:rPr>
          <w:rFonts w:hint="eastAsia" w:ascii="宋体" w:hAnsi="宋体" w:eastAsia="宋体" w:cs="宋体"/>
          <w:snapToGrid w:val="0"/>
          <w:color w:val="auto"/>
          <w:kern w:val="0"/>
          <w:highlight w:val="none"/>
        </w:rPr>
        <w:t>条“禁止投标条款”所列出的任何一种情形，并愿意承担因我方就此弄虚作假所引起的一切法律后果。</w:t>
      </w:r>
    </w:p>
    <w:p w14:paraId="4AA735D9">
      <w:pPr>
        <w:wordWrap w:val="0"/>
        <w:adjustRightInd w:val="0"/>
        <w:snapToGrid w:val="0"/>
        <w:spacing w:line="360" w:lineRule="auto"/>
        <w:ind w:firstLine="57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5</w:t>
      </w:r>
      <w:r>
        <w:rPr>
          <w:rFonts w:hint="eastAsia" w:ascii="宋体" w:hAnsi="宋体" w:eastAsia="宋体" w:cs="宋体"/>
          <w:snapToGrid w:val="0"/>
          <w:color w:val="auto"/>
          <w:kern w:val="0"/>
          <w:highlight w:val="none"/>
          <w:lang w:eastAsia="zh-CN"/>
        </w:rPr>
        <w:t>.</w:t>
      </w:r>
      <w:r>
        <w:rPr>
          <w:rFonts w:hint="eastAsia" w:ascii="宋体" w:hAnsi="宋体" w:eastAsia="宋体" w:cs="宋体"/>
          <w:snapToGrid w:val="0"/>
          <w:color w:val="auto"/>
          <w:kern w:val="0"/>
          <w:highlight w:val="none"/>
        </w:rPr>
        <w:t>我方在此承诺，所递交投标文件的全部内容均为真实、有效、准确的，并愿意承担因我方就此弄虚作假所引起的一切法律后果，同时理解和同意有可能被要求提供更多的资料。</w:t>
      </w:r>
    </w:p>
    <w:p w14:paraId="72DE2632">
      <w:pPr>
        <w:wordWrap w:val="0"/>
        <w:adjustRightInd w:val="0"/>
        <w:snapToGrid w:val="0"/>
        <w:spacing w:line="360" w:lineRule="auto"/>
        <w:ind w:firstLine="570"/>
        <w:rPr>
          <w:rFonts w:hint="eastAsia" w:ascii="宋体" w:hAnsi="宋体" w:eastAsia="宋体" w:cs="宋体"/>
          <w:snapToGrid w:val="0"/>
          <w:color w:val="auto"/>
          <w:kern w:val="0"/>
          <w:highlight w:val="none"/>
        </w:rPr>
      </w:pPr>
      <w:bookmarkStart w:id="311" w:name="_Hlt68771070"/>
      <w:bookmarkEnd w:id="311"/>
      <w:r>
        <w:rPr>
          <w:rFonts w:hint="eastAsia" w:ascii="宋体" w:hAnsi="宋体" w:eastAsia="宋体" w:cs="宋体"/>
          <w:snapToGrid w:val="0"/>
          <w:color w:val="auto"/>
          <w:kern w:val="0"/>
          <w:highlight w:val="none"/>
        </w:rPr>
        <w:t xml:space="preserve">6. 我方理解你方不一定要接纳收到的最低投标总价或任何投标总价的投标人中标，也不要求你方解释我方是否中标的原因。  </w:t>
      </w:r>
    </w:p>
    <w:p w14:paraId="286754D7">
      <w:pPr>
        <w:wordWrap w:val="0"/>
        <w:adjustRightInd w:val="0"/>
        <w:snapToGrid w:val="0"/>
        <w:spacing w:line="360" w:lineRule="auto"/>
        <w:rPr>
          <w:rFonts w:hint="eastAsia" w:ascii="宋体" w:hAnsi="宋体" w:eastAsia="宋体" w:cs="宋体"/>
          <w:snapToGrid w:val="0"/>
          <w:color w:val="auto"/>
          <w:kern w:val="0"/>
          <w:highlight w:val="none"/>
        </w:rPr>
      </w:pPr>
    </w:p>
    <w:p w14:paraId="4C19F572">
      <w:pPr>
        <w:wordWrap w:val="0"/>
        <w:adjustRightInd w:val="0"/>
        <w:snapToGrid w:val="0"/>
        <w:spacing w:line="360" w:lineRule="auto"/>
        <w:jc w:val="right"/>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 xml:space="preserve">    投标人：</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（盖单位章）</w:t>
      </w:r>
    </w:p>
    <w:p w14:paraId="02FADCC8">
      <w:pPr>
        <w:wordWrap w:val="0"/>
        <w:adjustRightInd w:val="0"/>
        <w:snapToGrid w:val="0"/>
        <w:spacing w:line="360" w:lineRule="auto"/>
        <w:jc w:val="both"/>
        <w:rPr>
          <w:rFonts w:hint="eastAsia" w:ascii="宋体" w:hAnsi="宋体" w:eastAsia="宋体" w:cs="宋体"/>
          <w:snapToGrid w:val="0"/>
          <w:color w:val="auto"/>
          <w:kern w:val="0"/>
          <w:highlight w:val="none"/>
        </w:rPr>
      </w:pPr>
    </w:p>
    <w:p w14:paraId="21A9E1B3">
      <w:pPr>
        <w:wordWrap w:val="0"/>
        <w:adjustRightInd w:val="0"/>
        <w:snapToGrid w:val="0"/>
        <w:spacing w:line="360" w:lineRule="auto"/>
        <w:ind w:firstLine="420" w:firstLineChars="200"/>
        <w:jc w:val="right"/>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法定代表人或其委托代理人：</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（签字或盖章）</w:t>
      </w:r>
    </w:p>
    <w:p w14:paraId="64C5BD80">
      <w:pPr>
        <w:wordWrap w:val="0"/>
        <w:adjustRightInd w:val="0"/>
        <w:snapToGrid w:val="0"/>
        <w:spacing w:line="360" w:lineRule="auto"/>
        <w:ind w:firstLine="420" w:firstLineChars="200"/>
        <w:jc w:val="right"/>
        <w:rPr>
          <w:rFonts w:hint="eastAsia" w:ascii="宋体" w:hAnsi="宋体" w:eastAsia="宋体" w:cs="宋体"/>
          <w:snapToGrid w:val="0"/>
          <w:color w:val="auto"/>
          <w:kern w:val="0"/>
          <w:highlight w:val="none"/>
        </w:rPr>
      </w:pPr>
    </w:p>
    <w:p w14:paraId="16BA2C90">
      <w:pPr>
        <w:wordWrap w:val="0"/>
        <w:adjustRightInd w:val="0"/>
        <w:snapToGrid w:val="0"/>
        <w:spacing w:line="360" w:lineRule="auto"/>
        <w:jc w:val="right"/>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 xml:space="preserve">                                       </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年</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月</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日</w:t>
      </w:r>
    </w:p>
    <w:p w14:paraId="5723254A">
      <w:pPr>
        <w:rPr>
          <w:rFonts w:hint="eastAsia" w:ascii="宋体" w:hAnsi="宋体" w:eastAsia="宋体" w:cs="宋体"/>
        </w:rPr>
      </w:pPr>
    </w:p>
    <w:p w14:paraId="651C624D">
      <w:pPr>
        <w:rPr>
          <w:rFonts w:hint="eastAsia" w:ascii="宋体" w:hAnsi="宋体" w:eastAsia="宋体" w:cs="宋体"/>
        </w:rPr>
      </w:pPr>
    </w:p>
    <w:p w14:paraId="2AB6725F">
      <w:pPr>
        <w:rPr>
          <w:rFonts w:hint="eastAsia" w:ascii="宋体" w:hAnsi="宋体" w:eastAsia="宋体" w:cs="宋体"/>
        </w:rPr>
      </w:pPr>
    </w:p>
    <w:p w14:paraId="55FAC9DF">
      <w:pPr>
        <w:rPr>
          <w:rFonts w:hint="eastAsia" w:ascii="宋体" w:hAnsi="宋体" w:eastAsia="宋体" w:cs="宋体"/>
        </w:rPr>
      </w:pPr>
    </w:p>
    <w:p w14:paraId="197EDB44">
      <w:pPr>
        <w:rPr>
          <w:rFonts w:hint="eastAsia" w:ascii="宋体" w:hAnsi="宋体" w:eastAsia="宋体" w:cs="宋体"/>
        </w:rPr>
      </w:pPr>
    </w:p>
    <w:p w14:paraId="3C10911C">
      <w:pPr>
        <w:rPr>
          <w:rFonts w:hint="eastAsia" w:ascii="宋体" w:hAnsi="宋体" w:eastAsia="宋体" w:cs="宋体"/>
        </w:rPr>
      </w:pPr>
    </w:p>
    <w:p w14:paraId="797BAF72">
      <w:pPr>
        <w:rPr>
          <w:rFonts w:hint="eastAsia" w:ascii="宋体" w:hAnsi="宋体" w:eastAsia="宋体" w:cs="宋体"/>
        </w:rPr>
      </w:pPr>
    </w:p>
    <w:p w14:paraId="458AF8B9">
      <w:pPr>
        <w:rPr>
          <w:rFonts w:hint="eastAsia" w:ascii="宋体" w:hAnsi="宋体" w:eastAsia="宋体" w:cs="宋体"/>
        </w:rPr>
      </w:pPr>
    </w:p>
    <w:p w14:paraId="797ED5A1">
      <w:pPr>
        <w:rPr>
          <w:rFonts w:hint="eastAsia" w:ascii="宋体" w:hAnsi="宋体" w:eastAsia="宋体" w:cs="宋体"/>
        </w:rPr>
      </w:pPr>
    </w:p>
    <w:p w14:paraId="5C1E69FC">
      <w:pPr>
        <w:rPr>
          <w:rFonts w:hint="eastAsia" w:ascii="宋体" w:hAnsi="宋体" w:eastAsia="宋体" w:cs="宋体"/>
        </w:rPr>
      </w:pPr>
    </w:p>
    <w:p w14:paraId="53BA4DC2">
      <w:pPr>
        <w:rPr>
          <w:rFonts w:hint="eastAsia" w:ascii="宋体" w:hAnsi="宋体" w:eastAsia="宋体" w:cs="宋体"/>
        </w:rPr>
      </w:pPr>
    </w:p>
    <w:p w14:paraId="6F3792C5">
      <w:pPr>
        <w:rPr>
          <w:rFonts w:hint="eastAsia" w:ascii="宋体" w:hAnsi="宋体" w:eastAsia="宋体" w:cs="宋体"/>
        </w:rPr>
      </w:pPr>
    </w:p>
    <w:p w14:paraId="32CD095F">
      <w:pPr>
        <w:rPr>
          <w:rFonts w:hint="eastAsia" w:ascii="宋体" w:hAnsi="宋体" w:eastAsia="宋体" w:cs="宋体"/>
        </w:rPr>
      </w:pPr>
    </w:p>
    <w:p w14:paraId="747A1937">
      <w:pPr>
        <w:spacing w:before="151" w:line="360" w:lineRule="auto"/>
        <w:ind w:left="476"/>
        <w:outlineLvl w:val="2"/>
        <w:rPr>
          <w:rFonts w:hint="eastAsia" w:ascii="宋体" w:hAnsi="宋体" w:eastAsia="宋体" w:cs="宋体"/>
          <w:b/>
          <w:bCs/>
          <w:color w:val="auto"/>
          <w:spacing w:val="-11"/>
          <w:sz w:val="24"/>
          <w:szCs w:val="24"/>
          <w:highlight w:val="none"/>
          <w:lang w:val="en-US" w:eastAsia="zh-CN"/>
        </w:rPr>
      </w:pPr>
      <w:bookmarkStart w:id="312" w:name="_Toc4499"/>
      <w:bookmarkStart w:id="313" w:name="_Toc6212"/>
      <w:r>
        <w:rPr>
          <w:rFonts w:hint="eastAsia" w:ascii="宋体" w:hAnsi="宋体" w:eastAsia="宋体" w:cs="宋体"/>
          <w:b/>
          <w:bCs/>
          <w:color w:val="auto"/>
          <w:spacing w:val="-11"/>
          <w:sz w:val="24"/>
          <w:szCs w:val="24"/>
          <w:highlight w:val="none"/>
          <w:lang w:val="en-US" w:eastAsia="zh-CN"/>
        </w:rPr>
        <w:t>格式三   各项承诺一览表</w:t>
      </w:r>
      <w:bookmarkEnd w:id="312"/>
      <w:bookmarkEnd w:id="313"/>
    </w:p>
    <w:p w14:paraId="1E50F52C">
      <w:pPr>
        <w:wordWrap w:val="0"/>
        <w:adjustRightInd w:val="0"/>
        <w:snapToGrid w:val="0"/>
        <w:spacing w:before="260" w:after="260" w:line="360" w:lineRule="auto"/>
        <w:jc w:val="center"/>
        <w:rPr>
          <w:rFonts w:hint="eastAsia" w:ascii="宋体" w:hAnsi="宋体" w:eastAsia="宋体" w:cs="宋体"/>
          <w:b/>
          <w:snapToGrid w:val="0"/>
          <w:color w:val="auto"/>
          <w:kern w:val="0"/>
          <w:sz w:val="30"/>
          <w:highlight w:val="none"/>
        </w:rPr>
      </w:pPr>
      <w:r>
        <w:rPr>
          <w:rFonts w:hint="eastAsia" w:ascii="宋体" w:hAnsi="宋体" w:eastAsia="宋体" w:cs="宋体"/>
          <w:b/>
          <w:snapToGrid w:val="0"/>
          <w:color w:val="auto"/>
          <w:kern w:val="0"/>
          <w:sz w:val="30"/>
          <w:highlight w:val="none"/>
        </w:rPr>
        <w:t>各项承诺一览表</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6"/>
        <w:gridCol w:w="1573"/>
        <w:gridCol w:w="2923"/>
        <w:gridCol w:w="4019"/>
      </w:tblGrid>
      <w:tr w14:paraId="606DF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716" w:type="dxa"/>
            <w:noWrap w:val="0"/>
            <w:vAlign w:val="center"/>
          </w:tcPr>
          <w:p w14:paraId="42B41F15">
            <w:pPr>
              <w:pStyle w:val="61"/>
              <w:wordWrap w:val="0"/>
              <w:adjustRightInd w:val="0"/>
              <w:snapToGrid w:val="0"/>
              <w:spacing w:line="360" w:lineRule="auto"/>
              <w:jc w:val="center"/>
              <w:rPr>
                <w:rFonts w:hint="eastAsia" w:ascii="宋体" w:hAnsi="宋体" w:eastAsia="宋体" w:cs="宋体"/>
                <w:bCs/>
                <w:snapToGrid w:val="0"/>
                <w:color w:val="auto"/>
                <w:kern w:val="0"/>
                <w:szCs w:val="21"/>
                <w:highlight w:val="none"/>
              </w:rPr>
            </w:pPr>
            <w:r>
              <w:rPr>
                <w:rFonts w:hint="eastAsia" w:ascii="宋体" w:hAnsi="宋体" w:eastAsia="宋体" w:cs="宋体"/>
                <w:bCs/>
                <w:snapToGrid w:val="0"/>
                <w:color w:val="auto"/>
                <w:kern w:val="0"/>
                <w:szCs w:val="21"/>
                <w:highlight w:val="none"/>
              </w:rPr>
              <w:t>序号</w:t>
            </w:r>
          </w:p>
        </w:tc>
        <w:tc>
          <w:tcPr>
            <w:tcW w:w="1573" w:type="dxa"/>
            <w:noWrap w:val="0"/>
            <w:vAlign w:val="center"/>
          </w:tcPr>
          <w:p w14:paraId="28B2AB86">
            <w:pPr>
              <w:pStyle w:val="61"/>
              <w:wordWrap w:val="0"/>
              <w:adjustRightInd w:val="0"/>
              <w:snapToGrid w:val="0"/>
              <w:spacing w:line="360" w:lineRule="auto"/>
              <w:jc w:val="center"/>
              <w:rPr>
                <w:rFonts w:hint="eastAsia" w:ascii="宋体" w:hAnsi="宋体" w:eastAsia="宋体" w:cs="宋体"/>
                <w:bCs/>
                <w:snapToGrid w:val="0"/>
                <w:color w:val="auto"/>
                <w:kern w:val="0"/>
                <w:szCs w:val="21"/>
                <w:highlight w:val="none"/>
              </w:rPr>
            </w:pPr>
            <w:r>
              <w:rPr>
                <w:rFonts w:hint="eastAsia" w:ascii="宋体" w:hAnsi="宋体" w:eastAsia="宋体" w:cs="宋体"/>
                <w:bCs/>
                <w:snapToGrid w:val="0"/>
                <w:color w:val="auto"/>
                <w:kern w:val="0"/>
                <w:szCs w:val="21"/>
                <w:highlight w:val="none"/>
              </w:rPr>
              <w:t>承诺事项</w:t>
            </w:r>
          </w:p>
        </w:tc>
        <w:tc>
          <w:tcPr>
            <w:tcW w:w="2923" w:type="dxa"/>
            <w:noWrap w:val="0"/>
            <w:vAlign w:val="center"/>
          </w:tcPr>
          <w:p w14:paraId="17F76C2A">
            <w:pPr>
              <w:pStyle w:val="61"/>
              <w:wordWrap w:val="0"/>
              <w:adjustRightInd w:val="0"/>
              <w:snapToGrid w:val="0"/>
              <w:spacing w:line="360" w:lineRule="auto"/>
              <w:jc w:val="center"/>
              <w:rPr>
                <w:rFonts w:hint="eastAsia" w:ascii="宋体" w:hAnsi="宋体" w:eastAsia="宋体" w:cs="宋体"/>
                <w:bCs/>
                <w:snapToGrid w:val="0"/>
                <w:color w:val="auto"/>
                <w:kern w:val="0"/>
                <w:szCs w:val="21"/>
                <w:highlight w:val="none"/>
              </w:rPr>
            </w:pPr>
            <w:r>
              <w:rPr>
                <w:rFonts w:hint="eastAsia" w:ascii="宋体" w:hAnsi="宋体" w:eastAsia="宋体" w:cs="宋体"/>
                <w:bCs/>
                <w:snapToGrid w:val="0"/>
                <w:color w:val="auto"/>
                <w:kern w:val="0"/>
                <w:szCs w:val="21"/>
                <w:highlight w:val="none"/>
              </w:rPr>
              <w:t>承诺内容</w:t>
            </w:r>
          </w:p>
        </w:tc>
        <w:tc>
          <w:tcPr>
            <w:tcW w:w="4019" w:type="dxa"/>
            <w:noWrap w:val="0"/>
            <w:vAlign w:val="center"/>
          </w:tcPr>
          <w:p w14:paraId="688DFD5B">
            <w:pPr>
              <w:pStyle w:val="61"/>
              <w:wordWrap w:val="0"/>
              <w:adjustRightInd w:val="0"/>
              <w:snapToGrid w:val="0"/>
              <w:spacing w:line="360" w:lineRule="auto"/>
              <w:jc w:val="center"/>
              <w:rPr>
                <w:rFonts w:hint="eastAsia" w:ascii="宋体" w:hAnsi="宋体" w:eastAsia="宋体" w:cs="宋体"/>
                <w:bCs/>
                <w:snapToGrid w:val="0"/>
                <w:color w:val="auto"/>
                <w:kern w:val="0"/>
                <w:szCs w:val="21"/>
                <w:highlight w:val="none"/>
              </w:rPr>
            </w:pPr>
            <w:r>
              <w:rPr>
                <w:rFonts w:hint="eastAsia" w:ascii="宋体" w:hAnsi="宋体" w:eastAsia="宋体" w:cs="宋体"/>
                <w:bCs/>
                <w:snapToGrid w:val="0"/>
                <w:color w:val="auto"/>
                <w:kern w:val="0"/>
                <w:szCs w:val="21"/>
                <w:highlight w:val="none"/>
              </w:rPr>
              <w:t>违约承诺</w:t>
            </w:r>
          </w:p>
        </w:tc>
      </w:tr>
      <w:tr w14:paraId="04D20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16" w:type="dxa"/>
            <w:noWrap w:val="0"/>
            <w:vAlign w:val="center"/>
          </w:tcPr>
          <w:p w14:paraId="5958BEF9">
            <w:pPr>
              <w:pStyle w:val="61"/>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1573" w:type="dxa"/>
            <w:noWrap w:val="0"/>
            <w:vAlign w:val="center"/>
          </w:tcPr>
          <w:p w14:paraId="3487A474">
            <w:pPr>
              <w:pStyle w:val="62"/>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自愿接受招标</w:t>
            </w:r>
          </w:p>
          <w:p w14:paraId="0BED1AE0">
            <w:pPr>
              <w:pStyle w:val="62"/>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文件条款的承诺</w:t>
            </w:r>
          </w:p>
        </w:tc>
        <w:tc>
          <w:tcPr>
            <w:tcW w:w="2923" w:type="dxa"/>
            <w:noWrap w:val="0"/>
            <w:vAlign w:val="center"/>
          </w:tcPr>
          <w:p w14:paraId="02708758">
            <w:pPr>
              <w:pStyle w:val="62"/>
              <w:wordWrap w:val="0"/>
              <w:adjustRightInd w:val="0"/>
              <w:snapToGrid w:val="0"/>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我方自愿接受招标文件的所有条款，所递交的投标文件已经充分响应招标文件的实质性要求。</w:t>
            </w:r>
          </w:p>
        </w:tc>
        <w:tc>
          <w:tcPr>
            <w:tcW w:w="4019" w:type="dxa"/>
            <w:noWrap w:val="0"/>
            <w:vAlign w:val="center"/>
          </w:tcPr>
          <w:p w14:paraId="74CEC527">
            <w:pPr>
              <w:pStyle w:val="62"/>
              <w:wordWrap w:val="0"/>
              <w:adjustRightInd w:val="0"/>
              <w:snapToGrid w:val="0"/>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如果我方的投标文件未响应、违反、偏离招标文件的实质性要求，我方接受招标人或其授权的招标代理机构或其组建的评标委员会依据招标文件作出的相应处理，包括否决投标。</w:t>
            </w:r>
          </w:p>
        </w:tc>
      </w:tr>
      <w:tr w14:paraId="636A4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26" w:hRule="atLeast"/>
          <w:jc w:val="center"/>
        </w:trPr>
        <w:tc>
          <w:tcPr>
            <w:tcW w:w="716" w:type="dxa"/>
            <w:noWrap w:val="0"/>
            <w:vAlign w:val="center"/>
          </w:tcPr>
          <w:p w14:paraId="4C234E39">
            <w:pPr>
              <w:pStyle w:val="61"/>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p>
        </w:tc>
        <w:tc>
          <w:tcPr>
            <w:tcW w:w="1573" w:type="dxa"/>
            <w:noWrap w:val="0"/>
            <w:vAlign w:val="center"/>
          </w:tcPr>
          <w:p w14:paraId="7B709FA7">
            <w:pPr>
              <w:pStyle w:val="62"/>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无禁止投标</w:t>
            </w:r>
          </w:p>
          <w:p w14:paraId="0EC178BC">
            <w:pPr>
              <w:pStyle w:val="62"/>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情形的承诺</w:t>
            </w:r>
          </w:p>
        </w:tc>
        <w:tc>
          <w:tcPr>
            <w:tcW w:w="2923" w:type="dxa"/>
            <w:noWrap w:val="0"/>
            <w:vAlign w:val="center"/>
          </w:tcPr>
          <w:p w14:paraId="1C927612">
            <w:pPr>
              <w:pStyle w:val="62"/>
              <w:wordWrap w:val="0"/>
              <w:adjustRightInd w:val="0"/>
              <w:snapToGrid w:val="0"/>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我方不存在招标文件第一章第三节第</w:t>
            </w:r>
            <w:r>
              <w:rPr>
                <w:rFonts w:hint="eastAsia" w:ascii="宋体" w:hAnsi="宋体" w:eastAsia="宋体" w:cs="宋体"/>
                <w:b/>
                <w:bCs/>
                <w:snapToGrid w:val="0"/>
                <w:color w:val="auto"/>
                <w:kern w:val="0"/>
                <w:sz w:val="21"/>
                <w:szCs w:val="21"/>
                <w:highlight w:val="none"/>
              </w:rPr>
              <w:t>2.4</w:t>
            </w:r>
            <w:r>
              <w:rPr>
                <w:rFonts w:hint="eastAsia" w:ascii="宋体" w:hAnsi="宋体" w:eastAsia="宋体" w:cs="宋体"/>
                <w:snapToGrid w:val="0"/>
                <w:color w:val="auto"/>
                <w:kern w:val="0"/>
                <w:sz w:val="21"/>
                <w:szCs w:val="21"/>
                <w:highlight w:val="none"/>
              </w:rPr>
              <w:t>条“禁止投标条款”规定的任何一种情形。</w:t>
            </w:r>
          </w:p>
        </w:tc>
        <w:tc>
          <w:tcPr>
            <w:tcW w:w="4019" w:type="dxa"/>
            <w:noWrap w:val="0"/>
            <w:vAlign w:val="center"/>
          </w:tcPr>
          <w:p w14:paraId="414B34FF">
            <w:pPr>
              <w:pStyle w:val="62"/>
              <w:wordWrap w:val="0"/>
              <w:adjustRightInd w:val="0"/>
              <w:snapToGrid w:val="0"/>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如果我方有招标文件第一章第三节第</w:t>
            </w:r>
            <w:r>
              <w:rPr>
                <w:rFonts w:hint="eastAsia" w:ascii="宋体" w:hAnsi="宋体" w:eastAsia="宋体" w:cs="宋体"/>
                <w:b/>
                <w:bCs/>
                <w:snapToGrid w:val="0"/>
                <w:color w:val="auto"/>
                <w:kern w:val="0"/>
                <w:sz w:val="21"/>
                <w:szCs w:val="21"/>
                <w:highlight w:val="none"/>
              </w:rPr>
              <w:t>2.4</w:t>
            </w:r>
            <w:r>
              <w:rPr>
                <w:rFonts w:hint="eastAsia" w:ascii="宋体" w:hAnsi="宋体" w:eastAsia="宋体" w:cs="宋体"/>
                <w:snapToGrid w:val="0"/>
                <w:color w:val="auto"/>
                <w:kern w:val="0"/>
                <w:sz w:val="21"/>
                <w:szCs w:val="21"/>
                <w:highlight w:val="none"/>
              </w:rPr>
              <w:t>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35F60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13" w:hRule="atLeast"/>
          <w:jc w:val="center"/>
        </w:trPr>
        <w:tc>
          <w:tcPr>
            <w:tcW w:w="716" w:type="dxa"/>
            <w:noWrap w:val="0"/>
            <w:vAlign w:val="center"/>
          </w:tcPr>
          <w:p w14:paraId="248211D3">
            <w:pPr>
              <w:pStyle w:val="61"/>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w:t>
            </w:r>
          </w:p>
        </w:tc>
        <w:tc>
          <w:tcPr>
            <w:tcW w:w="1573" w:type="dxa"/>
            <w:noWrap w:val="0"/>
            <w:vAlign w:val="center"/>
          </w:tcPr>
          <w:p w14:paraId="5115D9C4">
            <w:pPr>
              <w:pStyle w:val="62"/>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自觉抵制围标</w:t>
            </w:r>
          </w:p>
          <w:p w14:paraId="7D11496D">
            <w:pPr>
              <w:pStyle w:val="62"/>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串标和弄虚</w:t>
            </w:r>
          </w:p>
          <w:p w14:paraId="4288B067">
            <w:pPr>
              <w:pStyle w:val="62"/>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作假行为的承诺</w:t>
            </w:r>
          </w:p>
        </w:tc>
        <w:tc>
          <w:tcPr>
            <w:tcW w:w="2923" w:type="dxa"/>
            <w:noWrap w:val="0"/>
            <w:vAlign w:val="center"/>
          </w:tcPr>
          <w:p w14:paraId="3709780C">
            <w:pPr>
              <w:pStyle w:val="62"/>
              <w:wordWrap w:val="0"/>
              <w:adjustRightInd w:val="0"/>
              <w:snapToGrid w:val="0"/>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我方合法正当、诚实守信地参与投标，不组织、不参加围标串标违法行为，不通过弄虚作假行为骗取中标。</w:t>
            </w:r>
          </w:p>
        </w:tc>
        <w:tc>
          <w:tcPr>
            <w:tcW w:w="4019" w:type="dxa"/>
            <w:noWrap w:val="0"/>
            <w:vAlign w:val="center"/>
          </w:tcPr>
          <w:p w14:paraId="6E87702E">
            <w:pPr>
              <w:pStyle w:val="62"/>
              <w:wordWrap w:val="0"/>
              <w:adjustRightInd w:val="0"/>
              <w:snapToGrid w:val="0"/>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7414E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93" w:hRule="atLeast"/>
          <w:jc w:val="center"/>
        </w:trPr>
        <w:tc>
          <w:tcPr>
            <w:tcW w:w="716" w:type="dxa"/>
            <w:noWrap w:val="0"/>
            <w:vAlign w:val="center"/>
          </w:tcPr>
          <w:p w14:paraId="31EAA839">
            <w:pPr>
              <w:pStyle w:val="61"/>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w:t>
            </w:r>
          </w:p>
        </w:tc>
        <w:tc>
          <w:tcPr>
            <w:tcW w:w="1573" w:type="dxa"/>
            <w:noWrap w:val="0"/>
            <w:vAlign w:val="center"/>
          </w:tcPr>
          <w:p w14:paraId="346FC519">
            <w:pPr>
              <w:pStyle w:val="62"/>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项目经理</w:t>
            </w:r>
          </w:p>
          <w:p w14:paraId="7AC888FE">
            <w:pPr>
              <w:pStyle w:val="62"/>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任职承诺</w:t>
            </w:r>
          </w:p>
        </w:tc>
        <w:tc>
          <w:tcPr>
            <w:tcW w:w="2923" w:type="dxa"/>
            <w:noWrap w:val="0"/>
            <w:vAlign w:val="center"/>
          </w:tcPr>
          <w:p w14:paraId="124AC659">
            <w:pPr>
              <w:pStyle w:val="62"/>
              <w:wordWrap w:val="0"/>
              <w:adjustRightInd w:val="0"/>
              <w:snapToGrid w:val="0"/>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我方拟派项目经理现阶段没有担任任何在施（包括已中标未开工、已开工未竣工）建设工程项目的项目经理。</w:t>
            </w:r>
          </w:p>
        </w:tc>
        <w:tc>
          <w:tcPr>
            <w:tcW w:w="4019" w:type="dxa"/>
            <w:noWrap w:val="0"/>
            <w:vAlign w:val="center"/>
          </w:tcPr>
          <w:p w14:paraId="6293E7F5">
            <w:pPr>
              <w:pStyle w:val="62"/>
              <w:wordWrap w:val="0"/>
              <w:adjustRightInd w:val="0"/>
              <w:snapToGrid w:val="0"/>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拟派项目经理在本项目招标投标活动期间有担任其他任何在施（包括已中标未开工、已开工未竣工）建设工程项目的项目经理，我方接受招标人或其授权的招标代理机构或其组建的评标委员会依据招标文件作出的相应处理以及有关监督部门作出的行政处罚，并承担由此引起的一切法律后果。</w:t>
            </w:r>
          </w:p>
        </w:tc>
      </w:tr>
      <w:tr w14:paraId="0F90F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4" w:hRule="atLeast"/>
          <w:jc w:val="center"/>
        </w:trPr>
        <w:tc>
          <w:tcPr>
            <w:tcW w:w="716" w:type="dxa"/>
            <w:noWrap w:val="0"/>
            <w:vAlign w:val="center"/>
          </w:tcPr>
          <w:p w14:paraId="1EDFD2C6">
            <w:pPr>
              <w:pStyle w:val="61"/>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w:t>
            </w:r>
          </w:p>
        </w:tc>
        <w:tc>
          <w:tcPr>
            <w:tcW w:w="1573" w:type="dxa"/>
            <w:noWrap w:val="0"/>
            <w:vAlign w:val="center"/>
          </w:tcPr>
          <w:p w14:paraId="53216285">
            <w:pPr>
              <w:pStyle w:val="62"/>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投标文件</w:t>
            </w:r>
          </w:p>
          <w:p w14:paraId="575AB90A">
            <w:pPr>
              <w:pStyle w:val="62"/>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真实性承诺</w:t>
            </w:r>
          </w:p>
        </w:tc>
        <w:tc>
          <w:tcPr>
            <w:tcW w:w="2923" w:type="dxa"/>
            <w:noWrap w:val="0"/>
            <w:vAlign w:val="center"/>
          </w:tcPr>
          <w:p w14:paraId="42AB3134">
            <w:pPr>
              <w:pStyle w:val="62"/>
              <w:wordWrap w:val="0"/>
              <w:adjustRightInd w:val="0"/>
              <w:snapToGrid w:val="0"/>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我方所递交投标文件的全部内容均为真实、有效、准确的。</w:t>
            </w:r>
          </w:p>
        </w:tc>
        <w:tc>
          <w:tcPr>
            <w:tcW w:w="4019" w:type="dxa"/>
            <w:noWrap w:val="0"/>
            <w:vAlign w:val="center"/>
          </w:tcPr>
          <w:p w14:paraId="51609CB5">
            <w:pPr>
              <w:pStyle w:val="62"/>
              <w:wordWrap w:val="0"/>
              <w:adjustRightInd w:val="0"/>
              <w:snapToGrid w:val="0"/>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如果我方递交的投标文件任何内容不真实或无效或不准确，我方接受招标人或其授权的招标代理机构或其组建的评标委员会依据招标文件作出的相应处理，包括否决投标。</w:t>
            </w:r>
          </w:p>
        </w:tc>
      </w:tr>
      <w:tr w14:paraId="7C189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716" w:type="dxa"/>
            <w:noWrap w:val="0"/>
            <w:vAlign w:val="center"/>
          </w:tcPr>
          <w:p w14:paraId="6B31AF3E">
            <w:pPr>
              <w:pStyle w:val="61"/>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w:t>
            </w:r>
          </w:p>
        </w:tc>
        <w:tc>
          <w:tcPr>
            <w:tcW w:w="1573" w:type="dxa"/>
            <w:noWrap w:val="0"/>
            <w:vAlign w:val="center"/>
          </w:tcPr>
          <w:p w14:paraId="05E969B8">
            <w:pPr>
              <w:pStyle w:val="62"/>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投标文件</w:t>
            </w:r>
          </w:p>
          <w:p w14:paraId="7291B7F4">
            <w:pPr>
              <w:pStyle w:val="62"/>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信息公开承诺</w:t>
            </w:r>
          </w:p>
        </w:tc>
        <w:tc>
          <w:tcPr>
            <w:tcW w:w="2923" w:type="dxa"/>
            <w:noWrap w:val="0"/>
            <w:vAlign w:val="center"/>
          </w:tcPr>
          <w:p w14:paraId="1B9704D9">
            <w:pPr>
              <w:pStyle w:val="62"/>
              <w:wordWrap w:val="0"/>
              <w:adjustRightInd w:val="0"/>
              <w:snapToGrid w:val="0"/>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我方提供完整的电子文件。如果我方成为本项目中标候选人，我方同意并授权招标人在评标结果公示期内公开我方商务标书的全部内容。</w:t>
            </w:r>
          </w:p>
        </w:tc>
        <w:tc>
          <w:tcPr>
            <w:tcW w:w="4019" w:type="dxa"/>
            <w:tcBorders>
              <w:bottom w:val="single" w:color="auto" w:sz="4" w:space="0"/>
            </w:tcBorders>
            <w:noWrap w:val="0"/>
            <w:vAlign w:val="center"/>
            <mc:AlternateContent>
              <mc:Choice Requires="wpsCustomData">
                <wpsCustomData:diagonals>
                  <wpsCustomData:diagonal from="20000" to="0">
                    <wpsCustomData:border w:val="single" w:color="auto" w:sz="4" w:space="0"/>
                  </wpsCustomData:diagonal>
                </wpsCustomData:diagonals>
              </mc:Choice>
            </mc:AlternateContent>
          </w:tcPr>
          <w:p w14:paraId="78231BCB">
            <w:pPr>
              <w:pStyle w:val="62"/>
              <w:wordWrap w:val="0"/>
              <w:adjustRightInd w:val="0"/>
              <w:snapToGrid w:val="0"/>
              <w:spacing w:line="360" w:lineRule="auto"/>
              <w:ind w:firstLine="0" w:firstLineChars="0"/>
              <w:jc w:val="left"/>
              <mc:AlternateContent>
                <mc:Choice Requires="wpsCustomData">
                  <wpsCustomData:diagonalParaType/>
                </mc:Choice>
              </mc:AlternateContent>
              <w:rPr>
                <w:rFonts w:hint="eastAsia" w:ascii="宋体" w:hAnsi="宋体" w:eastAsia="宋体" w:cs="宋体"/>
                <w:snapToGrid w:val="0"/>
                <w:color w:val="auto"/>
                <w:kern w:val="0"/>
                <w:sz w:val="21"/>
                <w:szCs w:val="21"/>
                <w:highlight w:val="none"/>
              </w:rPr>
            </w:pPr>
          </w:p>
          <w:p w14:paraId="4CC2F0D7">
            <w:pPr>
              <w:pStyle w:val="62"/>
              <w:wordWrap w:val="0"/>
              <w:adjustRightInd w:val="0"/>
              <w:snapToGrid w:val="0"/>
              <w:spacing w:line="360" w:lineRule="auto"/>
              <w:ind w:firstLine="0" w:firstLineChars="0"/>
              <w:jc w:val="left"/>
              <w:rPr>
                <w:rFonts w:hint="eastAsia" w:ascii="宋体" w:hAnsi="宋体" w:eastAsia="宋体" w:cs="宋体"/>
                <w:snapToGrid w:val="0"/>
                <w:color w:val="auto"/>
                <w:kern w:val="0"/>
                <w:sz w:val="21"/>
                <w:szCs w:val="21"/>
                <w:highlight w:val="none"/>
              </w:rPr>
            </w:pPr>
          </w:p>
        </w:tc>
      </w:tr>
      <w:tr w14:paraId="75F82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1" w:hRule="atLeast"/>
          <w:jc w:val="center"/>
        </w:trPr>
        <w:tc>
          <w:tcPr>
            <w:tcW w:w="716" w:type="dxa"/>
            <w:noWrap w:val="0"/>
            <w:vAlign w:val="center"/>
          </w:tcPr>
          <w:p w14:paraId="043514C3">
            <w:pPr>
              <w:pStyle w:val="61"/>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7</w:t>
            </w:r>
          </w:p>
        </w:tc>
        <w:tc>
          <w:tcPr>
            <w:tcW w:w="1573" w:type="dxa"/>
            <w:noWrap w:val="0"/>
            <w:vAlign w:val="center"/>
          </w:tcPr>
          <w:p w14:paraId="235F3116">
            <w:pPr>
              <w:pStyle w:val="62"/>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对不正常报价</w:t>
            </w:r>
          </w:p>
          <w:p w14:paraId="59E6BB78">
            <w:pPr>
              <w:pStyle w:val="62"/>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的确认承诺</w:t>
            </w:r>
          </w:p>
        </w:tc>
        <w:tc>
          <w:tcPr>
            <w:tcW w:w="2923" w:type="dxa"/>
            <w:noWrap w:val="0"/>
            <w:vAlign w:val="center"/>
          </w:tcPr>
          <w:p w14:paraId="04907DD5">
            <w:pPr>
              <w:pStyle w:val="62"/>
              <w:wordWrap w:val="0"/>
              <w:adjustRightInd w:val="0"/>
              <w:snapToGrid w:val="0"/>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如果我方中标，我方接受招标人在合同订立期间依据招标文件有关条款约定对我方已标价工程量清单中不正常报价的修正或认定，并按要求签署《不正常报价清单》加以确认。</w:t>
            </w:r>
          </w:p>
        </w:tc>
        <w:tc>
          <w:tcPr>
            <w:tcW w:w="4019" w:type="dxa"/>
            <w:tcBorders>
              <w:tr2bl w:val="single" w:color="auto" w:sz="4" w:space="0"/>
            </w:tcBorders>
            <w:noWrap w:val="0"/>
            <w:vAlign w:val="center"/>
          </w:tcPr>
          <w:p w14:paraId="70E0D9D1">
            <w:pPr>
              <w:pStyle w:val="62"/>
              <w:wordWrap w:val="0"/>
              <w:adjustRightInd w:val="0"/>
              <w:snapToGrid w:val="0"/>
              <w:spacing w:line="360" w:lineRule="auto"/>
              <w:ind w:firstLine="0" w:firstLineChars="0"/>
              <w:jc w:val="left"/>
              <w:rPr>
                <w:rFonts w:hint="eastAsia" w:ascii="宋体" w:hAnsi="宋体" w:eastAsia="宋体" w:cs="宋体"/>
                <w:snapToGrid w:val="0"/>
                <w:color w:val="auto"/>
                <w:kern w:val="0"/>
                <w:sz w:val="21"/>
                <w:szCs w:val="21"/>
                <w:highlight w:val="none"/>
              </w:rPr>
            </w:pPr>
          </w:p>
          <w:p w14:paraId="189C95F2">
            <w:pPr>
              <w:pStyle w:val="62"/>
              <w:wordWrap w:val="0"/>
              <w:adjustRightInd w:val="0"/>
              <w:snapToGrid w:val="0"/>
              <w:spacing w:line="360" w:lineRule="auto"/>
              <w:ind w:firstLine="0" w:firstLineChars="0"/>
              <w:jc w:val="left"/>
              <w:rPr>
                <w:rFonts w:hint="eastAsia" w:ascii="宋体" w:hAnsi="宋体" w:eastAsia="宋体" w:cs="宋体"/>
                <w:snapToGrid w:val="0"/>
                <w:color w:val="auto"/>
                <w:kern w:val="0"/>
                <w:sz w:val="21"/>
                <w:szCs w:val="21"/>
                <w:highlight w:val="none"/>
              </w:rPr>
            </w:pPr>
          </w:p>
        </w:tc>
      </w:tr>
      <w:tr w14:paraId="6BFCD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6" w:hRule="atLeast"/>
          <w:jc w:val="center"/>
        </w:trPr>
        <w:tc>
          <w:tcPr>
            <w:tcW w:w="716" w:type="dxa"/>
            <w:noWrap w:val="0"/>
            <w:vAlign w:val="center"/>
          </w:tcPr>
          <w:p w14:paraId="727DA8FA">
            <w:pPr>
              <w:pStyle w:val="61"/>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8</w:t>
            </w:r>
          </w:p>
        </w:tc>
        <w:tc>
          <w:tcPr>
            <w:tcW w:w="1573" w:type="dxa"/>
            <w:noWrap w:val="0"/>
            <w:vAlign w:val="center"/>
          </w:tcPr>
          <w:p w14:paraId="0D21C7D0">
            <w:pPr>
              <w:pStyle w:val="62"/>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按时提交履约</w:t>
            </w:r>
          </w:p>
          <w:p w14:paraId="18281251">
            <w:pPr>
              <w:pStyle w:val="62"/>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保证的承诺</w:t>
            </w:r>
          </w:p>
        </w:tc>
        <w:tc>
          <w:tcPr>
            <w:tcW w:w="2923" w:type="dxa"/>
            <w:noWrap w:val="0"/>
            <w:vAlign w:val="center"/>
          </w:tcPr>
          <w:p w14:paraId="0EFF3052">
            <w:pPr>
              <w:pStyle w:val="62"/>
              <w:wordWrap w:val="0"/>
              <w:adjustRightInd w:val="0"/>
              <w:snapToGrid w:val="0"/>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如果我方中标，我方保证在招标文件规定的时限内全额提交履约保证。</w:t>
            </w:r>
          </w:p>
        </w:tc>
        <w:tc>
          <w:tcPr>
            <w:tcW w:w="4019" w:type="dxa"/>
            <w:noWrap w:val="0"/>
            <w:vAlign w:val="center"/>
          </w:tcPr>
          <w:p w14:paraId="5019C284">
            <w:pPr>
              <w:pStyle w:val="62"/>
              <w:wordWrap w:val="0"/>
              <w:adjustRightInd w:val="0"/>
              <w:snapToGrid w:val="0"/>
              <w:spacing w:line="360" w:lineRule="auto"/>
              <w:ind w:firstLine="0" w:firstLineChars="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如果我方未在招标文件规定的时限内全额提交履约保证，我方接受招标人依据招标文件作出的相应处理以及有关监督部门作出的行政处罚，并承担由此引起的一切法律后果。</w:t>
            </w:r>
          </w:p>
        </w:tc>
      </w:tr>
      <w:tr w14:paraId="2DDEA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98" w:hRule="atLeast"/>
          <w:jc w:val="center"/>
        </w:trPr>
        <w:tc>
          <w:tcPr>
            <w:tcW w:w="716" w:type="dxa"/>
            <w:noWrap w:val="0"/>
            <w:vAlign w:val="center"/>
          </w:tcPr>
          <w:p w14:paraId="105C35A9">
            <w:pPr>
              <w:pStyle w:val="61"/>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9</w:t>
            </w:r>
          </w:p>
        </w:tc>
        <w:tc>
          <w:tcPr>
            <w:tcW w:w="1573" w:type="dxa"/>
            <w:noWrap w:val="0"/>
            <w:vAlign w:val="center"/>
          </w:tcPr>
          <w:p w14:paraId="01E74381">
            <w:pPr>
              <w:pStyle w:val="62"/>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按时签订合同</w:t>
            </w:r>
          </w:p>
          <w:p w14:paraId="07DC4A37">
            <w:pPr>
              <w:pStyle w:val="62"/>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的承诺</w:t>
            </w:r>
          </w:p>
        </w:tc>
        <w:tc>
          <w:tcPr>
            <w:tcW w:w="2923" w:type="dxa"/>
            <w:noWrap w:val="0"/>
            <w:vAlign w:val="center"/>
          </w:tcPr>
          <w:p w14:paraId="5A06FEEF">
            <w:pPr>
              <w:pStyle w:val="62"/>
              <w:wordWrap w:val="0"/>
              <w:adjustRightInd w:val="0"/>
              <w:snapToGrid w:val="0"/>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如果我方中标，我方保证在招标文件规定的时限内与招标人签订合同，不提出违背或超出招标文件、中标文件的要求。</w:t>
            </w:r>
          </w:p>
        </w:tc>
        <w:tc>
          <w:tcPr>
            <w:tcW w:w="4019" w:type="dxa"/>
            <w:noWrap w:val="0"/>
            <w:vAlign w:val="center"/>
          </w:tcPr>
          <w:p w14:paraId="1FD7AE5E">
            <w:pPr>
              <w:pStyle w:val="62"/>
              <w:wordWrap w:val="0"/>
              <w:adjustRightInd w:val="0"/>
              <w:snapToGrid w:val="0"/>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未在招标文件规定的时限内与招标人签订合同，或我方在签订合同过程中提出违背或超出招标文件、中标文件的要求。我方接受招标人依据招标文件作出的相应处理以及有关监督部门作出的行政处罚，并承担由此引起的一切法律后果。</w:t>
            </w:r>
          </w:p>
        </w:tc>
      </w:tr>
    </w:tbl>
    <w:p w14:paraId="24D3237B">
      <w:pPr>
        <w:pStyle w:val="61"/>
        <w:wordWrap w:val="0"/>
        <w:adjustRightInd w:val="0"/>
        <w:snapToGrid w:val="0"/>
        <w:spacing w:line="360" w:lineRule="auto"/>
        <w:jc w:val="left"/>
        <w:rPr>
          <w:rFonts w:hint="eastAsia" w:ascii="宋体" w:hAnsi="宋体" w:eastAsia="宋体" w:cs="宋体"/>
          <w:snapToGrid w:val="0"/>
          <w:color w:val="auto"/>
          <w:kern w:val="0"/>
          <w:highlight w:val="none"/>
        </w:rPr>
      </w:pPr>
    </w:p>
    <w:p w14:paraId="046F0F03">
      <w:pPr>
        <w:pStyle w:val="14"/>
        <w:wordWrap w:val="0"/>
        <w:adjustRightInd w:val="0"/>
        <w:snapToGrid w:val="0"/>
        <w:spacing w:line="360" w:lineRule="auto"/>
        <w:ind w:firstLine="420" w:firstLineChars="200"/>
        <w:jc w:val="right"/>
        <w:rPr>
          <w:rFonts w:hint="eastAsia" w:ascii="宋体" w:hAnsi="宋体" w:eastAsia="宋体" w:cs="宋体"/>
          <w:snapToGrid w:val="0"/>
          <w:color w:val="auto"/>
          <w:kern w:val="0"/>
          <w:szCs w:val="24"/>
          <w:highlight w:val="none"/>
        </w:rPr>
      </w:pPr>
    </w:p>
    <w:p w14:paraId="484E4F6D">
      <w:pPr>
        <w:pStyle w:val="14"/>
        <w:wordWrap w:val="0"/>
        <w:adjustRightInd w:val="0"/>
        <w:snapToGrid w:val="0"/>
        <w:spacing w:line="360" w:lineRule="auto"/>
        <w:ind w:firstLine="420" w:firstLineChars="200"/>
        <w:jc w:val="right"/>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投标人：</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（盖单位章）</w:t>
      </w:r>
    </w:p>
    <w:p w14:paraId="0F7A98C2">
      <w:pPr>
        <w:pStyle w:val="14"/>
        <w:wordWrap w:val="0"/>
        <w:adjustRightInd w:val="0"/>
        <w:snapToGrid w:val="0"/>
        <w:spacing w:line="360" w:lineRule="auto"/>
        <w:ind w:firstLine="420" w:firstLineChars="200"/>
        <w:jc w:val="right"/>
        <w:rPr>
          <w:rFonts w:hint="eastAsia" w:ascii="宋体" w:hAnsi="宋体" w:eastAsia="宋体" w:cs="宋体"/>
          <w:snapToGrid w:val="0"/>
          <w:color w:val="auto"/>
          <w:kern w:val="0"/>
          <w:szCs w:val="24"/>
          <w:highlight w:val="none"/>
        </w:rPr>
      </w:pPr>
    </w:p>
    <w:p w14:paraId="2229334B">
      <w:pPr>
        <w:pStyle w:val="14"/>
        <w:wordWrap w:val="0"/>
        <w:adjustRightInd w:val="0"/>
        <w:snapToGrid w:val="0"/>
        <w:spacing w:line="360" w:lineRule="auto"/>
        <w:ind w:firstLine="420" w:firstLineChars="200"/>
        <w:jc w:val="right"/>
        <w:rPr>
          <w:rFonts w:hint="eastAsia" w:ascii="宋体" w:hAnsi="宋体" w:eastAsia="宋体" w:cs="宋体"/>
          <w:snapToGrid w:val="0"/>
          <w:color w:val="auto"/>
          <w:kern w:val="0"/>
          <w:szCs w:val="24"/>
          <w:highlight w:val="none"/>
        </w:rPr>
      </w:pPr>
    </w:p>
    <w:p w14:paraId="6E81400B">
      <w:pPr>
        <w:pStyle w:val="14"/>
        <w:wordWrap w:val="0"/>
        <w:adjustRightInd w:val="0"/>
        <w:snapToGrid w:val="0"/>
        <w:spacing w:line="360" w:lineRule="auto"/>
        <w:ind w:firstLine="420" w:firstLineChars="200"/>
        <w:jc w:val="right"/>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法定代表人或其委托代理人：</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（签字或盖章）</w:t>
      </w:r>
    </w:p>
    <w:p w14:paraId="26E5072B">
      <w:pPr>
        <w:pStyle w:val="14"/>
        <w:wordWrap w:val="0"/>
        <w:adjustRightInd w:val="0"/>
        <w:snapToGrid w:val="0"/>
        <w:spacing w:line="360" w:lineRule="auto"/>
        <w:ind w:firstLine="420" w:firstLineChars="200"/>
        <w:rPr>
          <w:rFonts w:hint="eastAsia" w:ascii="宋体" w:hAnsi="宋体" w:eastAsia="宋体" w:cs="宋体"/>
          <w:snapToGrid w:val="0"/>
          <w:color w:val="auto"/>
          <w:kern w:val="0"/>
          <w:szCs w:val="24"/>
          <w:highlight w:val="none"/>
        </w:rPr>
      </w:pPr>
    </w:p>
    <w:p w14:paraId="74AA5DC2">
      <w:pPr>
        <w:pStyle w:val="14"/>
        <w:wordWrap w:val="0"/>
        <w:adjustRightInd w:val="0"/>
        <w:snapToGrid w:val="0"/>
        <w:spacing w:line="360" w:lineRule="auto"/>
        <w:ind w:firstLine="420" w:firstLineChars="200"/>
        <w:jc w:val="right"/>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 xml:space="preserve">                      </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年</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月</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日</w:t>
      </w:r>
    </w:p>
    <w:p w14:paraId="5C841019">
      <w:pPr>
        <w:rPr>
          <w:rFonts w:hint="eastAsia" w:ascii="宋体" w:hAnsi="宋体" w:eastAsia="宋体" w:cs="宋体"/>
        </w:rPr>
      </w:pPr>
    </w:p>
    <w:p w14:paraId="628D37FD">
      <w:pPr>
        <w:rPr>
          <w:rFonts w:hint="eastAsia" w:ascii="宋体" w:hAnsi="宋体" w:eastAsia="宋体" w:cs="宋体"/>
        </w:rPr>
      </w:pPr>
    </w:p>
    <w:p w14:paraId="05699BF2">
      <w:pPr>
        <w:rPr>
          <w:rFonts w:hint="eastAsia" w:ascii="宋体" w:hAnsi="宋体" w:eastAsia="宋体" w:cs="宋体"/>
        </w:rPr>
      </w:pPr>
    </w:p>
    <w:p w14:paraId="74DED8EF">
      <w:pPr>
        <w:rPr>
          <w:rFonts w:hint="eastAsia" w:ascii="宋体" w:hAnsi="宋体" w:eastAsia="宋体" w:cs="宋体"/>
        </w:rPr>
      </w:pPr>
    </w:p>
    <w:p w14:paraId="255CDE9C">
      <w:pPr>
        <w:rPr>
          <w:rFonts w:hint="eastAsia" w:ascii="宋体" w:hAnsi="宋体" w:eastAsia="宋体" w:cs="宋体"/>
        </w:rPr>
      </w:pPr>
    </w:p>
    <w:p w14:paraId="6C88DCBC">
      <w:pPr>
        <w:rPr>
          <w:rFonts w:hint="eastAsia" w:ascii="宋体" w:hAnsi="宋体" w:eastAsia="宋体" w:cs="宋体"/>
        </w:rPr>
      </w:pPr>
    </w:p>
    <w:p w14:paraId="716F8935">
      <w:pPr>
        <w:spacing w:before="151" w:line="360" w:lineRule="auto"/>
        <w:ind w:left="476"/>
        <w:outlineLvl w:val="2"/>
        <w:rPr>
          <w:rFonts w:hint="eastAsia" w:ascii="宋体" w:hAnsi="宋体" w:eastAsia="宋体" w:cs="宋体"/>
          <w:b/>
          <w:bCs/>
          <w:color w:val="auto"/>
          <w:spacing w:val="-11"/>
          <w:sz w:val="24"/>
          <w:szCs w:val="24"/>
          <w:highlight w:val="none"/>
          <w:lang w:val="en-US" w:eastAsia="zh-CN"/>
        </w:rPr>
      </w:pPr>
      <w:bookmarkStart w:id="314" w:name="_Toc27327"/>
      <w:bookmarkStart w:id="315" w:name="_Toc10088"/>
      <w:r>
        <w:rPr>
          <w:rFonts w:hint="eastAsia" w:ascii="宋体" w:hAnsi="宋体" w:eastAsia="宋体" w:cs="宋体"/>
          <w:b/>
          <w:bCs/>
          <w:color w:val="auto"/>
          <w:spacing w:val="-11"/>
          <w:sz w:val="24"/>
          <w:szCs w:val="24"/>
          <w:highlight w:val="none"/>
          <w:lang w:val="en-US" w:eastAsia="zh-CN"/>
        </w:rPr>
        <w:t>格式四   授权委托书</w:t>
      </w:r>
      <w:bookmarkEnd w:id="314"/>
      <w:bookmarkEnd w:id="315"/>
    </w:p>
    <w:p w14:paraId="66087581">
      <w:pPr>
        <w:wordWrap w:val="0"/>
        <w:adjustRightInd w:val="0"/>
        <w:snapToGrid w:val="0"/>
        <w:spacing w:before="260" w:after="260" w:line="360" w:lineRule="auto"/>
        <w:jc w:val="center"/>
        <w:rPr>
          <w:rFonts w:hint="eastAsia" w:ascii="宋体" w:hAnsi="宋体" w:eastAsia="宋体" w:cs="宋体"/>
          <w:b/>
          <w:snapToGrid w:val="0"/>
          <w:color w:val="auto"/>
          <w:kern w:val="0"/>
          <w:highlight w:val="none"/>
        </w:rPr>
      </w:pPr>
      <w:r>
        <w:rPr>
          <w:rFonts w:hint="eastAsia" w:ascii="宋体" w:hAnsi="宋体" w:eastAsia="宋体" w:cs="宋体"/>
          <w:b/>
          <w:snapToGrid w:val="0"/>
          <w:color w:val="auto"/>
          <w:kern w:val="0"/>
          <w:sz w:val="30"/>
          <w:highlight w:val="none"/>
        </w:rPr>
        <w:t>授权委托书</w:t>
      </w:r>
    </w:p>
    <w:p w14:paraId="68A237FF">
      <w:pPr>
        <w:wordWrap w:val="0"/>
        <w:adjustRightInd w:val="0"/>
        <w:snapToGrid w:val="0"/>
        <w:spacing w:line="360" w:lineRule="auto"/>
        <w:rPr>
          <w:rFonts w:hint="eastAsia" w:ascii="宋体" w:hAnsi="宋体" w:eastAsia="宋体" w:cs="宋体"/>
          <w:snapToGrid w:val="0"/>
          <w:color w:val="auto"/>
          <w:kern w:val="0"/>
          <w:szCs w:val="28"/>
          <w:highlight w:val="none"/>
        </w:rPr>
      </w:pPr>
    </w:p>
    <w:p w14:paraId="572DC2E8">
      <w:pPr>
        <w:wordWrap w:val="0"/>
        <w:adjustRightInd w:val="0"/>
        <w:snapToGrid w:val="0"/>
        <w:spacing w:line="360" w:lineRule="auto"/>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xml:space="preserve">    本人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（姓名）系</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（投标人名称）的法定代表人，现委托</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（姓名）为我方代理人。代理人根据授权，以我方名义签署、澄清、说明、补正、递交、撤回、修改</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（项目名称）投标文件、签订合同和处理有关事宜，其法律后果由我方承担。</w:t>
      </w:r>
    </w:p>
    <w:p w14:paraId="5B8DDD93">
      <w:pPr>
        <w:wordWrap w:val="0"/>
        <w:adjustRightInd w:val="0"/>
        <w:snapToGrid w:val="0"/>
        <w:spacing w:line="360" w:lineRule="auto"/>
        <w:ind w:firstLine="420" w:firstLineChars="200"/>
        <w:rPr>
          <w:rFonts w:hint="eastAsia" w:ascii="宋体" w:hAnsi="宋体" w:eastAsia="宋体" w:cs="宋体"/>
          <w:b w:val="0"/>
          <w:bCs w:val="0"/>
          <w:i w:val="0"/>
          <w:iCs w:val="0"/>
          <w:snapToGrid w:val="0"/>
          <w:color w:val="auto"/>
          <w:kern w:val="0"/>
          <w:szCs w:val="21"/>
          <w:highlight w:val="none"/>
        </w:rPr>
      </w:pPr>
      <w:r>
        <w:rPr>
          <w:rFonts w:hint="eastAsia" w:ascii="宋体" w:hAnsi="宋体" w:eastAsia="宋体" w:cs="宋体"/>
          <w:b w:val="0"/>
          <w:bCs w:val="0"/>
          <w:i w:val="0"/>
          <w:iCs w:val="0"/>
          <w:snapToGrid w:val="0"/>
          <w:color w:val="auto"/>
          <w:kern w:val="0"/>
          <w:szCs w:val="21"/>
          <w:highlight w:val="none"/>
        </w:rPr>
        <w:t>委托期限：</w:t>
      </w:r>
      <w:r>
        <w:rPr>
          <w:rFonts w:hint="eastAsia" w:ascii="宋体" w:hAnsi="宋体" w:eastAsia="宋体" w:cs="宋体"/>
          <w:b w:val="0"/>
          <w:bCs w:val="0"/>
          <w:i w:val="0"/>
          <w:iCs w:val="0"/>
          <w:snapToGrid w:val="0"/>
          <w:color w:val="auto"/>
          <w:kern w:val="0"/>
          <w:szCs w:val="21"/>
          <w:highlight w:val="none"/>
          <w:lang w:val="en-US" w:eastAsia="zh-CN"/>
        </w:rPr>
        <w:t>至</w:t>
      </w:r>
      <w:r>
        <w:rPr>
          <w:rFonts w:hint="eastAsia" w:ascii="宋体" w:hAnsi="宋体" w:eastAsia="宋体" w:cs="宋体"/>
          <w:b w:val="0"/>
          <w:bCs w:val="0"/>
          <w:i w:val="0"/>
          <w:iCs w:val="0"/>
          <w:snapToGrid w:val="0"/>
          <w:color w:val="auto"/>
          <w:kern w:val="0"/>
          <w:szCs w:val="21"/>
          <w:highlight w:val="none"/>
          <w:u w:val="single"/>
        </w:rPr>
        <w:t xml:space="preserve">     </w:t>
      </w:r>
      <w:r>
        <w:rPr>
          <w:rFonts w:hint="eastAsia" w:ascii="宋体" w:hAnsi="宋体" w:eastAsia="宋体" w:cs="宋体"/>
          <w:b w:val="0"/>
          <w:bCs w:val="0"/>
          <w:i w:val="0"/>
          <w:iCs w:val="0"/>
          <w:snapToGrid w:val="0"/>
          <w:color w:val="auto"/>
          <w:kern w:val="0"/>
          <w:szCs w:val="21"/>
          <w:highlight w:val="none"/>
          <w:lang w:val="en-US" w:eastAsia="zh-CN"/>
        </w:rPr>
        <w:t>年</w:t>
      </w:r>
      <w:r>
        <w:rPr>
          <w:rFonts w:hint="eastAsia" w:ascii="宋体" w:hAnsi="宋体" w:eastAsia="宋体" w:cs="宋体"/>
          <w:b w:val="0"/>
          <w:bCs w:val="0"/>
          <w:i w:val="0"/>
          <w:iCs w:val="0"/>
          <w:snapToGrid w:val="0"/>
          <w:color w:val="auto"/>
          <w:kern w:val="0"/>
          <w:szCs w:val="21"/>
          <w:highlight w:val="none"/>
          <w:u w:val="single"/>
        </w:rPr>
        <w:t xml:space="preserve">     </w:t>
      </w:r>
      <w:r>
        <w:rPr>
          <w:rFonts w:hint="eastAsia" w:ascii="宋体" w:hAnsi="宋体" w:eastAsia="宋体" w:cs="宋体"/>
          <w:b w:val="0"/>
          <w:bCs w:val="0"/>
          <w:i w:val="0"/>
          <w:iCs w:val="0"/>
          <w:snapToGrid w:val="0"/>
          <w:color w:val="auto"/>
          <w:kern w:val="0"/>
          <w:szCs w:val="21"/>
          <w:highlight w:val="none"/>
          <w:lang w:val="en-US" w:eastAsia="zh-CN"/>
        </w:rPr>
        <w:t>月</w:t>
      </w:r>
      <w:r>
        <w:rPr>
          <w:rFonts w:hint="eastAsia" w:ascii="宋体" w:hAnsi="宋体" w:eastAsia="宋体" w:cs="宋体"/>
          <w:b w:val="0"/>
          <w:bCs w:val="0"/>
          <w:i w:val="0"/>
          <w:iCs w:val="0"/>
          <w:snapToGrid w:val="0"/>
          <w:color w:val="auto"/>
          <w:kern w:val="0"/>
          <w:szCs w:val="21"/>
          <w:highlight w:val="none"/>
          <w:u w:val="single"/>
        </w:rPr>
        <w:t xml:space="preserve">     </w:t>
      </w:r>
      <w:r>
        <w:rPr>
          <w:rFonts w:hint="eastAsia" w:ascii="宋体" w:hAnsi="宋体" w:eastAsia="宋体" w:cs="宋体"/>
          <w:b w:val="0"/>
          <w:bCs w:val="0"/>
          <w:i w:val="0"/>
          <w:iCs w:val="0"/>
          <w:snapToGrid w:val="0"/>
          <w:color w:val="auto"/>
          <w:kern w:val="0"/>
          <w:szCs w:val="21"/>
          <w:highlight w:val="none"/>
          <w:lang w:val="en-US" w:eastAsia="zh-CN"/>
        </w:rPr>
        <w:t>日</w:t>
      </w:r>
      <w:r>
        <w:rPr>
          <w:rFonts w:hint="eastAsia" w:ascii="宋体" w:hAnsi="宋体" w:eastAsia="宋体" w:cs="宋体"/>
          <w:b w:val="0"/>
          <w:bCs w:val="0"/>
          <w:i w:val="0"/>
          <w:iCs w:val="0"/>
          <w:snapToGrid w:val="0"/>
          <w:color w:val="auto"/>
          <w:kern w:val="0"/>
          <w:szCs w:val="21"/>
          <w:highlight w:val="none"/>
          <w:u w:val="single"/>
          <w:lang w:val="en-US" w:eastAsia="zh-CN"/>
        </w:rPr>
        <w:t>（不得短于招标文件规定的投标有效期）</w:t>
      </w:r>
      <w:r>
        <w:rPr>
          <w:rFonts w:hint="eastAsia" w:ascii="宋体" w:hAnsi="宋体" w:eastAsia="宋体" w:cs="宋体"/>
          <w:b w:val="0"/>
          <w:bCs w:val="0"/>
          <w:i w:val="0"/>
          <w:iCs w:val="0"/>
          <w:snapToGrid w:val="0"/>
          <w:color w:val="auto"/>
          <w:kern w:val="0"/>
          <w:szCs w:val="21"/>
          <w:highlight w:val="none"/>
          <w:lang w:val="en-US" w:eastAsia="zh-CN"/>
        </w:rPr>
        <w:t>。</w:t>
      </w:r>
    </w:p>
    <w:p w14:paraId="756D8030">
      <w:pPr>
        <w:wordWrap w:val="0"/>
        <w:adjustRightInd w:val="0"/>
        <w:snapToGrid w:val="0"/>
        <w:spacing w:line="360" w:lineRule="auto"/>
        <w:ind w:firstLine="422" w:firstLineChars="200"/>
        <w:rPr>
          <w:rFonts w:hint="eastAsia" w:ascii="宋体" w:hAnsi="宋体" w:eastAsia="宋体" w:cs="宋体"/>
          <w:b/>
          <w:bCs/>
          <w:i w:val="0"/>
          <w:iCs w:val="0"/>
          <w:snapToGrid w:val="0"/>
          <w:color w:val="auto"/>
          <w:kern w:val="0"/>
          <w:szCs w:val="21"/>
          <w:highlight w:val="none"/>
        </w:rPr>
      </w:pPr>
    </w:p>
    <w:p w14:paraId="2A192204">
      <w:pPr>
        <w:wordWrap w:val="0"/>
        <w:adjustRightInd w:val="0"/>
        <w:snapToGrid w:val="0"/>
        <w:spacing w:line="360" w:lineRule="auto"/>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xml:space="preserve">    代理人无转委托权。</w:t>
      </w:r>
    </w:p>
    <w:p w14:paraId="0415E772">
      <w:pPr>
        <w:wordWrap w:val="0"/>
        <w:adjustRightInd w:val="0"/>
        <w:snapToGrid w:val="0"/>
        <w:spacing w:line="360" w:lineRule="auto"/>
        <w:ind w:firstLine="420" w:firstLineChars="200"/>
        <w:rPr>
          <w:rFonts w:hint="eastAsia" w:ascii="宋体" w:hAnsi="宋体" w:eastAsia="宋体" w:cs="宋体"/>
          <w:snapToGrid w:val="0"/>
          <w:color w:val="auto"/>
          <w:kern w:val="0"/>
          <w:szCs w:val="21"/>
          <w:highlight w:val="none"/>
        </w:rPr>
      </w:pPr>
    </w:p>
    <w:p w14:paraId="1C8A9DF5">
      <w:pPr>
        <w:wordWrap w:val="0"/>
        <w:adjustRightInd w:val="0"/>
        <w:snapToGrid w:val="0"/>
        <w:spacing w:line="360" w:lineRule="auto"/>
        <w:ind w:firstLine="420" w:firstLineChars="200"/>
        <w:rPr>
          <w:rFonts w:hint="eastAsia" w:ascii="宋体" w:hAnsi="宋体" w:eastAsia="宋体" w:cs="宋体"/>
          <w:snapToGrid w:val="0"/>
          <w:color w:val="auto"/>
          <w:kern w:val="0"/>
          <w:szCs w:val="21"/>
          <w:highlight w:val="none"/>
        </w:rPr>
      </w:pPr>
    </w:p>
    <w:p w14:paraId="6259FD5E">
      <w:pPr>
        <w:wordWrap w:val="0"/>
        <w:adjustRightInd w:val="0"/>
        <w:snapToGrid w:val="0"/>
        <w:spacing w:line="360" w:lineRule="auto"/>
        <w:ind w:firstLine="420" w:firstLineChars="200"/>
        <w:jc w:val="righ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投  标  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（盖单位章）</w:t>
      </w:r>
    </w:p>
    <w:p w14:paraId="6A252D18">
      <w:pPr>
        <w:wordWrap w:val="0"/>
        <w:adjustRightInd w:val="0"/>
        <w:snapToGrid w:val="0"/>
        <w:spacing w:line="360" w:lineRule="auto"/>
        <w:ind w:firstLine="420" w:firstLineChars="200"/>
        <w:jc w:val="righ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w:t>
      </w:r>
    </w:p>
    <w:p w14:paraId="13BADAF4">
      <w:pPr>
        <w:wordWrap w:val="0"/>
        <w:adjustRightInd w:val="0"/>
        <w:snapToGrid w:val="0"/>
        <w:spacing w:line="360" w:lineRule="auto"/>
        <w:ind w:firstLine="420" w:firstLineChars="200"/>
        <w:jc w:val="righ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法定代表人：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（签字或盖章）</w:t>
      </w:r>
    </w:p>
    <w:p w14:paraId="56C03AB1">
      <w:pPr>
        <w:wordWrap w:val="0"/>
        <w:adjustRightInd w:val="0"/>
        <w:snapToGrid w:val="0"/>
        <w:spacing w:line="360" w:lineRule="auto"/>
        <w:ind w:firstLine="420" w:firstLineChars="200"/>
        <w:jc w:val="righ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委托代理人：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（签字或盖章）</w:t>
      </w:r>
    </w:p>
    <w:p w14:paraId="188ECF2A">
      <w:pPr>
        <w:wordWrap w:val="0"/>
        <w:adjustRightInd w:val="0"/>
        <w:snapToGrid w:val="0"/>
        <w:spacing w:line="360" w:lineRule="auto"/>
        <w:ind w:firstLine="420" w:firstLineChars="200"/>
        <w:jc w:val="righ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w:t>
      </w:r>
    </w:p>
    <w:p w14:paraId="4D7910DF">
      <w:pPr>
        <w:wordWrap w:val="0"/>
        <w:adjustRightInd w:val="0"/>
        <w:snapToGrid w:val="0"/>
        <w:spacing w:line="360" w:lineRule="auto"/>
        <w:ind w:firstLine="420" w:firstLineChars="200"/>
        <w:jc w:val="righ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096BD1BF">
      <w:pPr>
        <w:rPr>
          <w:rFonts w:hint="eastAsia" w:ascii="宋体" w:hAnsi="宋体" w:eastAsia="宋体" w:cs="宋体"/>
        </w:rPr>
      </w:pPr>
    </w:p>
    <w:p w14:paraId="10596A54">
      <w:pPr>
        <w:rPr>
          <w:rFonts w:hint="eastAsia" w:ascii="宋体" w:hAnsi="宋体" w:eastAsia="宋体" w:cs="宋体"/>
        </w:rPr>
      </w:pPr>
    </w:p>
    <w:p w14:paraId="0C542C18">
      <w:pPr>
        <w:rPr>
          <w:rFonts w:hint="eastAsia" w:ascii="宋体" w:hAnsi="宋体" w:eastAsia="宋体" w:cs="宋体"/>
        </w:rPr>
      </w:pPr>
      <w:r>
        <w:rPr>
          <w:rFonts w:hint="eastAsia" w:ascii="宋体" w:hAnsi="宋体" w:eastAsia="宋体" w:cs="宋体"/>
        </w:rPr>
        <mc:AlternateContent>
          <mc:Choice Requires="wps">
            <w:drawing>
              <wp:anchor distT="0" distB="0" distL="114300" distR="114300" simplePos="0" relativeHeight="251661312"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3" name="自选图形 19"/>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35ED4BC5">
                            <w:pPr>
                              <w:jc w:val="center"/>
                              <w:rPr>
                                <w:rFonts w:hint="eastAsia"/>
                                <w:szCs w:val="21"/>
                              </w:rPr>
                            </w:pPr>
                          </w:p>
                          <w:p w14:paraId="201C270E">
                            <w:pPr>
                              <w:jc w:val="both"/>
                              <w:rPr>
                                <w:rFonts w:hint="eastAsia"/>
                                <w:szCs w:val="21"/>
                              </w:rPr>
                            </w:pPr>
                          </w:p>
                          <w:p w14:paraId="6CB2FB26">
                            <w:pPr>
                              <w:jc w:val="center"/>
                              <w:rPr>
                                <w:szCs w:val="21"/>
                              </w:rPr>
                            </w:pPr>
                            <w:r>
                              <w:rPr>
                                <w:rFonts w:hint="eastAsia"/>
                                <w:szCs w:val="21"/>
                              </w:rPr>
                              <w:t>委托代理人身份证彩色扫描件正、反面</w:t>
                            </w:r>
                          </w:p>
                        </w:txbxContent>
                      </wps:txbx>
                      <wps:bodyPr wrap="square" upright="1"/>
                    </wps:wsp>
                  </a:graphicData>
                </a:graphic>
              </wp:anchor>
            </w:drawing>
          </mc:Choice>
          <mc:Fallback>
            <w:pict>
              <v:shape id="自选图形 19" o:spid="_x0000_s1026" o:spt="176" type="#_x0000_t176" style="position:absolute;left:0pt;margin-left:115.5pt;margin-top:2.6pt;height:124.75pt;width:251.25pt;z-index:251661312;mso-width-relative:page;mso-height-relative:page;" fillcolor="#FFFFFF" filled="t" stroked="t" coordsize="21600,21600" o:gfxdata="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Gsn06zYAAAACQEAAA8AAAAAAAAAAQAgAAAAIgAAAGRycy9kb3ducmV2LnhtbFBLAQIUABQAAAAI&#10;AIdO4kBaUS9UJgIAAFQEAAAOAAAAAAAAAAEAIAAAACcBAABkcnMvZTJvRG9jLnhtbFBLBQYAAAAA&#10;BgAGAFkBAAC/BQAAAAA=&#10;">
                <v:fill on="t" focussize="0,0"/>
                <v:stroke color="#000000" joinstyle="miter"/>
                <v:imagedata o:title=""/>
                <o:lock v:ext="edit" aspectratio="f"/>
                <v:textbox>
                  <w:txbxContent>
                    <w:p w14:paraId="35ED4BC5">
                      <w:pPr>
                        <w:jc w:val="center"/>
                        <w:rPr>
                          <w:rFonts w:hint="eastAsia"/>
                          <w:szCs w:val="21"/>
                        </w:rPr>
                      </w:pPr>
                    </w:p>
                    <w:p w14:paraId="201C270E">
                      <w:pPr>
                        <w:jc w:val="both"/>
                        <w:rPr>
                          <w:rFonts w:hint="eastAsia"/>
                          <w:szCs w:val="21"/>
                        </w:rPr>
                      </w:pPr>
                    </w:p>
                    <w:p w14:paraId="6CB2FB26">
                      <w:pPr>
                        <w:jc w:val="center"/>
                        <w:rPr>
                          <w:szCs w:val="21"/>
                        </w:rPr>
                      </w:pPr>
                      <w:r>
                        <w:rPr>
                          <w:rFonts w:hint="eastAsia"/>
                          <w:szCs w:val="21"/>
                        </w:rPr>
                        <w:t>委托代理人身份证彩色扫描件正、反面</w:t>
                      </w:r>
                    </w:p>
                  </w:txbxContent>
                </v:textbox>
              </v:shape>
            </w:pict>
          </mc:Fallback>
        </mc:AlternateContent>
      </w:r>
    </w:p>
    <w:p w14:paraId="61BED0D8">
      <w:pPr>
        <w:rPr>
          <w:rFonts w:hint="eastAsia" w:ascii="宋体" w:hAnsi="宋体" w:eastAsia="宋体" w:cs="宋体"/>
        </w:rPr>
      </w:pPr>
    </w:p>
    <w:p w14:paraId="6DCC7A25">
      <w:pPr>
        <w:rPr>
          <w:rFonts w:hint="eastAsia" w:ascii="宋体" w:hAnsi="宋体" w:eastAsia="宋体" w:cs="宋体"/>
        </w:rPr>
      </w:pPr>
    </w:p>
    <w:p w14:paraId="6A1F5D3C">
      <w:pPr>
        <w:rPr>
          <w:rFonts w:hint="eastAsia" w:ascii="宋体" w:hAnsi="宋体" w:eastAsia="宋体" w:cs="宋体"/>
        </w:rPr>
      </w:pPr>
    </w:p>
    <w:p w14:paraId="02ECA28D">
      <w:pPr>
        <w:rPr>
          <w:rFonts w:hint="eastAsia" w:ascii="宋体" w:hAnsi="宋体" w:eastAsia="宋体" w:cs="宋体"/>
        </w:rPr>
      </w:pPr>
    </w:p>
    <w:p w14:paraId="683343FB">
      <w:pPr>
        <w:rPr>
          <w:rFonts w:hint="eastAsia" w:ascii="宋体" w:hAnsi="宋体" w:eastAsia="宋体" w:cs="宋体"/>
        </w:rPr>
      </w:pPr>
    </w:p>
    <w:p w14:paraId="3E5D6803">
      <w:pPr>
        <w:rPr>
          <w:rFonts w:hint="eastAsia" w:ascii="宋体" w:hAnsi="宋体" w:eastAsia="宋体" w:cs="宋体"/>
        </w:rPr>
      </w:pPr>
    </w:p>
    <w:p w14:paraId="3D6B16A0">
      <w:pPr>
        <w:rPr>
          <w:rFonts w:hint="eastAsia" w:ascii="宋体" w:hAnsi="宋体" w:eastAsia="宋体" w:cs="宋体"/>
        </w:rPr>
      </w:pPr>
    </w:p>
    <w:p w14:paraId="6B336B49">
      <w:pPr>
        <w:rPr>
          <w:rFonts w:hint="eastAsia" w:ascii="宋体" w:hAnsi="宋体" w:eastAsia="宋体" w:cs="宋体"/>
        </w:rPr>
      </w:pPr>
    </w:p>
    <w:p w14:paraId="6A08C93E">
      <w:pPr>
        <w:rPr>
          <w:rFonts w:hint="eastAsia" w:ascii="宋体" w:hAnsi="宋体" w:eastAsia="宋体" w:cs="宋体"/>
        </w:rPr>
      </w:pPr>
    </w:p>
    <w:p w14:paraId="77315177">
      <w:pPr>
        <w:rPr>
          <w:rFonts w:hint="eastAsia" w:ascii="宋体" w:hAnsi="宋体" w:eastAsia="宋体" w:cs="宋体"/>
        </w:rPr>
      </w:pPr>
    </w:p>
    <w:p w14:paraId="47167783">
      <w:pPr>
        <w:rPr>
          <w:rFonts w:hint="eastAsia" w:ascii="宋体" w:hAnsi="宋体" w:eastAsia="宋体" w:cs="宋体"/>
        </w:rPr>
      </w:pPr>
    </w:p>
    <w:p w14:paraId="3E918856">
      <w:pPr>
        <w:rPr>
          <w:rFonts w:hint="eastAsia" w:ascii="宋体" w:hAnsi="宋体" w:eastAsia="宋体" w:cs="宋体"/>
        </w:rPr>
      </w:pPr>
    </w:p>
    <w:p w14:paraId="67BC31A3">
      <w:pPr>
        <w:rPr>
          <w:rFonts w:hint="eastAsia" w:ascii="宋体" w:hAnsi="宋体" w:eastAsia="宋体" w:cs="宋体"/>
        </w:rPr>
      </w:pPr>
    </w:p>
    <w:p w14:paraId="5DEF4393">
      <w:pPr>
        <w:rPr>
          <w:rFonts w:hint="eastAsia" w:ascii="宋体" w:hAnsi="宋体" w:eastAsia="宋体" w:cs="宋体"/>
        </w:rPr>
      </w:pPr>
    </w:p>
    <w:p w14:paraId="0F7FAC28">
      <w:pPr>
        <w:rPr>
          <w:rFonts w:hint="eastAsia" w:ascii="宋体" w:hAnsi="宋体" w:eastAsia="宋体" w:cs="宋体"/>
        </w:rPr>
      </w:pPr>
    </w:p>
    <w:p w14:paraId="0EFBE34F">
      <w:pPr>
        <w:rPr>
          <w:rFonts w:hint="eastAsia" w:ascii="宋体" w:hAnsi="宋体" w:eastAsia="宋体" w:cs="宋体"/>
        </w:rPr>
      </w:pPr>
    </w:p>
    <w:p w14:paraId="196529BF">
      <w:pPr>
        <w:rPr>
          <w:rFonts w:hint="eastAsia" w:ascii="宋体" w:hAnsi="宋体" w:eastAsia="宋体" w:cs="宋体"/>
        </w:rPr>
      </w:pPr>
    </w:p>
    <w:p w14:paraId="4FC40903">
      <w:pPr>
        <w:rPr>
          <w:rFonts w:hint="eastAsia" w:ascii="宋体" w:hAnsi="宋体" w:eastAsia="宋体" w:cs="宋体"/>
        </w:rPr>
      </w:pPr>
    </w:p>
    <w:p w14:paraId="3E17E85F">
      <w:pPr>
        <w:rPr>
          <w:rFonts w:hint="eastAsia" w:ascii="宋体" w:hAnsi="宋体" w:eastAsia="宋体" w:cs="宋体"/>
        </w:rPr>
      </w:pPr>
    </w:p>
    <w:p w14:paraId="3705CA0A">
      <w:pPr>
        <w:rPr>
          <w:rFonts w:hint="eastAsia" w:ascii="宋体" w:hAnsi="宋体" w:eastAsia="宋体" w:cs="宋体"/>
        </w:rPr>
      </w:pPr>
    </w:p>
    <w:p w14:paraId="14B86FF1">
      <w:pPr>
        <w:spacing w:before="151" w:line="360" w:lineRule="auto"/>
        <w:ind w:left="476"/>
        <w:outlineLvl w:val="2"/>
        <w:rPr>
          <w:rFonts w:hint="eastAsia" w:ascii="宋体" w:hAnsi="宋体" w:eastAsia="宋体" w:cs="宋体"/>
          <w:b/>
          <w:bCs/>
          <w:color w:val="auto"/>
          <w:spacing w:val="-11"/>
          <w:sz w:val="24"/>
          <w:szCs w:val="24"/>
          <w:highlight w:val="none"/>
          <w:lang w:val="en-US" w:eastAsia="zh-CN"/>
        </w:rPr>
      </w:pPr>
      <w:bookmarkStart w:id="316" w:name="_Toc18510"/>
      <w:bookmarkStart w:id="317" w:name="_Toc24252"/>
      <w:r>
        <w:rPr>
          <w:rFonts w:hint="eastAsia" w:ascii="宋体" w:hAnsi="宋体" w:eastAsia="宋体" w:cs="宋体"/>
          <w:b/>
          <w:bCs/>
          <w:color w:val="auto"/>
          <w:spacing w:val="-11"/>
          <w:sz w:val="24"/>
          <w:szCs w:val="24"/>
          <w:highlight w:val="none"/>
          <w:lang w:val="en-US" w:eastAsia="zh-CN"/>
        </w:rPr>
        <w:t>格式五   法定代表人身份证明</w:t>
      </w:r>
      <w:bookmarkEnd w:id="316"/>
      <w:bookmarkEnd w:id="317"/>
    </w:p>
    <w:p w14:paraId="09613183">
      <w:pPr>
        <w:wordWrap w:val="0"/>
        <w:adjustRightInd w:val="0"/>
        <w:snapToGrid w:val="0"/>
        <w:spacing w:before="260" w:after="260" w:line="360" w:lineRule="auto"/>
        <w:jc w:val="center"/>
        <w:rPr>
          <w:rFonts w:hint="eastAsia" w:ascii="宋体" w:hAnsi="宋体" w:eastAsia="宋体" w:cs="宋体"/>
          <w:b/>
          <w:snapToGrid w:val="0"/>
          <w:color w:val="auto"/>
          <w:kern w:val="0"/>
          <w:highlight w:val="none"/>
        </w:rPr>
      </w:pPr>
      <w:r>
        <w:rPr>
          <w:rFonts w:hint="eastAsia" w:ascii="宋体" w:hAnsi="宋体" w:eastAsia="宋体" w:cs="宋体"/>
          <w:b/>
          <w:snapToGrid w:val="0"/>
          <w:color w:val="auto"/>
          <w:kern w:val="0"/>
          <w:sz w:val="30"/>
          <w:highlight w:val="none"/>
        </w:rPr>
        <w:t>法定代表人身份证明</w:t>
      </w:r>
    </w:p>
    <w:p w14:paraId="58A9CFE4">
      <w:pPr>
        <w:wordWrap w:val="0"/>
        <w:adjustRightInd w:val="0"/>
        <w:snapToGrid w:val="0"/>
        <w:spacing w:line="360" w:lineRule="auto"/>
        <w:rPr>
          <w:rFonts w:hint="eastAsia" w:ascii="宋体" w:hAnsi="宋体" w:eastAsia="宋体" w:cs="宋体"/>
          <w:snapToGrid w:val="0"/>
          <w:color w:val="auto"/>
          <w:kern w:val="0"/>
          <w:szCs w:val="21"/>
          <w:highlight w:val="none"/>
        </w:rPr>
      </w:pPr>
    </w:p>
    <w:p w14:paraId="540C6373">
      <w:pPr>
        <w:wordWrap w:val="0"/>
        <w:adjustRightInd w:val="0"/>
        <w:snapToGrid w:val="0"/>
        <w:spacing w:line="360" w:lineRule="auto"/>
        <w:rPr>
          <w:rFonts w:hint="eastAsia" w:ascii="宋体" w:hAnsi="宋体" w:eastAsia="宋体" w:cs="宋体"/>
          <w:snapToGrid w:val="0"/>
          <w:color w:val="auto"/>
          <w:kern w:val="0"/>
          <w:szCs w:val="21"/>
          <w:highlight w:val="none"/>
          <w:u w:val="single"/>
        </w:rPr>
      </w:pPr>
      <w:r>
        <w:rPr>
          <w:rFonts w:hint="eastAsia" w:ascii="宋体" w:hAnsi="宋体" w:eastAsia="宋体" w:cs="宋体"/>
          <w:snapToGrid w:val="0"/>
          <w:color w:val="auto"/>
          <w:kern w:val="0"/>
          <w:szCs w:val="21"/>
          <w:highlight w:val="none"/>
        </w:rPr>
        <w:t>投标人名称：</w:t>
      </w:r>
      <w:r>
        <w:rPr>
          <w:rFonts w:hint="eastAsia" w:ascii="宋体" w:hAnsi="宋体" w:eastAsia="宋体" w:cs="宋体"/>
          <w:snapToGrid w:val="0"/>
          <w:color w:val="auto"/>
          <w:kern w:val="0"/>
          <w:szCs w:val="21"/>
          <w:highlight w:val="none"/>
          <w:u w:val="single"/>
        </w:rPr>
        <w:t xml:space="preserve">                  </w:t>
      </w:r>
    </w:p>
    <w:p w14:paraId="3AB35966">
      <w:pPr>
        <w:wordWrap w:val="0"/>
        <w:adjustRightInd w:val="0"/>
        <w:snapToGrid w:val="0"/>
        <w:spacing w:line="360" w:lineRule="auto"/>
        <w:ind w:firstLine="1050" w:firstLineChars="50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姓名：</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性别：</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年龄：</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职务：</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系</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（投标人名称）的法定代表人。</w:t>
      </w:r>
    </w:p>
    <w:p w14:paraId="7481C7F6">
      <w:pPr>
        <w:wordWrap w:val="0"/>
        <w:adjustRightInd w:val="0"/>
        <w:snapToGrid w:val="0"/>
        <w:spacing w:line="360" w:lineRule="auto"/>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xml:space="preserve">    特此证明。</w:t>
      </w:r>
    </w:p>
    <w:p w14:paraId="14AE9157">
      <w:pPr>
        <w:wordWrap w:val="0"/>
        <w:adjustRightInd w:val="0"/>
        <w:snapToGrid w:val="0"/>
        <w:spacing w:line="360" w:lineRule="auto"/>
        <w:rPr>
          <w:rFonts w:hint="eastAsia" w:ascii="宋体" w:hAnsi="宋体" w:eastAsia="宋体" w:cs="宋体"/>
          <w:snapToGrid w:val="0"/>
          <w:color w:val="auto"/>
          <w:kern w:val="0"/>
          <w:szCs w:val="21"/>
          <w:highlight w:val="none"/>
        </w:rPr>
      </w:pPr>
    </w:p>
    <w:p w14:paraId="13D37778">
      <w:pPr>
        <w:wordWrap w:val="0"/>
        <w:adjustRightInd w:val="0"/>
        <w:snapToGrid w:val="0"/>
        <w:spacing w:line="360" w:lineRule="auto"/>
        <w:rPr>
          <w:rFonts w:hint="eastAsia" w:ascii="宋体" w:hAnsi="宋体" w:eastAsia="宋体" w:cs="宋体"/>
          <w:snapToGrid w:val="0"/>
          <w:color w:val="auto"/>
          <w:kern w:val="0"/>
          <w:szCs w:val="21"/>
          <w:highlight w:val="none"/>
        </w:rPr>
      </w:pPr>
    </w:p>
    <w:p w14:paraId="51B836BE">
      <w:pPr>
        <w:wordWrap w:val="0"/>
        <w:adjustRightInd w:val="0"/>
        <w:snapToGrid w:val="0"/>
        <w:spacing w:line="360" w:lineRule="auto"/>
        <w:jc w:val="righ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投标人：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（盖单位章）</w:t>
      </w:r>
    </w:p>
    <w:p w14:paraId="3BD0D72E">
      <w:pPr>
        <w:wordWrap w:val="0"/>
        <w:adjustRightInd w:val="0"/>
        <w:snapToGrid w:val="0"/>
        <w:spacing w:line="360" w:lineRule="auto"/>
        <w:jc w:val="right"/>
        <w:rPr>
          <w:rFonts w:hint="eastAsia" w:ascii="宋体" w:hAnsi="宋体" w:eastAsia="宋体" w:cs="宋体"/>
          <w:snapToGrid w:val="0"/>
          <w:color w:val="auto"/>
          <w:kern w:val="0"/>
          <w:szCs w:val="21"/>
          <w:highlight w:val="none"/>
        </w:rPr>
      </w:pPr>
    </w:p>
    <w:p w14:paraId="26453FAF">
      <w:pPr>
        <w:wordWrap w:val="0"/>
        <w:adjustRightInd w:val="0"/>
        <w:snapToGrid w:val="0"/>
        <w:spacing w:line="360" w:lineRule="auto"/>
        <w:jc w:val="righ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xml:space="preserve">                           法定代表人：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（签字或盖章）</w:t>
      </w:r>
    </w:p>
    <w:p w14:paraId="77CFA69C">
      <w:pPr>
        <w:wordWrap w:val="0"/>
        <w:adjustRightInd w:val="0"/>
        <w:snapToGrid w:val="0"/>
        <w:spacing w:line="360" w:lineRule="auto"/>
        <w:jc w:val="righ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xml:space="preserve">                        </w:t>
      </w:r>
    </w:p>
    <w:p w14:paraId="4B16DAD1">
      <w:pPr>
        <w:wordWrap w:val="0"/>
        <w:adjustRightInd w:val="0"/>
        <w:snapToGrid w:val="0"/>
        <w:spacing w:line="360" w:lineRule="auto"/>
        <w:jc w:val="righ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xml:space="preserve">                            </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 xml:space="preserve">日       </w:t>
      </w:r>
    </w:p>
    <w:p w14:paraId="36F7072C">
      <w:pPr>
        <w:wordWrap w:val="0"/>
        <w:adjustRightInd w:val="0"/>
        <w:snapToGrid w:val="0"/>
        <w:spacing w:line="360" w:lineRule="auto"/>
        <w:ind w:firstLine="210" w:firstLineChars="100"/>
        <w:jc w:val="righ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xml:space="preserve">     </w:t>
      </w:r>
    </w:p>
    <w:p w14:paraId="0919DBBA">
      <w:pPr>
        <w:rPr>
          <w:rFonts w:hint="eastAsia" w:ascii="宋体" w:hAnsi="宋体" w:eastAsia="宋体" w:cs="宋体"/>
        </w:rPr>
      </w:pPr>
      <w:r>
        <w:rPr>
          <w:rFonts w:hint="eastAsia" w:ascii="宋体" w:hAnsi="宋体" w:eastAsia="宋体" w:cs="宋体"/>
          <w:snapToGrid w:val="0"/>
          <w:color w:val="auto"/>
          <w:kern w:val="0"/>
          <w:szCs w:val="21"/>
          <w:highlight w:val="none"/>
        </w:rPr>
        <w:t xml:space="preserve">  </w:t>
      </w:r>
      <w:r>
        <w:rPr>
          <w:rFonts w:hint="eastAsia" w:ascii="宋体" w:hAnsi="宋体" w:eastAsia="宋体" w:cs="宋体"/>
          <w:i/>
          <w:iCs/>
          <w:snapToGrid w:val="0"/>
          <w:color w:val="auto"/>
          <w:kern w:val="0"/>
          <w:szCs w:val="21"/>
          <w:highlight w:val="none"/>
        </w:rPr>
        <w:t xml:space="preserve"> </w:t>
      </w:r>
    </w:p>
    <w:p w14:paraId="12653D35">
      <w:pPr>
        <w:rPr>
          <w:rFonts w:hint="eastAsia" w:ascii="宋体" w:hAnsi="宋体" w:eastAsia="宋体" w:cs="宋体"/>
        </w:rPr>
      </w:pPr>
    </w:p>
    <w:p w14:paraId="4C25B00A">
      <w:pPr>
        <w:rPr>
          <w:rFonts w:hint="eastAsia" w:ascii="宋体" w:hAnsi="宋体" w:eastAsia="宋体" w:cs="宋体"/>
        </w:rPr>
      </w:pPr>
    </w:p>
    <w:p w14:paraId="26C1E0A4">
      <w:pPr>
        <w:rPr>
          <w:rFonts w:hint="eastAsia" w:ascii="宋体" w:hAnsi="宋体" w:eastAsia="宋体" w:cs="宋体"/>
        </w:rPr>
      </w:pPr>
      <w:r>
        <w:rPr>
          <w:rFonts w:hint="eastAsia" w:ascii="宋体" w:hAnsi="宋体" w:eastAsia="宋体" w:cs="宋体"/>
        </w:rPr>
        <mc:AlternateContent>
          <mc:Choice Requires="wps">
            <w:drawing>
              <wp:anchor distT="0" distB="0" distL="114300" distR="114300" simplePos="0" relativeHeight="251660288" behindDoc="0" locked="0" layoutInCell="1" allowOverlap="1">
                <wp:simplePos x="0" y="0"/>
                <wp:positionH relativeFrom="column">
                  <wp:posOffset>1619250</wp:posOffset>
                </wp:positionH>
                <wp:positionV relativeFrom="paragraph">
                  <wp:posOffset>20320</wp:posOffset>
                </wp:positionV>
                <wp:extent cx="2825115" cy="1584325"/>
                <wp:effectExtent l="4445" t="4445" r="8890" b="11430"/>
                <wp:wrapNone/>
                <wp:docPr id="2" name="自选图形 18"/>
                <wp:cNvGraphicFramePr/>
                <a:graphic xmlns:a="http://schemas.openxmlformats.org/drawingml/2006/main">
                  <a:graphicData uri="http://schemas.microsoft.com/office/word/2010/wordprocessingShape">
                    <wps:wsp>
                      <wps:cNvSpPr/>
                      <wps:spPr>
                        <a:xfrm>
                          <a:off x="0" y="0"/>
                          <a:ext cx="282511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532125E3">
                            <w:pPr>
                              <w:jc w:val="both"/>
                              <w:rPr>
                                <w:rFonts w:hint="eastAsia"/>
                                <w:szCs w:val="21"/>
                              </w:rPr>
                            </w:pPr>
                          </w:p>
                          <w:p w14:paraId="2F711A31">
                            <w:pPr>
                              <w:jc w:val="center"/>
                              <w:rPr>
                                <w:rFonts w:hint="eastAsia"/>
                                <w:szCs w:val="21"/>
                              </w:rPr>
                            </w:pPr>
                          </w:p>
                          <w:p w14:paraId="20F0F4F4">
                            <w:pPr>
                              <w:jc w:val="center"/>
                              <w:rPr>
                                <w:szCs w:val="21"/>
                              </w:rPr>
                            </w:pPr>
                            <w:r>
                              <w:rPr>
                                <w:rFonts w:hint="eastAsia"/>
                                <w:szCs w:val="21"/>
                              </w:rPr>
                              <w:t>法定代表人身份证彩色扫描件正、反面</w:t>
                            </w:r>
                          </w:p>
                        </w:txbxContent>
                      </wps:txbx>
                      <wps:bodyPr wrap="square" upright="1"/>
                    </wps:wsp>
                  </a:graphicData>
                </a:graphic>
              </wp:anchor>
            </w:drawing>
          </mc:Choice>
          <mc:Fallback>
            <w:pict>
              <v:shape id="自选图形 18" o:spid="_x0000_s1026" o:spt="176" type="#_x0000_t176" style="position:absolute;left:0pt;margin-left:127.5pt;margin-top:1.6pt;height:124.75pt;width:222.45pt;z-index:251660288;mso-width-relative:page;mso-height-relative:page;" fillcolor="#FFFFFF" filled="t" stroked="t" coordsize="21600,21600" o:gfxdata="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HhXUptgAAAAJAQAADwAAAAAAAAABACAAAAAiAAAAZHJzL2Rvd25yZXYueG1sUEsBAhQAFAAAAAgA&#10;h07iQP2aoBQlAgAAVAQAAA4AAAAAAAAAAQAgAAAAJwEAAGRycy9lMm9Eb2MueG1sUEsFBgAAAAAG&#10;AAYAWQEAAL4FAAAAAA==&#10;">
                <v:fill on="t" focussize="0,0"/>
                <v:stroke color="#000000" joinstyle="miter"/>
                <v:imagedata o:title=""/>
                <o:lock v:ext="edit" aspectratio="f"/>
                <v:textbox>
                  <w:txbxContent>
                    <w:p w14:paraId="532125E3">
                      <w:pPr>
                        <w:jc w:val="both"/>
                        <w:rPr>
                          <w:rFonts w:hint="eastAsia"/>
                          <w:szCs w:val="21"/>
                        </w:rPr>
                      </w:pPr>
                    </w:p>
                    <w:p w14:paraId="2F711A31">
                      <w:pPr>
                        <w:jc w:val="center"/>
                        <w:rPr>
                          <w:rFonts w:hint="eastAsia"/>
                          <w:szCs w:val="21"/>
                        </w:rPr>
                      </w:pPr>
                    </w:p>
                    <w:p w14:paraId="20F0F4F4">
                      <w:pPr>
                        <w:jc w:val="center"/>
                        <w:rPr>
                          <w:szCs w:val="21"/>
                        </w:rPr>
                      </w:pPr>
                      <w:r>
                        <w:rPr>
                          <w:rFonts w:hint="eastAsia"/>
                          <w:szCs w:val="21"/>
                        </w:rPr>
                        <w:t>法定代表人身份证彩色扫描件正、反面</w:t>
                      </w:r>
                    </w:p>
                  </w:txbxContent>
                </v:textbox>
              </v:shape>
            </w:pict>
          </mc:Fallback>
        </mc:AlternateContent>
      </w:r>
    </w:p>
    <w:p w14:paraId="6BB36E90">
      <w:pPr>
        <w:rPr>
          <w:rFonts w:hint="eastAsia" w:ascii="宋体" w:hAnsi="宋体" w:eastAsia="宋体" w:cs="宋体"/>
        </w:rPr>
      </w:pPr>
    </w:p>
    <w:p w14:paraId="001E54A3">
      <w:pPr>
        <w:rPr>
          <w:rFonts w:hint="eastAsia" w:ascii="宋体" w:hAnsi="宋体" w:eastAsia="宋体" w:cs="宋体"/>
        </w:rPr>
      </w:pPr>
    </w:p>
    <w:p w14:paraId="632F3628">
      <w:pPr>
        <w:rPr>
          <w:rFonts w:hint="eastAsia" w:ascii="宋体" w:hAnsi="宋体" w:eastAsia="宋体" w:cs="宋体"/>
        </w:rPr>
      </w:pPr>
    </w:p>
    <w:p w14:paraId="330D22E7">
      <w:pPr>
        <w:rPr>
          <w:rFonts w:hint="eastAsia" w:ascii="宋体" w:hAnsi="宋体" w:eastAsia="宋体" w:cs="宋体"/>
        </w:rPr>
      </w:pPr>
    </w:p>
    <w:p w14:paraId="4BB9672C">
      <w:pPr>
        <w:rPr>
          <w:rFonts w:hint="eastAsia" w:ascii="宋体" w:hAnsi="宋体" w:eastAsia="宋体" w:cs="宋体"/>
        </w:rPr>
      </w:pPr>
    </w:p>
    <w:p w14:paraId="2994404E">
      <w:pPr>
        <w:rPr>
          <w:rFonts w:hint="eastAsia" w:ascii="宋体" w:hAnsi="宋体" w:eastAsia="宋体" w:cs="宋体"/>
        </w:rPr>
      </w:pPr>
    </w:p>
    <w:p w14:paraId="5F31FA10">
      <w:pPr>
        <w:rPr>
          <w:rFonts w:hint="eastAsia" w:ascii="宋体" w:hAnsi="宋体" w:eastAsia="宋体" w:cs="宋体"/>
        </w:rPr>
      </w:pPr>
    </w:p>
    <w:p w14:paraId="6144B3B2">
      <w:pPr>
        <w:rPr>
          <w:rFonts w:hint="eastAsia" w:ascii="宋体" w:hAnsi="宋体" w:eastAsia="宋体" w:cs="宋体"/>
        </w:rPr>
      </w:pPr>
    </w:p>
    <w:p w14:paraId="33375A46">
      <w:pPr>
        <w:rPr>
          <w:rFonts w:hint="eastAsia" w:ascii="宋体" w:hAnsi="宋体" w:eastAsia="宋体" w:cs="宋体"/>
        </w:rPr>
      </w:pPr>
    </w:p>
    <w:p w14:paraId="6A658622">
      <w:pPr>
        <w:rPr>
          <w:rFonts w:hint="eastAsia" w:ascii="宋体" w:hAnsi="宋体" w:eastAsia="宋体" w:cs="宋体"/>
        </w:rPr>
      </w:pPr>
    </w:p>
    <w:p w14:paraId="24F286FA">
      <w:pPr>
        <w:rPr>
          <w:rFonts w:hint="eastAsia" w:ascii="宋体" w:hAnsi="宋体" w:eastAsia="宋体" w:cs="宋体"/>
        </w:rPr>
      </w:pPr>
    </w:p>
    <w:p w14:paraId="693204F3">
      <w:pPr>
        <w:rPr>
          <w:rFonts w:hint="eastAsia" w:ascii="宋体" w:hAnsi="宋体" w:eastAsia="宋体" w:cs="宋体"/>
        </w:rPr>
      </w:pPr>
    </w:p>
    <w:p w14:paraId="32FB5CA0">
      <w:pPr>
        <w:rPr>
          <w:rFonts w:hint="eastAsia" w:ascii="宋体" w:hAnsi="宋体" w:eastAsia="宋体" w:cs="宋体"/>
        </w:rPr>
      </w:pPr>
    </w:p>
    <w:p w14:paraId="573B2C2E">
      <w:pPr>
        <w:rPr>
          <w:rFonts w:hint="eastAsia" w:ascii="宋体" w:hAnsi="宋体" w:eastAsia="宋体" w:cs="宋体"/>
        </w:rPr>
      </w:pPr>
    </w:p>
    <w:p w14:paraId="6755B165">
      <w:pPr>
        <w:rPr>
          <w:rFonts w:hint="eastAsia" w:ascii="宋体" w:hAnsi="宋体" w:eastAsia="宋体" w:cs="宋体"/>
        </w:rPr>
      </w:pPr>
    </w:p>
    <w:p w14:paraId="55A5C2D2">
      <w:pPr>
        <w:rPr>
          <w:rFonts w:hint="eastAsia" w:ascii="宋体" w:hAnsi="宋体" w:eastAsia="宋体" w:cs="宋体"/>
        </w:rPr>
      </w:pPr>
    </w:p>
    <w:p w14:paraId="14382192">
      <w:pPr>
        <w:rPr>
          <w:rFonts w:hint="eastAsia" w:ascii="宋体" w:hAnsi="宋体" w:eastAsia="宋体" w:cs="宋体"/>
        </w:rPr>
      </w:pPr>
    </w:p>
    <w:p w14:paraId="7AB00C9F">
      <w:pPr>
        <w:rPr>
          <w:rFonts w:hint="eastAsia" w:ascii="宋体" w:hAnsi="宋体" w:eastAsia="宋体" w:cs="宋体"/>
        </w:rPr>
      </w:pPr>
    </w:p>
    <w:p w14:paraId="2ACFF5F0">
      <w:pPr>
        <w:rPr>
          <w:rFonts w:hint="eastAsia" w:ascii="宋体" w:hAnsi="宋体" w:eastAsia="宋体" w:cs="宋体"/>
        </w:rPr>
      </w:pPr>
    </w:p>
    <w:p w14:paraId="3D27C896">
      <w:pPr>
        <w:rPr>
          <w:rFonts w:hint="eastAsia" w:ascii="宋体" w:hAnsi="宋体" w:eastAsia="宋体" w:cs="宋体"/>
        </w:rPr>
      </w:pPr>
    </w:p>
    <w:p w14:paraId="5DAD38EF">
      <w:pPr>
        <w:rPr>
          <w:rFonts w:hint="eastAsia" w:ascii="宋体" w:hAnsi="宋体" w:eastAsia="宋体" w:cs="宋体"/>
        </w:rPr>
      </w:pPr>
    </w:p>
    <w:p w14:paraId="1EBEE754">
      <w:pPr>
        <w:rPr>
          <w:rFonts w:hint="eastAsia" w:ascii="宋体" w:hAnsi="宋体" w:eastAsia="宋体" w:cs="宋体"/>
        </w:rPr>
      </w:pPr>
    </w:p>
    <w:p w14:paraId="09679D34">
      <w:pPr>
        <w:rPr>
          <w:rFonts w:hint="eastAsia" w:ascii="宋体" w:hAnsi="宋体" w:eastAsia="宋体" w:cs="宋体"/>
        </w:rPr>
      </w:pPr>
    </w:p>
    <w:p w14:paraId="54EDEFDB">
      <w:pPr>
        <w:rPr>
          <w:rFonts w:hint="eastAsia" w:ascii="宋体" w:hAnsi="宋体" w:eastAsia="宋体" w:cs="宋体"/>
        </w:rPr>
      </w:pPr>
    </w:p>
    <w:p w14:paraId="143AB608">
      <w:pPr>
        <w:spacing w:before="151" w:line="360" w:lineRule="auto"/>
        <w:ind w:left="476"/>
        <w:outlineLvl w:val="2"/>
        <w:rPr>
          <w:rFonts w:hint="eastAsia" w:ascii="宋体" w:hAnsi="宋体" w:eastAsia="宋体" w:cs="宋体"/>
          <w:b/>
          <w:bCs/>
          <w:color w:val="auto"/>
          <w:spacing w:val="-11"/>
          <w:sz w:val="24"/>
          <w:szCs w:val="24"/>
          <w:highlight w:val="none"/>
          <w:lang w:val="en-US" w:eastAsia="zh-CN"/>
        </w:rPr>
      </w:pPr>
      <w:bookmarkStart w:id="318" w:name="_Toc102"/>
      <w:bookmarkStart w:id="319" w:name="_Toc22808"/>
      <w:r>
        <w:rPr>
          <w:rFonts w:hint="eastAsia" w:ascii="宋体" w:hAnsi="宋体" w:eastAsia="宋体" w:cs="宋体"/>
          <w:b/>
          <w:bCs/>
          <w:color w:val="auto"/>
          <w:spacing w:val="-11"/>
          <w:sz w:val="24"/>
          <w:szCs w:val="24"/>
          <w:highlight w:val="none"/>
          <w:lang w:val="en-US" w:eastAsia="zh-CN"/>
        </w:rPr>
        <w:t>格式六    投标人基本情况表</w:t>
      </w:r>
      <w:bookmarkEnd w:id="318"/>
      <w:bookmarkEnd w:id="319"/>
    </w:p>
    <w:p w14:paraId="53B6A321">
      <w:pPr>
        <w:pStyle w:val="60"/>
        <w:widowControl w:val="0"/>
        <w:wordWrap w:val="0"/>
        <w:adjustRightInd w:val="0"/>
        <w:snapToGrid w:val="0"/>
        <w:spacing w:before="260" w:after="260" w:line="240" w:lineRule="auto"/>
        <w:ind w:firstLine="0"/>
        <w:jc w:val="center"/>
        <w:rPr>
          <w:rFonts w:hint="eastAsia" w:ascii="宋体" w:hAnsi="宋体" w:eastAsia="宋体" w:cs="宋体"/>
          <w:snapToGrid w:val="0"/>
          <w:color w:val="auto"/>
          <w:sz w:val="24"/>
          <w:highlight w:val="none"/>
        </w:rPr>
      </w:pPr>
      <w:r>
        <w:rPr>
          <w:rFonts w:hint="eastAsia" w:ascii="宋体" w:hAnsi="宋体" w:eastAsia="宋体" w:cs="宋体"/>
          <w:b/>
          <w:snapToGrid w:val="0"/>
          <w:color w:val="auto"/>
          <w:sz w:val="30"/>
          <w:highlight w:val="none"/>
        </w:rPr>
        <w:t>投标人基本情况表</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689"/>
        <w:gridCol w:w="803"/>
        <w:gridCol w:w="286"/>
        <w:gridCol w:w="960"/>
        <w:gridCol w:w="260"/>
        <w:gridCol w:w="709"/>
        <w:gridCol w:w="1416"/>
      </w:tblGrid>
      <w:tr w14:paraId="14092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485" w:type="dxa"/>
            <w:noWrap w:val="0"/>
            <w:vAlign w:val="center"/>
          </w:tcPr>
          <w:p w14:paraId="1F5E6A1E">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投标人名称</w:t>
            </w:r>
          </w:p>
        </w:tc>
        <w:tc>
          <w:tcPr>
            <w:tcW w:w="7020" w:type="dxa"/>
            <w:gridSpan w:val="8"/>
            <w:noWrap w:val="0"/>
            <w:vAlign w:val="center"/>
          </w:tcPr>
          <w:p w14:paraId="338CD7A5">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p>
        </w:tc>
      </w:tr>
      <w:tr w14:paraId="50CEA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exact"/>
          <w:jc w:val="center"/>
        </w:trPr>
        <w:tc>
          <w:tcPr>
            <w:tcW w:w="1485" w:type="dxa"/>
            <w:noWrap w:val="0"/>
            <w:vAlign w:val="center"/>
          </w:tcPr>
          <w:p w14:paraId="4F3A3455">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注册地址</w:t>
            </w:r>
          </w:p>
        </w:tc>
        <w:tc>
          <w:tcPr>
            <w:tcW w:w="3389" w:type="dxa"/>
            <w:gridSpan w:val="3"/>
            <w:noWrap w:val="0"/>
            <w:vAlign w:val="center"/>
          </w:tcPr>
          <w:p w14:paraId="4824853B">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p>
        </w:tc>
        <w:tc>
          <w:tcPr>
            <w:tcW w:w="1246" w:type="dxa"/>
            <w:gridSpan w:val="2"/>
            <w:noWrap w:val="0"/>
            <w:vAlign w:val="center"/>
          </w:tcPr>
          <w:p w14:paraId="0762499C">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邮政编码</w:t>
            </w:r>
          </w:p>
        </w:tc>
        <w:tc>
          <w:tcPr>
            <w:tcW w:w="2385" w:type="dxa"/>
            <w:gridSpan w:val="3"/>
            <w:noWrap w:val="0"/>
            <w:vAlign w:val="center"/>
          </w:tcPr>
          <w:p w14:paraId="29AEF494">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p>
        </w:tc>
      </w:tr>
      <w:tr w14:paraId="28191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exact"/>
          <w:jc w:val="center"/>
        </w:trPr>
        <w:tc>
          <w:tcPr>
            <w:tcW w:w="1485" w:type="dxa"/>
            <w:vMerge w:val="restart"/>
            <w:noWrap w:val="0"/>
            <w:vAlign w:val="center"/>
          </w:tcPr>
          <w:p w14:paraId="005A109A">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联系方式</w:t>
            </w:r>
          </w:p>
        </w:tc>
        <w:tc>
          <w:tcPr>
            <w:tcW w:w="897" w:type="dxa"/>
            <w:noWrap w:val="0"/>
            <w:vAlign w:val="center"/>
          </w:tcPr>
          <w:p w14:paraId="1CDD0028">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联系人</w:t>
            </w:r>
          </w:p>
        </w:tc>
        <w:tc>
          <w:tcPr>
            <w:tcW w:w="2492" w:type="dxa"/>
            <w:gridSpan w:val="2"/>
            <w:noWrap w:val="0"/>
            <w:vAlign w:val="center"/>
          </w:tcPr>
          <w:p w14:paraId="7A1F7045">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p>
        </w:tc>
        <w:tc>
          <w:tcPr>
            <w:tcW w:w="1246" w:type="dxa"/>
            <w:gridSpan w:val="2"/>
            <w:noWrap w:val="0"/>
            <w:vAlign w:val="center"/>
          </w:tcPr>
          <w:p w14:paraId="7B9A7A9B">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电  话</w:t>
            </w:r>
          </w:p>
        </w:tc>
        <w:tc>
          <w:tcPr>
            <w:tcW w:w="2385" w:type="dxa"/>
            <w:gridSpan w:val="3"/>
            <w:noWrap w:val="0"/>
            <w:vAlign w:val="center"/>
          </w:tcPr>
          <w:p w14:paraId="66A62316">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p>
        </w:tc>
      </w:tr>
      <w:tr w14:paraId="0A0DB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exact"/>
          <w:jc w:val="center"/>
        </w:trPr>
        <w:tc>
          <w:tcPr>
            <w:tcW w:w="1485" w:type="dxa"/>
            <w:vMerge w:val="continue"/>
            <w:noWrap w:val="0"/>
            <w:vAlign w:val="center"/>
          </w:tcPr>
          <w:p w14:paraId="2F52E139">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p>
        </w:tc>
        <w:tc>
          <w:tcPr>
            <w:tcW w:w="897" w:type="dxa"/>
            <w:noWrap w:val="0"/>
            <w:vAlign w:val="center"/>
          </w:tcPr>
          <w:p w14:paraId="4AF67B27">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传  真</w:t>
            </w:r>
          </w:p>
        </w:tc>
        <w:tc>
          <w:tcPr>
            <w:tcW w:w="2492" w:type="dxa"/>
            <w:gridSpan w:val="2"/>
            <w:noWrap w:val="0"/>
            <w:vAlign w:val="center"/>
          </w:tcPr>
          <w:p w14:paraId="63F7C353">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p>
        </w:tc>
        <w:tc>
          <w:tcPr>
            <w:tcW w:w="1246" w:type="dxa"/>
            <w:gridSpan w:val="2"/>
            <w:noWrap w:val="0"/>
            <w:vAlign w:val="center"/>
          </w:tcPr>
          <w:p w14:paraId="1E86FE0D">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电子邮箱</w:t>
            </w:r>
          </w:p>
        </w:tc>
        <w:tc>
          <w:tcPr>
            <w:tcW w:w="2385" w:type="dxa"/>
            <w:gridSpan w:val="3"/>
            <w:noWrap w:val="0"/>
            <w:vAlign w:val="center"/>
          </w:tcPr>
          <w:p w14:paraId="0D1A3437">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p>
        </w:tc>
      </w:tr>
      <w:tr w14:paraId="4CC48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exact"/>
          <w:jc w:val="center"/>
        </w:trPr>
        <w:tc>
          <w:tcPr>
            <w:tcW w:w="1485" w:type="dxa"/>
            <w:noWrap w:val="0"/>
            <w:vAlign w:val="center"/>
          </w:tcPr>
          <w:p w14:paraId="1D074B88">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单位性质</w:t>
            </w:r>
          </w:p>
        </w:tc>
        <w:tc>
          <w:tcPr>
            <w:tcW w:w="7020" w:type="dxa"/>
            <w:gridSpan w:val="8"/>
            <w:noWrap w:val="0"/>
            <w:vAlign w:val="center"/>
          </w:tcPr>
          <w:p w14:paraId="17E2BE77">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p>
        </w:tc>
      </w:tr>
      <w:tr w14:paraId="379DC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noWrap w:val="0"/>
            <w:vAlign w:val="center"/>
          </w:tcPr>
          <w:p w14:paraId="61900B63">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法定代表人</w:t>
            </w:r>
          </w:p>
        </w:tc>
        <w:tc>
          <w:tcPr>
            <w:tcW w:w="897" w:type="dxa"/>
            <w:noWrap w:val="0"/>
            <w:vAlign w:val="center"/>
          </w:tcPr>
          <w:p w14:paraId="0DD24313">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姓名</w:t>
            </w:r>
          </w:p>
        </w:tc>
        <w:tc>
          <w:tcPr>
            <w:tcW w:w="1689" w:type="dxa"/>
            <w:noWrap w:val="0"/>
            <w:vAlign w:val="center"/>
          </w:tcPr>
          <w:p w14:paraId="6B968462">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p>
        </w:tc>
        <w:tc>
          <w:tcPr>
            <w:tcW w:w="1089" w:type="dxa"/>
            <w:gridSpan w:val="2"/>
            <w:noWrap w:val="0"/>
            <w:vAlign w:val="center"/>
          </w:tcPr>
          <w:p w14:paraId="58E84C41">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技术职称</w:t>
            </w:r>
          </w:p>
        </w:tc>
        <w:tc>
          <w:tcPr>
            <w:tcW w:w="1220" w:type="dxa"/>
            <w:gridSpan w:val="2"/>
            <w:noWrap w:val="0"/>
            <w:vAlign w:val="center"/>
          </w:tcPr>
          <w:p w14:paraId="33B8317C">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p>
        </w:tc>
        <w:tc>
          <w:tcPr>
            <w:tcW w:w="709" w:type="dxa"/>
            <w:noWrap w:val="0"/>
            <w:vAlign w:val="center"/>
          </w:tcPr>
          <w:p w14:paraId="6E6CA876">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电话</w:t>
            </w:r>
          </w:p>
        </w:tc>
        <w:tc>
          <w:tcPr>
            <w:tcW w:w="1416" w:type="dxa"/>
            <w:noWrap w:val="0"/>
            <w:vAlign w:val="center"/>
          </w:tcPr>
          <w:p w14:paraId="6C8B5919">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p>
        </w:tc>
      </w:tr>
      <w:tr w14:paraId="643C4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exact"/>
          <w:jc w:val="center"/>
        </w:trPr>
        <w:tc>
          <w:tcPr>
            <w:tcW w:w="1485" w:type="dxa"/>
            <w:noWrap w:val="0"/>
            <w:vAlign w:val="center"/>
          </w:tcPr>
          <w:p w14:paraId="0A8DF084">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成立时间</w:t>
            </w:r>
          </w:p>
        </w:tc>
        <w:tc>
          <w:tcPr>
            <w:tcW w:w="2586" w:type="dxa"/>
            <w:gridSpan w:val="2"/>
            <w:noWrap w:val="0"/>
            <w:vAlign w:val="center"/>
          </w:tcPr>
          <w:p w14:paraId="5104AEE9">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p>
        </w:tc>
        <w:tc>
          <w:tcPr>
            <w:tcW w:w="4434" w:type="dxa"/>
            <w:gridSpan w:val="6"/>
            <w:noWrap w:val="0"/>
            <w:vAlign w:val="center"/>
          </w:tcPr>
          <w:p w14:paraId="21133CCA">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员工总人数（个）：</w:t>
            </w:r>
          </w:p>
        </w:tc>
      </w:tr>
      <w:tr w14:paraId="17A0F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exact"/>
          <w:jc w:val="center"/>
        </w:trPr>
        <w:tc>
          <w:tcPr>
            <w:tcW w:w="1485" w:type="dxa"/>
            <w:noWrap w:val="0"/>
            <w:vAlign w:val="center"/>
          </w:tcPr>
          <w:p w14:paraId="7DAA4B35">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企业资质</w:t>
            </w:r>
          </w:p>
          <w:p w14:paraId="3060BCDA">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类型和等级</w:t>
            </w:r>
          </w:p>
        </w:tc>
        <w:tc>
          <w:tcPr>
            <w:tcW w:w="2586" w:type="dxa"/>
            <w:gridSpan w:val="2"/>
            <w:noWrap w:val="0"/>
            <w:vAlign w:val="center"/>
          </w:tcPr>
          <w:p w14:paraId="69FFFC26">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p>
        </w:tc>
        <w:tc>
          <w:tcPr>
            <w:tcW w:w="1089" w:type="dxa"/>
            <w:gridSpan w:val="2"/>
            <w:vMerge w:val="restart"/>
            <w:noWrap w:val="0"/>
            <w:vAlign w:val="center"/>
          </w:tcPr>
          <w:p w14:paraId="2951E8B3">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其中</w:t>
            </w:r>
          </w:p>
        </w:tc>
        <w:tc>
          <w:tcPr>
            <w:tcW w:w="1929" w:type="dxa"/>
            <w:gridSpan w:val="3"/>
            <w:noWrap w:val="0"/>
            <w:vAlign w:val="center"/>
          </w:tcPr>
          <w:p w14:paraId="10A76B07">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项目经理</w:t>
            </w:r>
          </w:p>
        </w:tc>
        <w:tc>
          <w:tcPr>
            <w:tcW w:w="1416" w:type="dxa"/>
            <w:noWrap w:val="0"/>
            <w:vAlign w:val="center"/>
          </w:tcPr>
          <w:p w14:paraId="31D0B562">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p>
        </w:tc>
      </w:tr>
      <w:tr w14:paraId="3829F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exact"/>
          <w:jc w:val="center"/>
        </w:trPr>
        <w:tc>
          <w:tcPr>
            <w:tcW w:w="1485" w:type="dxa"/>
            <w:noWrap w:val="0"/>
            <w:vAlign w:val="center"/>
          </w:tcPr>
          <w:p w14:paraId="5B9824B9">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营业执照号</w:t>
            </w:r>
          </w:p>
        </w:tc>
        <w:tc>
          <w:tcPr>
            <w:tcW w:w="2586" w:type="dxa"/>
            <w:gridSpan w:val="2"/>
            <w:noWrap w:val="0"/>
            <w:vAlign w:val="center"/>
          </w:tcPr>
          <w:p w14:paraId="791A985D">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p>
        </w:tc>
        <w:tc>
          <w:tcPr>
            <w:tcW w:w="1089" w:type="dxa"/>
            <w:gridSpan w:val="2"/>
            <w:vMerge w:val="continue"/>
            <w:noWrap w:val="0"/>
            <w:vAlign w:val="center"/>
          </w:tcPr>
          <w:p w14:paraId="4D71DDBD">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p>
        </w:tc>
        <w:tc>
          <w:tcPr>
            <w:tcW w:w="1929" w:type="dxa"/>
            <w:gridSpan w:val="3"/>
            <w:noWrap w:val="0"/>
            <w:vAlign w:val="center"/>
          </w:tcPr>
          <w:p w14:paraId="6D1569DE">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高级职称人员</w:t>
            </w:r>
          </w:p>
        </w:tc>
        <w:tc>
          <w:tcPr>
            <w:tcW w:w="1416" w:type="dxa"/>
            <w:noWrap w:val="0"/>
            <w:vAlign w:val="center"/>
          </w:tcPr>
          <w:p w14:paraId="7D0B54C6">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p>
        </w:tc>
      </w:tr>
      <w:tr w14:paraId="4C3BA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exact"/>
          <w:jc w:val="center"/>
        </w:trPr>
        <w:tc>
          <w:tcPr>
            <w:tcW w:w="1485" w:type="dxa"/>
            <w:noWrap w:val="0"/>
            <w:vAlign w:val="center"/>
          </w:tcPr>
          <w:p w14:paraId="13245F5C">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注册资金</w:t>
            </w:r>
          </w:p>
        </w:tc>
        <w:tc>
          <w:tcPr>
            <w:tcW w:w="2586" w:type="dxa"/>
            <w:gridSpan w:val="2"/>
            <w:noWrap w:val="0"/>
            <w:vAlign w:val="center"/>
          </w:tcPr>
          <w:p w14:paraId="4BBE96E5">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p>
        </w:tc>
        <w:tc>
          <w:tcPr>
            <w:tcW w:w="1089" w:type="dxa"/>
            <w:gridSpan w:val="2"/>
            <w:vMerge w:val="continue"/>
            <w:noWrap w:val="0"/>
            <w:vAlign w:val="center"/>
          </w:tcPr>
          <w:p w14:paraId="7B0EB2E6">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p>
        </w:tc>
        <w:tc>
          <w:tcPr>
            <w:tcW w:w="1929" w:type="dxa"/>
            <w:gridSpan w:val="3"/>
            <w:noWrap w:val="0"/>
            <w:vAlign w:val="center"/>
          </w:tcPr>
          <w:p w14:paraId="1D277CA6">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中级职称人员</w:t>
            </w:r>
          </w:p>
        </w:tc>
        <w:tc>
          <w:tcPr>
            <w:tcW w:w="1416" w:type="dxa"/>
            <w:noWrap w:val="0"/>
            <w:vAlign w:val="center"/>
          </w:tcPr>
          <w:p w14:paraId="5DB1AC0C">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p>
        </w:tc>
      </w:tr>
      <w:tr w14:paraId="3802F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exact"/>
          <w:jc w:val="center"/>
        </w:trPr>
        <w:tc>
          <w:tcPr>
            <w:tcW w:w="1485" w:type="dxa"/>
            <w:noWrap w:val="0"/>
            <w:vAlign w:val="center"/>
          </w:tcPr>
          <w:p w14:paraId="10815DEC">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基本账户</w:t>
            </w:r>
          </w:p>
          <w:p w14:paraId="0FBBE568">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开户银行</w:t>
            </w:r>
          </w:p>
        </w:tc>
        <w:tc>
          <w:tcPr>
            <w:tcW w:w="2586" w:type="dxa"/>
            <w:gridSpan w:val="2"/>
            <w:noWrap w:val="0"/>
            <w:vAlign w:val="center"/>
          </w:tcPr>
          <w:p w14:paraId="7177D233">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p>
        </w:tc>
        <w:tc>
          <w:tcPr>
            <w:tcW w:w="1089" w:type="dxa"/>
            <w:gridSpan w:val="2"/>
            <w:vMerge w:val="continue"/>
            <w:noWrap w:val="0"/>
            <w:vAlign w:val="center"/>
          </w:tcPr>
          <w:p w14:paraId="102FD1A0">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p>
        </w:tc>
        <w:tc>
          <w:tcPr>
            <w:tcW w:w="1929" w:type="dxa"/>
            <w:gridSpan w:val="3"/>
            <w:noWrap w:val="0"/>
            <w:vAlign w:val="center"/>
          </w:tcPr>
          <w:p w14:paraId="03E26018">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初级职称人员</w:t>
            </w:r>
          </w:p>
        </w:tc>
        <w:tc>
          <w:tcPr>
            <w:tcW w:w="1416" w:type="dxa"/>
            <w:noWrap w:val="0"/>
            <w:vAlign w:val="center"/>
          </w:tcPr>
          <w:p w14:paraId="59C9DABA">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p>
        </w:tc>
      </w:tr>
      <w:tr w14:paraId="454D8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exact"/>
          <w:jc w:val="center"/>
        </w:trPr>
        <w:tc>
          <w:tcPr>
            <w:tcW w:w="1485" w:type="dxa"/>
            <w:noWrap w:val="0"/>
            <w:vAlign w:val="center"/>
          </w:tcPr>
          <w:p w14:paraId="7059B497">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基本账户</w:t>
            </w:r>
          </w:p>
          <w:p w14:paraId="44767438">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银行账号</w:t>
            </w:r>
          </w:p>
        </w:tc>
        <w:tc>
          <w:tcPr>
            <w:tcW w:w="2586" w:type="dxa"/>
            <w:gridSpan w:val="2"/>
            <w:noWrap w:val="0"/>
            <w:vAlign w:val="center"/>
          </w:tcPr>
          <w:p w14:paraId="375D0989">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p>
        </w:tc>
        <w:tc>
          <w:tcPr>
            <w:tcW w:w="1089" w:type="dxa"/>
            <w:gridSpan w:val="2"/>
            <w:vMerge w:val="continue"/>
            <w:noWrap w:val="0"/>
            <w:vAlign w:val="center"/>
          </w:tcPr>
          <w:p w14:paraId="65205087">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p>
        </w:tc>
        <w:tc>
          <w:tcPr>
            <w:tcW w:w="1929" w:type="dxa"/>
            <w:gridSpan w:val="3"/>
            <w:noWrap w:val="0"/>
            <w:vAlign w:val="center"/>
          </w:tcPr>
          <w:p w14:paraId="573D8441">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技术员</w:t>
            </w:r>
          </w:p>
        </w:tc>
        <w:tc>
          <w:tcPr>
            <w:tcW w:w="1416" w:type="dxa"/>
            <w:noWrap w:val="0"/>
            <w:vAlign w:val="center"/>
          </w:tcPr>
          <w:p w14:paraId="3B0533B3">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p>
        </w:tc>
      </w:tr>
      <w:tr w14:paraId="64912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exact"/>
          <w:jc w:val="center"/>
        </w:trPr>
        <w:tc>
          <w:tcPr>
            <w:tcW w:w="1485" w:type="dxa"/>
            <w:noWrap w:val="0"/>
            <w:vAlign w:val="center"/>
          </w:tcPr>
          <w:p w14:paraId="6BDB8E90">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经营范围</w:t>
            </w:r>
          </w:p>
        </w:tc>
        <w:tc>
          <w:tcPr>
            <w:tcW w:w="7020" w:type="dxa"/>
            <w:gridSpan w:val="8"/>
            <w:noWrap w:val="0"/>
            <w:vAlign w:val="center"/>
          </w:tcPr>
          <w:p w14:paraId="2CA0F450">
            <w:pPr>
              <w:pStyle w:val="63"/>
              <w:wordWrap w:val="0"/>
              <w:adjustRightInd w:val="0"/>
              <w:snapToGrid w:val="0"/>
              <w:spacing w:line="360" w:lineRule="auto"/>
              <w:jc w:val="left"/>
              <w:rPr>
                <w:rFonts w:hint="eastAsia" w:ascii="宋体" w:hAnsi="宋体" w:eastAsia="宋体" w:cs="宋体"/>
                <w:snapToGrid w:val="0"/>
                <w:color w:val="auto"/>
                <w:kern w:val="0"/>
                <w:szCs w:val="21"/>
                <w:highlight w:val="none"/>
              </w:rPr>
            </w:pPr>
          </w:p>
        </w:tc>
      </w:tr>
      <w:tr w14:paraId="52E8E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1485" w:type="dxa"/>
            <w:noWrap w:val="0"/>
            <w:vAlign w:val="center"/>
          </w:tcPr>
          <w:p w14:paraId="4E31F12A">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关联企业情况</w:t>
            </w:r>
          </w:p>
        </w:tc>
        <w:tc>
          <w:tcPr>
            <w:tcW w:w="7020" w:type="dxa"/>
            <w:gridSpan w:val="8"/>
            <w:noWrap w:val="0"/>
            <w:vAlign w:val="center"/>
          </w:tcPr>
          <w:p w14:paraId="61991BD2">
            <w:pPr>
              <w:pStyle w:val="63"/>
              <w:wordWrap w:val="0"/>
              <w:adjustRightInd w:val="0"/>
              <w:snapToGrid w:val="0"/>
              <w:spacing w:line="240" w:lineRule="auto"/>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包括但不限于与投标人存在以下关系的不同单位：</w:t>
            </w:r>
          </w:p>
          <w:p w14:paraId="25823A94">
            <w:pPr>
              <w:pStyle w:val="63"/>
              <w:wordWrap w:val="0"/>
              <w:adjustRightInd w:val="0"/>
              <w:snapToGrid w:val="0"/>
              <w:spacing w:line="240" w:lineRule="auto"/>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1</w:t>
            </w:r>
            <w:r>
              <w:rPr>
                <w:rFonts w:hint="eastAsia" w:ascii="宋体" w:hAnsi="宋体" w:eastAsia="宋体" w:cs="宋体"/>
                <w:snapToGrid w:val="0"/>
                <w:color w:val="auto"/>
                <w:kern w:val="0"/>
                <w:szCs w:val="21"/>
                <w:highlight w:val="none"/>
                <w:lang w:eastAsia="zh-CN"/>
              </w:rPr>
              <w:t>.</w:t>
            </w:r>
            <w:r>
              <w:rPr>
                <w:rFonts w:hint="eastAsia" w:ascii="宋体" w:hAnsi="宋体" w:eastAsia="宋体" w:cs="宋体"/>
                <w:snapToGrid w:val="0"/>
                <w:color w:val="auto"/>
                <w:kern w:val="0"/>
                <w:szCs w:val="21"/>
                <w:highlight w:val="none"/>
              </w:rPr>
              <w:t>法定代表人为同一人的。</w:t>
            </w:r>
          </w:p>
          <w:p w14:paraId="4A80F19E">
            <w:pPr>
              <w:pStyle w:val="63"/>
              <w:wordWrap w:val="0"/>
              <w:adjustRightInd w:val="0"/>
              <w:snapToGrid w:val="0"/>
              <w:spacing w:line="240" w:lineRule="auto"/>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2</w:t>
            </w:r>
            <w:r>
              <w:rPr>
                <w:rFonts w:hint="eastAsia" w:ascii="宋体" w:hAnsi="宋体" w:eastAsia="宋体" w:cs="宋体"/>
                <w:snapToGrid w:val="0"/>
                <w:color w:val="auto"/>
                <w:kern w:val="0"/>
                <w:szCs w:val="21"/>
                <w:highlight w:val="none"/>
                <w:lang w:eastAsia="zh-CN"/>
              </w:rPr>
              <w:t>.</w:t>
            </w:r>
            <w:r>
              <w:rPr>
                <w:rFonts w:hint="eastAsia" w:ascii="宋体" w:hAnsi="宋体" w:eastAsia="宋体" w:cs="宋体"/>
                <w:snapToGrid w:val="0"/>
                <w:color w:val="auto"/>
                <w:kern w:val="0"/>
                <w:szCs w:val="21"/>
                <w:highlight w:val="none"/>
              </w:rPr>
              <w:t>存在控股、管理关系的。</w:t>
            </w:r>
          </w:p>
          <w:p w14:paraId="546624C5">
            <w:pPr>
              <w:pStyle w:val="63"/>
              <w:wordWrap w:val="0"/>
              <w:adjustRightInd w:val="0"/>
              <w:snapToGrid w:val="0"/>
              <w:spacing w:line="240" w:lineRule="auto"/>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3</w:t>
            </w:r>
            <w:r>
              <w:rPr>
                <w:rFonts w:hint="eastAsia" w:ascii="宋体" w:hAnsi="宋体" w:eastAsia="宋体" w:cs="宋体"/>
                <w:snapToGrid w:val="0"/>
                <w:color w:val="auto"/>
                <w:kern w:val="0"/>
                <w:szCs w:val="21"/>
                <w:highlight w:val="none"/>
                <w:lang w:eastAsia="zh-CN"/>
              </w:rPr>
              <w:t>.</w:t>
            </w:r>
            <w:r>
              <w:rPr>
                <w:rFonts w:hint="eastAsia" w:ascii="宋体" w:hAnsi="宋体" w:eastAsia="宋体" w:cs="宋体"/>
                <w:snapToGrid w:val="0"/>
                <w:color w:val="auto"/>
                <w:kern w:val="0"/>
                <w:szCs w:val="21"/>
                <w:highlight w:val="none"/>
              </w:rPr>
              <w:t>主要人员相互任职的。</w:t>
            </w:r>
          </w:p>
        </w:tc>
      </w:tr>
      <w:tr w14:paraId="116F9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85" w:type="dxa"/>
            <w:noWrap w:val="0"/>
            <w:vAlign w:val="center"/>
          </w:tcPr>
          <w:p w14:paraId="584EA065">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备注</w:t>
            </w:r>
          </w:p>
        </w:tc>
        <w:tc>
          <w:tcPr>
            <w:tcW w:w="7020" w:type="dxa"/>
            <w:gridSpan w:val="8"/>
            <w:noWrap w:val="0"/>
            <w:vAlign w:val="center"/>
          </w:tcPr>
          <w:p w14:paraId="124B712D">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p>
        </w:tc>
      </w:tr>
    </w:tbl>
    <w:p w14:paraId="4939D955">
      <w:pPr>
        <w:pStyle w:val="63"/>
        <w:keepNext w:val="0"/>
        <w:keepLines w:val="0"/>
        <w:pageBreakBefore w:val="0"/>
        <w:widowControl w:val="0"/>
        <w:kinsoku/>
        <w:wordWrap w:val="0"/>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说明：</w:t>
      </w:r>
    </w:p>
    <w:p w14:paraId="2014D061">
      <w:pPr>
        <w:pStyle w:val="63"/>
        <w:keepNext w:val="0"/>
        <w:keepLines w:val="0"/>
        <w:pageBreakBefore w:val="0"/>
        <w:widowControl w:val="0"/>
        <w:kinsoku/>
        <w:wordWrap w:val="0"/>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napToGrid w:val="0"/>
          <w:color w:val="auto"/>
          <w:kern w:val="0"/>
          <w:szCs w:val="21"/>
          <w:highlight w:val="none"/>
        </w:rPr>
      </w:pPr>
      <w:bookmarkStart w:id="320" w:name="_Toc32526"/>
      <w:r>
        <w:rPr>
          <w:rFonts w:hint="eastAsia" w:ascii="宋体" w:hAnsi="宋体" w:eastAsia="宋体" w:cs="宋体"/>
          <w:snapToGrid w:val="0"/>
          <w:color w:val="auto"/>
          <w:kern w:val="0"/>
          <w:szCs w:val="21"/>
          <w:highlight w:val="none"/>
        </w:rPr>
        <w:t>1</w:t>
      </w:r>
      <w:r>
        <w:rPr>
          <w:rFonts w:hint="eastAsia" w:ascii="宋体" w:hAnsi="宋体" w:eastAsia="宋体" w:cs="宋体"/>
          <w:snapToGrid w:val="0"/>
          <w:color w:val="auto"/>
          <w:kern w:val="0"/>
          <w:szCs w:val="21"/>
          <w:highlight w:val="none"/>
          <w:lang w:eastAsia="zh-CN"/>
        </w:rPr>
        <w:t>.</w:t>
      </w:r>
      <w:r>
        <w:rPr>
          <w:rFonts w:hint="eastAsia" w:ascii="宋体" w:hAnsi="宋体" w:eastAsia="宋体" w:cs="宋体"/>
          <w:snapToGrid w:val="0"/>
          <w:color w:val="auto"/>
          <w:kern w:val="0"/>
          <w:szCs w:val="21"/>
          <w:highlight w:val="none"/>
        </w:rPr>
        <w:t>《投标人基本情况表》后应附以下资料：</w:t>
      </w:r>
      <w:bookmarkEnd w:id="320"/>
    </w:p>
    <w:p w14:paraId="5FC0DE77">
      <w:pPr>
        <w:pStyle w:val="63"/>
        <w:keepNext w:val="0"/>
        <w:keepLines w:val="0"/>
        <w:pageBreakBefore w:val="0"/>
        <w:widowControl w:val="0"/>
        <w:kinsoku/>
        <w:wordWrap w:val="0"/>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（1）企业营业执照、资质证书、安全生产许可证的</w:t>
      </w:r>
      <w:r>
        <w:rPr>
          <w:rFonts w:hint="eastAsia" w:ascii="宋体" w:hAnsi="宋体" w:eastAsia="宋体" w:cs="宋体"/>
          <w:snapToGrid w:val="0"/>
          <w:color w:val="auto"/>
          <w:kern w:val="0"/>
          <w:szCs w:val="21"/>
          <w:highlight w:val="none"/>
          <w:lang w:val="en-US" w:eastAsia="zh-CN"/>
        </w:rPr>
        <w:t>（因推行电子证照，企业的营业执照、资质证书等可以提供电子证照。为实时掌握项目投标单位的是否具备企业安全生产条件，企业的安全生产许可证需提供企业实时网页查询页，实时查询页的打印时间应在项目招标公告发布之日起至开标前。企业的安全生产许可证实时网页查询路径：登录“中华人民共和国住房和城乡建设部”，进入 “全国工程质量安全监管信息平台公共服务门户”版块，具体网址为：https://zlaq.mohurd.gov.cn，进入后点击“安全生产许可证信息”，输入企业名称和统一社会信用代码即可查询。如中标后，投标单位安全生产许可证发生被暂扣情形，需双方另行协商）</w:t>
      </w:r>
      <w:r>
        <w:rPr>
          <w:rFonts w:hint="eastAsia" w:ascii="宋体" w:hAnsi="宋体" w:eastAsia="宋体" w:cs="宋体"/>
          <w:snapToGrid w:val="0"/>
          <w:color w:val="auto"/>
          <w:kern w:val="0"/>
          <w:szCs w:val="21"/>
          <w:highlight w:val="none"/>
        </w:rPr>
        <w:t>；</w:t>
      </w:r>
    </w:p>
    <w:p w14:paraId="07D556BE">
      <w:pPr>
        <w:pStyle w:val="63"/>
        <w:keepNext w:val="0"/>
        <w:keepLines w:val="0"/>
        <w:pageBreakBefore w:val="0"/>
        <w:widowControl w:val="0"/>
        <w:kinsoku/>
        <w:wordWrap w:val="0"/>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szCs w:val="21"/>
          <w:highlight w:val="none"/>
        </w:rPr>
        <w:t>（2）“进粤企业和人员诚信信</w:t>
      </w:r>
      <w:r>
        <w:rPr>
          <w:rFonts w:hint="eastAsia" w:ascii="宋体" w:hAnsi="宋体" w:eastAsia="宋体" w:cs="宋体"/>
          <w:snapToGrid w:val="0"/>
          <w:color w:val="auto"/>
          <w:kern w:val="0"/>
          <w:highlight w:val="none"/>
        </w:rPr>
        <w:t>息登记平台”企业信息情况打印页彩色扫描件或网页截图。（适用于省外建筑企业）；</w:t>
      </w:r>
    </w:p>
    <w:p w14:paraId="0280223A">
      <w:pPr>
        <w:pStyle w:val="63"/>
        <w:keepNext w:val="0"/>
        <w:keepLines w:val="0"/>
        <w:pageBreakBefore w:val="0"/>
        <w:widowControl w:val="0"/>
        <w:kinsoku/>
        <w:wordWrap w:val="0"/>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szCs w:val="21"/>
          <w:highlight w:val="none"/>
        </w:rPr>
        <w:t>（3）</w:t>
      </w:r>
      <w:r>
        <w:rPr>
          <w:rFonts w:hint="eastAsia" w:ascii="宋体" w:hAnsi="宋体" w:eastAsia="宋体" w:cs="宋体"/>
          <w:snapToGrid w:val="0"/>
          <w:color w:val="auto"/>
          <w:kern w:val="0"/>
          <w:highlight w:val="none"/>
        </w:rPr>
        <w:t>《法人和非法人组织公共信用信息报告》(在“信用中国”网站企业查询界面中下载) 。</w:t>
      </w:r>
    </w:p>
    <w:p w14:paraId="17DD4076">
      <w:pPr>
        <w:pStyle w:val="63"/>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auto"/>
          <w:kern w:val="0"/>
          <w:highlight w:val="none"/>
        </w:rPr>
      </w:pPr>
    </w:p>
    <w:p w14:paraId="426AAF63">
      <w:pPr>
        <w:spacing w:before="151" w:line="360" w:lineRule="auto"/>
        <w:ind w:left="476"/>
        <w:outlineLvl w:val="2"/>
        <w:rPr>
          <w:rFonts w:hint="eastAsia" w:ascii="宋体" w:hAnsi="宋体" w:eastAsia="宋体" w:cs="宋体"/>
          <w:b/>
          <w:bCs/>
          <w:color w:val="auto"/>
          <w:spacing w:val="-11"/>
          <w:sz w:val="24"/>
          <w:szCs w:val="24"/>
          <w:highlight w:val="none"/>
          <w:lang w:val="en-US" w:eastAsia="zh-CN"/>
        </w:rPr>
      </w:pPr>
      <w:bookmarkStart w:id="321" w:name="_Toc8882"/>
      <w:bookmarkStart w:id="322" w:name="_Toc15417"/>
      <w:r>
        <w:rPr>
          <w:rFonts w:hint="eastAsia" w:ascii="宋体" w:hAnsi="宋体" w:eastAsia="宋体" w:cs="宋体"/>
          <w:b/>
          <w:bCs/>
          <w:color w:val="auto"/>
          <w:spacing w:val="-11"/>
          <w:sz w:val="24"/>
          <w:szCs w:val="24"/>
          <w:highlight w:val="none"/>
          <w:lang w:val="en-US" w:eastAsia="zh-CN"/>
        </w:rPr>
        <w:t>格式七   项目经理简历表</w:t>
      </w:r>
      <w:bookmarkEnd w:id="321"/>
      <w:bookmarkEnd w:id="322"/>
    </w:p>
    <w:tbl>
      <w:tblPr>
        <w:tblStyle w:val="24"/>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5CB61F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1B56E75C">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姓   名</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57A85DF8">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0183A75B">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性  别</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3D4225FE">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0CA00F74">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年   龄</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1119A798">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r>
      <w:tr w14:paraId="69C63A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6D5BABFC">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职   务</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5A3C9DBA">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096336A2">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职  称</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24FF960B">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7BA84EC8">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学   历</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0484DC2F">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r>
      <w:tr w14:paraId="3E0CC2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41E1C2C6">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0"/>
            <w:vAlign w:val="center"/>
          </w:tcPr>
          <w:p w14:paraId="5C4DCE32">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3679" w:type="dxa"/>
            <w:gridSpan w:val="3"/>
            <w:tcBorders>
              <w:top w:val="single" w:color="auto" w:sz="6" w:space="0"/>
              <w:left w:val="single" w:color="auto" w:sz="6" w:space="0"/>
              <w:bottom w:val="single" w:color="auto" w:sz="6" w:space="0"/>
              <w:right w:val="single" w:color="auto" w:sz="6" w:space="0"/>
            </w:tcBorders>
            <w:noWrap w:val="0"/>
            <w:vAlign w:val="center"/>
          </w:tcPr>
          <w:p w14:paraId="5E576EDC">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7B9EDB8A">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r>
      <w:tr w14:paraId="495D64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0"/>
            <w:vAlign w:val="center"/>
          </w:tcPr>
          <w:p w14:paraId="23C21431">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以项目经理身份参与过的主要业绩（已完工项目）</w:t>
            </w:r>
          </w:p>
        </w:tc>
      </w:tr>
      <w:tr w14:paraId="3413EC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263FE250">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序号</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400952EE">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1C1CBA69">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3EC89A32">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建设内容和规模</w:t>
            </w:r>
          </w:p>
        </w:tc>
        <w:tc>
          <w:tcPr>
            <w:tcW w:w="1706" w:type="dxa"/>
            <w:tcBorders>
              <w:top w:val="single" w:color="auto" w:sz="6" w:space="0"/>
              <w:left w:val="single" w:color="auto" w:sz="6" w:space="0"/>
              <w:bottom w:val="single" w:color="auto" w:sz="6" w:space="0"/>
              <w:right w:val="single" w:color="auto" w:sz="6" w:space="0"/>
            </w:tcBorders>
            <w:noWrap w:val="0"/>
            <w:vAlign w:val="center"/>
          </w:tcPr>
          <w:p w14:paraId="6A7962DA">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开、竣工日期</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5A928A33">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质量等级</w:t>
            </w:r>
          </w:p>
        </w:tc>
      </w:tr>
      <w:tr w14:paraId="6653FD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69267416">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53458225">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63AD82C3">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749ADCEA">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309924B1">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22DC386C">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r>
      <w:tr w14:paraId="2475D5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22ABFA70">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6520A4CE">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7A91C045">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7A2077B4">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5518EA9E">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0AF2ECC2">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r>
      <w:tr w14:paraId="280BA6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69C3E400">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12E70523">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582ABA03">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06DB0CB3">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08565759">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5C2617EC">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r>
      <w:tr w14:paraId="1F5CA8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1CB66F22">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5F1A1B49">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375A3916">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05F95647">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224D1994">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72E536B2">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r>
    </w:tbl>
    <w:p w14:paraId="6CEDCDC0">
      <w:pPr>
        <w:jc w:val="center"/>
        <w:rPr>
          <w:rFonts w:hint="eastAsia" w:ascii="宋体" w:hAnsi="宋体" w:eastAsia="宋体" w:cs="宋体"/>
          <w:b/>
          <w:bCs/>
          <w:sz w:val="30"/>
          <w:szCs w:val="30"/>
        </w:rPr>
      </w:pPr>
      <w:bookmarkStart w:id="323" w:name="_Toc30114"/>
      <w:r>
        <w:rPr>
          <w:rFonts w:hint="eastAsia" w:ascii="宋体" w:hAnsi="宋体" w:eastAsia="宋体" w:cs="宋体"/>
          <w:b/>
          <w:bCs/>
          <w:sz w:val="30"/>
          <w:szCs w:val="30"/>
        </w:rPr>
        <w:t>项目经理简历表</w:t>
      </w:r>
      <w:bookmarkEnd w:id="323"/>
    </w:p>
    <w:p w14:paraId="5C260890">
      <w:pPr>
        <w:wordWrap w:val="0"/>
        <w:adjustRightInd w:val="0"/>
        <w:snapToGrid w:val="0"/>
        <w:spacing w:line="360" w:lineRule="auto"/>
        <w:ind w:firstLine="570"/>
        <w:rPr>
          <w:rFonts w:hint="eastAsia" w:ascii="宋体" w:hAnsi="宋体" w:eastAsia="宋体" w:cs="宋体"/>
          <w:snapToGrid w:val="0"/>
          <w:color w:val="auto"/>
          <w:kern w:val="0"/>
          <w:szCs w:val="28"/>
          <w:highlight w:val="none"/>
        </w:rPr>
      </w:pPr>
    </w:p>
    <w:p w14:paraId="7A758A19">
      <w:pPr>
        <w:pStyle w:val="61"/>
        <w:wordWrap w:val="0"/>
        <w:adjustRightInd w:val="0"/>
        <w:snapToGrid w:val="0"/>
        <w:spacing w:line="360" w:lineRule="auto"/>
        <w:jc w:val="right"/>
        <w:rPr>
          <w:rFonts w:hint="eastAsia" w:ascii="宋体" w:hAnsi="宋体" w:eastAsia="宋体" w:cs="宋体"/>
          <w:snapToGrid w:val="0"/>
          <w:color w:val="auto"/>
          <w:kern w:val="0"/>
          <w:highlight w:val="none"/>
        </w:rPr>
      </w:pPr>
    </w:p>
    <w:p w14:paraId="0CE73ABD">
      <w:pPr>
        <w:pStyle w:val="61"/>
        <w:wordWrap w:val="0"/>
        <w:adjustRightInd w:val="0"/>
        <w:snapToGrid w:val="0"/>
        <w:spacing w:line="360" w:lineRule="auto"/>
        <w:jc w:val="right"/>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项目经理：</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（签字）</w:t>
      </w:r>
    </w:p>
    <w:p w14:paraId="113DCC34">
      <w:pPr>
        <w:pStyle w:val="61"/>
        <w:wordWrap w:val="0"/>
        <w:adjustRightInd w:val="0"/>
        <w:snapToGrid w:val="0"/>
        <w:spacing w:line="360" w:lineRule="auto"/>
        <w:jc w:val="right"/>
        <w:rPr>
          <w:rFonts w:hint="eastAsia" w:ascii="宋体" w:hAnsi="宋体" w:eastAsia="宋体" w:cs="宋体"/>
          <w:snapToGrid w:val="0"/>
          <w:color w:val="auto"/>
          <w:kern w:val="0"/>
          <w:highlight w:val="none"/>
        </w:rPr>
      </w:pPr>
    </w:p>
    <w:p w14:paraId="3F546439">
      <w:pPr>
        <w:pStyle w:val="61"/>
        <w:wordWrap w:val="0"/>
        <w:adjustRightInd w:val="0"/>
        <w:snapToGrid w:val="0"/>
        <w:spacing w:line="360" w:lineRule="auto"/>
        <w:jc w:val="right"/>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 xml:space="preserve">                                     </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年</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月</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日</w:t>
      </w:r>
    </w:p>
    <w:p w14:paraId="6A2A543C">
      <w:pPr>
        <w:wordWrap w:val="0"/>
        <w:adjustRightInd w:val="0"/>
        <w:snapToGrid w:val="0"/>
        <w:spacing w:line="360" w:lineRule="auto"/>
        <w:ind w:firstLine="570"/>
        <w:rPr>
          <w:rFonts w:hint="eastAsia" w:ascii="宋体" w:hAnsi="宋体" w:eastAsia="宋体" w:cs="宋体"/>
          <w:snapToGrid w:val="0"/>
          <w:color w:val="auto"/>
          <w:kern w:val="0"/>
          <w:szCs w:val="28"/>
          <w:highlight w:val="none"/>
        </w:rPr>
      </w:pPr>
    </w:p>
    <w:p w14:paraId="59A691F7">
      <w:pPr>
        <w:wordWrap w:val="0"/>
        <w:adjustRightInd w:val="0"/>
        <w:snapToGrid w:val="0"/>
        <w:spacing w:line="360" w:lineRule="auto"/>
        <w:ind w:firstLine="420" w:firstLineChars="200"/>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说明：《项目经理简历表》后应附拟派项目经理以下资料：</w:t>
      </w:r>
    </w:p>
    <w:p w14:paraId="5C22EF16">
      <w:pPr>
        <w:wordWrap w:val="0"/>
        <w:adjustRightInd w:val="0"/>
        <w:snapToGrid w:val="0"/>
        <w:spacing w:line="360" w:lineRule="auto"/>
        <w:ind w:firstLine="420" w:firstLineChars="200"/>
        <w:rPr>
          <w:rFonts w:hint="eastAsia" w:ascii="宋体" w:hAnsi="宋体" w:eastAsia="宋体" w:cs="宋体"/>
          <w:snapToGrid w:val="0"/>
          <w:color w:val="auto"/>
          <w:kern w:val="0"/>
          <w:sz w:val="21"/>
          <w:szCs w:val="28"/>
          <w:highlight w:val="none"/>
        </w:rPr>
      </w:pPr>
      <w:bookmarkStart w:id="324" w:name="_Toc950"/>
      <w:r>
        <w:rPr>
          <w:rFonts w:hint="eastAsia" w:ascii="宋体" w:hAnsi="宋体" w:eastAsia="宋体" w:cs="宋体"/>
          <w:snapToGrid w:val="0"/>
          <w:color w:val="auto"/>
          <w:kern w:val="0"/>
          <w:sz w:val="21"/>
          <w:szCs w:val="28"/>
          <w:highlight w:val="none"/>
        </w:rPr>
        <w:t>1</w:t>
      </w:r>
      <w:r>
        <w:rPr>
          <w:rFonts w:hint="eastAsia" w:ascii="宋体" w:hAnsi="宋体" w:eastAsia="宋体" w:cs="宋体"/>
          <w:snapToGrid w:val="0"/>
          <w:color w:val="auto"/>
          <w:kern w:val="0"/>
          <w:sz w:val="21"/>
          <w:szCs w:val="28"/>
          <w:highlight w:val="none"/>
          <w:lang w:eastAsia="zh-CN"/>
        </w:rPr>
        <w:t>.</w:t>
      </w:r>
      <w:r>
        <w:rPr>
          <w:rFonts w:hint="eastAsia" w:ascii="宋体" w:hAnsi="宋体" w:eastAsia="宋体" w:cs="宋体"/>
          <w:snapToGrid w:val="0"/>
          <w:color w:val="auto"/>
          <w:kern w:val="0"/>
          <w:sz w:val="21"/>
          <w:szCs w:val="28"/>
          <w:highlight w:val="none"/>
        </w:rPr>
        <w:t>身份证彩色扫描件；</w:t>
      </w:r>
      <w:bookmarkEnd w:id="324"/>
    </w:p>
    <w:p w14:paraId="137698AC">
      <w:pPr>
        <w:wordWrap w:val="0"/>
        <w:adjustRightInd w:val="0"/>
        <w:snapToGrid w:val="0"/>
        <w:spacing w:line="360" w:lineRule="auto"/>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 xml:space="preserve"> </w:t>
      </w:r>
      <w:r>
        <w:rPr>
          <w:rFonts w:hint="eastAsia" w:ascii="宋体" w:hAnsi="宋体" w:eastAsia="宋体" w:cs="宋体"/>
          <w:snapToGrid w:val="0"/>
          <w:color w:val="auto"/>
          <w:kern w:val="0"/>
          <w:sz w:val="21"/>
          <w:szCs w:val="21"/>
          <w:highlight w:val="none"/>
        </w:rPr>
        <w:t xml:space="preserve">   2</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建造师电子注册证书（在使用有效期内的有效电子证书）；</w:t>
      </w:r>
    </w:p>
    <w:p w14:paraId="2F647E35">
      <w:pPr>
        <w:wordWrap w:val="0"/>
        <w:adjustRightInd w:val="0"/>
        <w:snapToGrid w:val="0"/>
        <w:spacing w:line="360" w:lineRule="auto"/>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 xml:space="preserve">    3</w:t>
      </w:r>
      <w:r>
        <w:rPr>
          <w:rFonts w:hint="eastAsia" w:ascii="宋体" w:hAnsi="宋体" w:eastAsia="宋体" w:cs="宋体"/>
          <w:snapToGrid w:val="0"/>
          <w:color w:val="auto"/>
          <w:kern w:val="0"/>
          <w:sz w:val="21"/>
          <w:szCs w:val="28"/>
          <w:highlight w:val="none"/>
          <w:lang w:eastAsia="zh-CN"/>
        </w:rPr>
        <w:t>.</w:t>
      </w:r>
      <w:r>
        <w:rPr>
          <w:rFonts w:hint="eastAsia" w:ascii="宋体" w:hAnsi="宋体" w:eastAsia="宋体" w:cs="宋体"/>
          <w:snapToGrid w:val="0"/>
          <w:color w:val="auto"/>
          <w:kern w:val="0"/>
          <w:sz w:val="21"/>
          <w:szCs w:val="28"/>
          <w:highlight w:val="none"/>
        </w:rPr>
        <w:t>B类安全生产考核合格证书彩色扫描件或广东省建筑施工企业管理人员安全生产考核系统考核合格信息；</w:t>
      </w:r>
    </w:p>
    <w:p w14:paraId="6A6DA73D">
      <w:pPr>
        <w:wordWrap w:val="0"/>
        <w:adjustRightInd w:val="0"/>
        <w:snapToGrid w:val="0"/>
        <w:spacing w:line="360" w:lineRule="auto"/>
        <w:ind w:firstLine="420" w:firstLineChars="200"/>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4</w:t>
      </w:r>
      <w:r>
        <w:rPr>
          <w:rFonts w:hint="eastAsia" w:ascii="宋体" w:hAnsi="宋体" w:eastAsia="宋体" w:cs="宋体"/>
          <w:snapToGrid w:val="0"/>
          <w:color w:val="auto"/>
          <w:kern w:val="0"/>
          <w:sz w:val="21"/>
          <w:szCs w:val="28"/>
          <w:highlight w:val="none"/>
          <w:lang w:eastAsia="zh-CN"/>
        </w:rPr>
        <w:t>.</w:t>
      </w:r>
      <w:r>
        <w:rPr>
          <w:rFonts w:hint="eastAsia" w:ascii="宋体" w:hAnsi="宋体" w:eastAsia="宋体" w:cs="宋体"/>
          <w:snapToGrid w:val="0"/>
          <w:color w:val="auto"/>
          <w:kern w:val="0"/>
          <w:sz w:val="21"/>
          <w:szCs w:val="28"/>
          <w:highlight w:val="none"/>
        </w:rPr>
        <w:t>在本单位缴纳社保的证明（</w:t>
      </w:r>
      <w:r>
        <w:rPr>
          <w:rFonts w:hint="eastAsia" w:ascii="宋体" w:hAnsi="宋体" w:eastAsia="宋体" w:cs="宋体"/>
          <w:snapToGrid w:val="0"/>
          <w:color w:val="auto"/>
          <w:kern w:val="0"/>
          <w:sz w:val="21"/>
          <w:szCs w:val="28"/>
          <w:highlight w:val="none"/>
          <w:lang w:eastAsia="zh-CN"/>
        </w:rPr>
        <w:t>至少一个月，其中必须有2025年</w:t>
      </w:r>
      <w:r>
        <w:rPr>
          <w:rFonts w:hint="eastAsia" w:ascii="宋体" w:hAnsi="宋体" w:eastAsia="宋体" w:cs="宋体"/>
          <w:snapToGrid w:val="0"/>
          <w:color w:val="auto"/>
          <w:kern w:val="0"/>
          <w:sz w:val="21"/>
          <w:szCs w:val="28"/>
          <w:highlight w:val="none"/>
          <w:lang w:val="en-US" w:eastAsia="zh-CN"/>
        </w:rPr>
        <w:t>7</w:t>
      </w:r>
      <w:r>
        <w:rPr>
          <w:rFonts w:hint="eastAsia" w:ascii="宋体" w:hAnsi="宋体" w:eastAsia="宋体" w:cs="宋体"/>
          <w:snapToGrid w:val="0"/>
          <w:color w:val="auto"/>
          <w:kern w:val="0"/>
          <w:sz w:val="21"/>
          <w:szCs w:val="28"/>
          <w:highlight w:val="none"/>
          <w:lang w:eastAsia="zh-CN"/>
        </w:rPr>
        <w:t>月</w:t>
      </w:r>
      <w:r>
        <w:rPr>
          <w:rFonts w:hint="eastAsia" w:ascii="宋体" w:hAnsi="宋体" w:eastAsia="宋体" w:cs="宋体"/>
          <w:snapToGrid w:val="0"/>
          <w:color w:val="auto"/>
          <w:kern w:val="0"/>
          <w:sz w:val="21"/>
          <w:szCs w:val="28"/>
          <w:highlight w:val="none"/>
        </w:rPr>
        <w:t>）彩色扫描件。拟派项目经理为退休返聘人员无法提供社保证明的，提供退休证和劳动合同彩色扫描件。</w:t>
      </w:r>
    </w:p>
    <w:p w14:paraId="1A0A328B">
      <w:pPr>
        <w:wordWrap w:val="0"/>
        <w:adjustRightInd w:val="0"/>
        <w:snapToGrid w:val="0"/>
        <w:spacing w:line="360" w:lineRule="auto"/>
        <w:ind w:firstLine="420" w:firstLineChars="200"/>
        <w:rPr>
          <w:rFonts w:hint="eastAsia" w:ascii="宋体" w:hAnsi="宋体" w:eastAsia="宋体" w:cs="宋体"/>
          <w:snapToGrid w:val="0"/>
          <w:color w:val="auto"/>
          <w:kern w:val="0"/>
          <w:sz w:val="21"/>
          <w:highlight w:val="none"/>
        </w:rPr>
      </w:pPr>
      <w:r>
        <w:rPr>
          <w:rFonts w:hint="eastAsia" w:ascii="宋体" w:hAnsi="宋体" w:eastAsia="宋体" w:cs="宋体"/>
          <w:snapToGrid w:val="0"/>
          <w:color w:val="auto"/>
          <w:kern w:val="0"/>
          <w:sz w:val="21"/>
          <w:szCs w:val="28"/>
          <w:highlight w:val="none"/>
        </w:rPr>
        <w:t>5</w:t>
      </w:r>
      <w:r>
        <w:rPr>
          <w:rFonts w:hint="eastAsia" w:ascii="宋体" w:hAnsi="宋体" w:eastAsia="宋体" w:cs="宋体"/>
          <w:snapToGrid w:val="0"/>
          <w:color w:val="auto"/>
          <w:kern w:val="0"/>
          <w:sz w:val="21"/>
          <w:szCs w:val="28"/>
          <w:highlight w:val="none"/>
          <w:lang w:eastAsia="zh-CN"/>
        </w:rPr>
        <w:t>.</w:t>
      </w:r>
      <w:r>
        <w:rPr>
          <w:rFonts w:hint="eastAsia" w:ascii="宋体" w:hAnsi="宋体" w:eastAsia="宋体" w:cs="宋体"/>
          <w:snapToGrid w:val="0"/>
          <w:color w:val="auto"/>
          <w:kern w:val="0"/>
          <w:sz w:val="21"/>
          <w:highlight w:val="none"/>
        </w:rPr>
        <w:t>“进粤企业和人员诚信信息登记平台”个人（项目经理等）信息情况截图。（适用于省外建筑企业）</w:t>
      </w:r>
    </w:p>
    <w:p w14:paraId="3BC740CB">
      <w:pPr>
        <w:rPr>
          <w:rFonts w:hint="eastAsia" w:ascii="宋体" w:hAnsi="宋体" w:eastAsia="宋体" w:cs="宋体"/>
        </w:rPr>
      </w:pPr>
    </w:p>
    <w:p w14:paraId="78BD32D6">
      <w:pPr>
        <w:rPr>
          <w:rFonts w:hint="eastAsia" w:ascii="宋体" w:hAnsi="宋体" w:eastAsia="宋体" w:cs="宋体"/>
        </w:rPr>
      </w:pPr>
    </w:p>
    <w:p w14:paraId="5A2A6006">
      <w:pPr>
        <w:rPr>
          <w:rFonts w:hint="eastAsia" w:ascii="宋体" w:hAnsi="宋体" w:eastAsia="宋体" w:cs="宋体"/>
        </w:rPr>
      </w:pPr>
    </w:p>
    <w:p w14:paraId="79CFF234">
      <w:pPr>
        <w:rPr>
          <w:rFonts w:hint="eastAsia" w:ascii="宋体" w:hAnsi="宋体" w:eastAsia="宋体" w:cs="宋体"/>
        </w:rPr>
      </w:pPr>
    </w:p>
    <w:p w14:paraId="161307C0">
      <w:pPr>
        <w:rPr>
          <w:rFonts w:hint="eastAsia" w:ascii="宋体" w:hAnsi="宋体" w:eastAsia="宋体" w:cs="宋体"/>
        </w:rPr>
      </w:pPr>
    </w:p>
    <w:p w14:paraId="53B5F7AD">
      <w:pPr>
        <w:rPr>
          <w:rFonts w:hint="eastAsia" w:ascii="宋体" w:hAnsi="宋体" w:eastAsia="宋体" w:cs="宋体"/>
        </w:rPr>
      </w:pPr>
    </w:p>
    <w:p w14:paraId="18551E3D">
      <w:pPr>
        <w:rPr>
          <w:rFonts w:hint="eastAsia" w:ascii="宋体" w:hAnsi="宋体" w:eastAsia="宋体" w:cs="宋体"/>
        </w:rPr>
      </w:pPr>
    </w:p>
    <w:p w14:paraId="582DBCE8">
      <w:pPr>
        <w:spacing w:before="151" w:line="360" w:lineRule="auto"/>
        <w:ind w:left="476"/>
        <w:outlineLvl w:val="2"/>
        <w:rPr>
          <w:rFonts w:hint="eastAsia" w:ascii="宋体" w:hAnsi="宋体" w:eastAsia="宋体" w:cs="宋体"/>
          <w:b/>
          <w:bCs/>
          <w:color w:val="auto"/>
          <w:spacing w:val="-11"/>
          <w:sz w:val="24"/>
          <w:szCs w:val="24"/>
          <w:highlight w:val="none"/>
          <w:lang w:val="en-US" w:eastAsia="zh-CN"/>
        </w:rPr>
      </w:pPr>
      <w:bookmarkStart w:id="325" w:name="_Toc17035"/>
      <w:bookmarkStart w:id="326" w:name="_Toc25955"/>
      <w:r>
        <w:rPr>
          <w:rFonts w:hint="eastAsia" w:ascii="宋体" w:hAnsi="宋体" w:eastAsia="宋体" w:cs="宋体"/>
          <w:b/>
          <w:bCs/>
          <w:color w:val="auto"/>
          <w:spacing w:val="-11"/>
          <w:sz w:val="24"/>
          <w:szCs w:val="24"/>
          <w:highlight w:val="none"/>
          <w:lang w:val="en-US" w:eastAsia="zh-CN"/>
        </w:rPr>
        <w:t>格式八   项目经理任职声明</w:t>
      </w:r>
      <w:bookmarkEnd w:id="325"/>
      <w:bookmarkEnd w:id="326"/>
    </w:p>
    <w:p w14:paraId="6509A88D">
      <w:pPr>
        <w:wordWrap w:val="0"/>
        <w:adjustRightInd w:val="0"/>
        <w:snapToGrid w:val="0"/>
        <w:spacing w:before="260" w:after="260" w:line="360" w:lineRule="auto"/>
        <w:jc w:val="center"/>
        <w:rPr>
          <w:rFonts w:hint="eastAsia" w:ascii="宋体" w:hAnsi="宋体" w:eastAsia="宋体" w:cs="宋体"/>
          <w:snapToGrid w:val="0"/>
          <w:color w:val="auto"/>
          <w:kern w:val="0"/>
          <w:szCs w:val="28"/>
          <w:highlight w:val="none"/>
        </w:rPr>
      </w:pPr>
      <w:r>
        <w:rPr>
          <w:rFonts w:hint="eastAsia" w:ascii="宋体" w:hAnsi="宋体" w:eastAsia="宋体" w:cs="宋体"/>
          <w:b/>
          <w:snapToGrid w:val="0"/>
          <w:color w:val="auto"/>
          <w:kern w:val="0"/>
          <w:sz w:val="30"/>
          <w:highlight w:val="none"/>
        </w:rPr>
        <w:t>项目经理任职声明</w:t>
      </w:r>
    </w:p>
    <w:p w14:paraId="73DA9097">
      <w:pPr>
        <w:wordWrap w:val="0"/>
        <w:adjustRightInd w:val="0"/>
        <w:snapToGrid w:val="0"/>
        <w:spacing w:line="360" w:lineRule="auto"/>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致：</w:t>
      </w:r>
      <w:r>
        <w:rPr>
          <w:rFonts w:hint="eastAsia" w:ascii="宋体" w:hAnsi="宋体" w:eastAsia="宋体" w:cs="宋体"/>
          <w:snapToGrid w:val="0"/>
          <w:color w:val="auto"/>
          <w:kern w:val="0"/>
          <w:szCs w:val="28"/>
          <w:highlight w:val="none"/>
          <w:u w:val="single"/>
        </w:rPr>
        <w:t xml:space="preserve">                   </w:t>
      </w:r>
      <w:r>
        <w:rPr>
          <w:rFonts w:hint="eastAsia" w:ascii="宋体" w:hAnsi="宋体" w:eastAsia="宋体" w:cs="宋体"/>
          <w:snapToGrid w:val="0"/>
          <w:color w:val="auto"/>
          <w:kern w:val="0"/>
          <w:szCs w:val="28"/>
          <w:highlight w:val="none"/>
        </w:rPr>
        <w:t>（招标人名称）：</w:t>
      </w:r>
    </w:p>
    <w:p w14:paraId="699AA83C">
      <w:pPr>
        <w:wordWrap w:val="0"/>
        <w:adjustRightInd w:val="0"/>
        <w:snapToGrid w:val="0"/>
        <w:spacing w:line="360" w:lineRule="auto"/>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　　我方在此声明，我方拟派往</w:t>
      </w:r>
      <w:r>
        <w:rPr>
          <w:rFonts w:hint="eastAsia" w:ascii="宋体" w:hAnsi="宋体" w:eastAsia="宋体" w:cs="宋体"/>
          <w:snapToGrid w:val="0"/>
          <w:color w:val="auto"/>
          <w:kern w:val="0"/>
          <w:szCs w:val="28"/>
          <w:highlight w:val="none"/>
          <w:u w:val="single"/>
        </w:rPr>
        <w:t xml:space="preserve">        </w:t>
      </w:r>
      <w:r>
        <w:rPr>
          <w:rFonts w:hint="eastAsia" w:ascii="宋体" w:hAnsi="宋体" w:eastAsia="宋体" w:cs="宋体"/>
          <w:snapToGrid w:val="0"/>
          <w:color w:val="auto"/>
          <w:kern w:val="0"/>
          <w:szCs w:val="28"/>
          <w:highlight w:val="none"/>
        </w:rPr>
        <w:t>（项目名称）的项目经理</w:t>
      </w:r>
      <w:r>
        <w:rPr>
          <w:rFonts w:hint="eastAsia" w:ascii="宋体" w:hAnsi="宋体" w:eastAsia="宋体" w:cs="宋体"/>
          <w:snapToGrid w:val="0"/>
          <w:color w:val="auto"/>
          <w:kern w:val="0"/>
          <w:szCs w:val="28"/>
          <w:highlight w:val="none"/>
          <w:u w:val="single"/>
        </w:rPr>
        <w:t xml:space="preserve">           </w:t>
      </w:r>
      <w:r>
        <w:rPr>
          <w:rFonts w:hint="eastAsia" w:ascii="宋体" w:hAnsi="宋体" w:eastAsia="宋体" w:cs="宋体"/>
          <w:snapToGrid w:val="0"/>
          <w:color w:val="auto"/>
          <w:kern w:val="0"/>
          <w:szCs w:val="28"/>
          <w:highlight w:val="none"/>
        </w:rPr>
        <w:t>（项目经理姓名）现阶段没有担任任何在施（包括已中标未开工、已开工未竣工）建设工程项目的项目经理。</w:t>
      </w:r>
    </w:p>
    <w:p w14:paraId="5575BC8B">
      <w:pPr>
        <w:wordWrap w:val="0"/>
        <w:adjustRightInd w:val="0"/>
        <w:snapToGrid w:val="0"/>
        <w:spacing w:line="360" w:lineRule="auto"/>
        <w:ind w:firstLine="480"/>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我方保证上述信息的真实和准确，并愿意承担因我方就此弄虚作假所引起的一切法律后果。</w:t>
      </w:r>
    </w:p>
    <w:p w14:paraId="60348B3F">
      <w:pPr>
        <w:wordWrap w:val="0"/>
        <w:adjustRightInd w:val="0"/>
        <w:snapToGrid w:val="0"/>
        <w:spacing w:line="360" w:lineRule="auto"/>
        <w:ind w:firstLine="480"/>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　　</w:t>
      </w:r>
    </w:p>
    <w:p w14:paraId="10BE7076">
      <w:pPr>
        <w:wordWrap w:val="0"/>
        <w:adjustRightInd w:val="0"/>
        <w:snapToGrid w:val="0"/>
        <w:spacing w:line="360" w:lineRule="auto"/>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　　特此承诺　　</w:t>
      </w:r>
    </w:p>
    <w:p w14:paraId="5BFD446E">
      <w:pPr>
        <w:rPr>
          <w:rFonts w:hint="eastAsia" w:ascii="宋体" w:hAnsi="宋体" w:eastAsia="宋体" w:cs="宋体"/>
        </w:rPr>
      </w:pPr>
      <w:r>
        <w:rPr>
          <w:rFonts w:hint="eastAsia" w:ascii="宋体" w:hAnsi="宋体" w:eastAsia="宋体" w:cs="宋体"/>
          <w:snapToGrid w:val="0"/>
          <w:color w:val="auto"/>
          <w:kern w:val="0"/>
          <w:szCs w:val="28"/>
          <w:highlight w:val="none"/>
        </w:rPr>
        <w:t>　</w:t>
      </w:r>
    </w:p>
    <w:p w14:paraId="37BD09A4">
      <w:pPr>
        <w:rPr>
          <w:rFonts w:hint="eastAsia" w:ascii="宋体" w:hAnsi="宋体" w:eastAsia="宋体" w:cs="宋体"/>
        </w:rPr>
      </w:pPr>
      <w:r>
        <w:rPr>
          <w:rFonts w:hint="eastAsia" w:ascii="宋体" w:hAnsi="宋体" w:eastAsia="宋体" w:cs="宋体"/>
        </w:rPr>
        <w:t>　</w:t>
      </w:r>
    </w:p>
    <w:p w14:paraId="38BA62EC">
      <w:pPr>
        <w:wordWrap w:val="0"/>
        <w:adjustRightInd w:val="0"/>
        <w:snapToGrid w:val="0"/>
        <w:spacing w:line="360" w:lineRule="auto"/>
        <w:jc w:val="right"/>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投标人：</w:t>
      </w:r>
      <w:r>
        <w:rPr>
          <w:rFonts w:hint="eastAsia" w:ascii="宋体" w:hAnsi="宋体" w:eastAsia="宋体" w:cs="宋体"/>
          <w:snapToGrid w:val="0"/>
          <w:color w:val="auto"/>
          <w:kern w:val="0"/>
          <w:szCs w:val="28"/>
          <w:highlight w:val="none"/>
          <w:u w:val="single"/>
        </w:rPr>
        <w:t xml:space="preserve">                                </w:t>
      </w:r>
      <w:r>
        <w:rPr>
          <w:rFonts w:hint="eastAsia" w:ascii="宋体" w:hAnsi="宋体" w:eastAsia="宋体" w:cs="宋体"/>
          <w:snapToGrid w:val="0"/>
          <w:color w:val="auto"/>
          <w:kern w:val="0"/>
          <w:szCs w:val="28"/>
          <w:highlight w:val="none"/>
        </w:rPr>
        <w:t>（盖单位章）</w:t>
      </w:r>
    </w:p>
    <w:p w14:paraId="2D3E5E4F">
      <w:pPr>
        <w:wordWrap w:val="0"/>
        <w:adjustRightInd w:val="0"/>
        <w:snapToGrid w:val="0"/>
        <w:spacing w:line="360" w:lineRule="auto"/>
        <w:jc w:val="right"/>
        <w:rPr>
          <w:rFonts w:hint="eastAsia" w:ascii="宋体" w:hAnsi="宋体" w:eastAsia="宋体" w:cs="宋体"/>
          <w:snapToGrid w:val="0"/>
          <w:color w:val="auto"/>
          <w:kern w:val="0"/>
          <w:szCs w:val="28"/>
          <w:highlight w:val="none"/>
        </w:rPr>
      </w:pPr>
    </w:p>
    <w:p w14:paraId="4EE621C8">
      <w:pPr>
        <w:wordWrap w:val="0"/>
        <w:adjustRightInd w:val="0"/>
        <w:snapToGrid w:val="0"/>
        <w:spacing w:line="360" w:lineRule="auto"/>
        <w:jc w:val="right"/>
        <w:rPr>
          <w:rFonts w:hint="eastAsia" w:ascii="宋体" w:hAnsi="宋体" w:eastAsia="宋体" w:cs="宋体"/>
          <w:snapToGrid w:val="0"/>
          <w:color w:val="auto"/>
          <w:kern w:val="0"/>
          <w:szCs w:val="28"/>
          <w:highlight w:val="none"/>
        </w:rPr>
      </w:pPr>
    </w:p>
    <w:p w14:paraId="1BD82FD6">
      <w:pPr>
        <w:wordWrap w:val="0"/>
        <w:adjustRightInd w:val="0"/>
        <w:snapToGrid w:val="0"/>
        <w:spacing w:line="360" w:lineRule="auto"/>
        <w:jc w:val="right"/>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法定代表人或其委托代理人：</w:t>
      </w:r>
      <w:r>
        <w:rPr>
          <w:rFonts w:hint="eastAsia" w:ascii="宋体" w:hAnsi="宋体" w:eastAsia="宋体" w:cs="宋体"/>
          <w:snapToGrid w:val="0"/>
          <w:color w:val="auto"/>
          <w:kern w:val="0"/>
          <w:szCs w:val="28"/>
          <w:highlight w:val="none"/>
          <w:u w:val="single"/>
        </w:rPr>
        <w:t xml:space="preserve">             </w:t>
      </w:r>
      <w:r>
        <w:rPr>
          <w:rFonts w:hint="eastAsia" w:ascii="宋体" w:hAnsi="宋体" w:eastAsia="宋体" w:cs="宋体"/>
          <w:snapToGrid w:val="0"/>
          <w:color w:val="auto"/>
          <w:kern w:val="0"/>
          <w:szCs w:val="28"/>
          <w:highlight w:val="none"/>
        </w:rPr>
        <w:t>（签字或盖章）</w:t>
      </w:r>
    </w:p>
    <w:p w14:paraId="3E30BC6E">
      <w:pPr>
        <w:wordWrap w:val="0"/>
        <w:adjustRightInd w:val="0"/>
        <w:snapToGrid w:val="0"/>
        <w:spacing w:line="360" w:lineRule="auto"/>
        <w:jc w:val="right"/>
        <w:rPr>
          <w:rFonts w:hint="eastAsia" w:ascii="宋体" w:hAnsi="宋体" w:eastAsia="宋体" w:cs="宋体"/>
          <w:snapToGrid w:val="0"/>
          <w:color w:val="auto"/>
          <w:kern w:val="0"/>
          <w:szCs w:val="28"/>
          <w:highlight w:val="none"/>
        </w:rPr>
      </w:pPr>
    </w:p>
    <w:p w14:paraId="2EEA4A8A">
      <w:pPr>
        <w:wordWrap w:val="0"/>
        <w:adjustRightInd w:val="0"/>
        <w:snapToGrid w:val="0"/>
        <w:spacing w:line="360" w:lineRule="auto"/>
        <w:jc w:val="right"/>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 xml:space="preserve">                            </w:t>
      </w:r>
      <w:r>
        <w:rPr>
          <w:rFonts w:hint="eastAsia" w:ascii="宋体" w:hAnsi="宋体" w:eastAsia="宋体" w:cs="宋体"/>
          <w:snapToGrid w:val="0"/>
          <w:color w:val="auto"/>
          <w:kern w:val="0"/>
          <w:szCs w:val="28"/>
          <w:highlight w:val="none"/>
          <w:u w:val="single"/>
        </w:rPr>
        <w:t xml:space="preserve">         </w:t>
      </w:r>
      <w:r>
        <w:rPr>
          <w:rFonts w:hint="eastAsia" w:ascii="宋体" w:hAnsi="宋体" w:eastAsia="宋体" w:cs="宋体"/>
          <w:snapToGrid w:val="0"/>
          <w:color w:val="auto"/>
          <w:kern w:val="0"/>
          <w:szCs w:val="28"/>
          <w:highlight w:val="none"/>
        </w:rPr>
        <w:t>年</w:t>
      </w:r>
      <w:r>
        <w:rPr>
          <w:rFonts w:hint="eastAsia" w:ascii="宋体" w:hAnsi="宋体" w:eastAsia="宋体" w:cs="宋体"/>
          <w:snapToGrid w:val="0"/>
          <w:color w:val="auto"/>
          <w:kern w:val="0"/>
          <w:szCs w:val="28"/>
          <w:highlight w:val="none"/>
          <w:u w:val="single"/>
        </w:rPr>
        <w:t xml:space="preserve">        </w:t>
      </w:r>
      <w:r>
        <w:rPr>
          <w:rFonts w:hint="eastAsia" w:ascii="宋体" w:hAnsi="宋体" w:eastAsia="宋体" w:cs="宋体"/>
          <w:snapToGrid w:val="0"/>
          <w:color w:val="auto"/>
          <w:kern w:val="0"/>
          <w:szCs w:val="28"/>
          <w:highlight w:val="none"/>
        </w:rPr>
        <w:t>月</w:t>
      </w:r>
      <w:r>
        <w:rPr>
          <w:rFonts w:hint="eastAsia" w:ascii="宋体" w:hAnsi="宋体" w:eastAsia="宋体" w:cs="宋体"/>
          <w:snapToGrid w:val="0"/>
          <w:color w:val="auto"/>
          <w:kern w:val="0"/>
          <w:szCs w:val="28"/>
          <w:highlight w:val="none"/>
          <w:u w:val="single"/>
        </w:rPr>
        <w:t xml:space="preserve">        </w:t>
      </w:r>
      <w:r>
        <w:rPr>
          <w:rFonts w:hint="eastAsia" w:ascii="宋体" w:hAnsi="宋体" w:eastAsia="宋体" w:cs="宋体"/>
          <w:snapToGrid w:val="0"/>
          <w:color w:val="auto"/>
          <w:kern w:val="0"/>
          <w:szCs w:val="28"/>
          <w:highlight w:val="none"/>
        </w:rPr>
        <w:t>日</w:t>
      </w:r>
    </w:p>
    <w:p w14:paraId="1CBEEDFF">
      <w:pPr>
        <w:rPr>
          <w:rFonts w:hint="eastAsia" w:ascii="宋体" w:hAnsi="宋体" w:eastAsia="宋体" w:cs="宋体"/>
        </w:rPr>
      </w:pPr>
    </w:p>
    <w:p w14:paraId="4C3B3340">
      <w:pPr>
        <w:rPr>
          <w:rFonts w:hint="eastAsia" w:ascii="宋体" w:hAnsi="宋体" w:eastAsia="宋体" w:cs="宋体"/>
        </w:rPr>
      </w:pPr>
    </w:p>
    <w:p w14:paraId="3085189B">
      <w:pPr>
        <w:rPr>
          <w:rFonts w:hint="eastAsia" w:ascii="宋体" w:hAnsi="宋体" w:eastAsia="宋体" w:cs="宋体"/>
        </w:rPr>
      </w:pPr>
    </w:p>
    <w:p w14:paraId="28919134">
      <w:pPr>
        <w:rPr>
          <w:rFonts w:hint="eastAsia" w:ascii="宋体" w:hAnsi="宋体" w:eastAsia="宋体" w:cs="宋体"/>
        </w:rPr>
      </w:pPr>
    </w:p>
    <w:p w14:paraId="6F63443F">
      <w:pPr>
        <w:rPr>
          <w:rFonts w:hint="eastAsia" w:ascii="宋体" w:hAnsi="宋体" w:eastAsia="宋体" w:cs="宋体"/>
        </w:rPr>
      </w:pPr>
    </w:p>
    <w:p w14:paraId="7826462E">
      <w:pPr>
        <w:rPr>
          <w:rFonts w:hint="eastAsia" w:ascii="宋体" w:hAnsi="宋体" w:eastAsia="宋体" w:cs="宋体"/>
        </w:rPr>
      </w:pPr>
    </w:p>
    <w:p w14:paraId="47844A6D">
      <w:pPr>
        <w:rPr>
          <w:rFonts w:hint="eastAsia" w:ascii="宋体" w:hAnsi="宋体" w:eastAsia="宋体" w:cs="宋体"/>
        </w:rPr>
      </w:pPr>
    </w:p>
    <w:p w14:paraId="0AC09AE7">
      <w:pPr>
        <w:rPr>
          <w:rFonts w:hint="eastAsia" w:ascii="宋体" w:hAnsi="宋体" w:eastAsia="宋体" w:cs="宋体"/>
        </w:rPr>
      </w:pPr>
    </w:p>
    <w:p w14:paraId="08929D72">
      <w:pPr>
        <w:rPr>
          <w:rFonts w:hint="eastAsia" w:ascii="宋体" w:hAnsi="宋体" w:eastAsia="宋体" w:cs="宋体"/>
        </w:rPr>
      </w:pPr>
    </w:p>
    <w:p w14:paraId="7B5D25EE">
      <w:pPr>
        <w:rPr>
          <w:rFonts w:hint="eastAsia" w:ascii="宋体" w:hAnsi="宋体" w:eastAsia="宋体" w:cs="宋体"/>
        </w:rPr>
      </w:pPr>
    </w:p>
    <w:p w14:paraId="3341094E">
      <w:pPr>
        <w:rPr>
          <w:rFonts w:hint="eastAsia" w:ascii="宋体" w:hAnsi="宋体" w:eastAsia="宋体" w:cs="宋体"/>
        </w:rPr>
      </w:pPr>
    </w:p>
    <w:p w14:paraId="37995BE5">
      <w:pPr>
        <w:rPr>
          <w:rFonts w:hint="eastAsia" w:ascii="宋体" w:hAnsi="宋体" w:eastAsia="宋体" w:cs="宋体"/>
        </w:rPr>
      </w:pPr>
    </w:p>
    <w:p w14:paraId="3F9FE769">
      <w:pPr>
        <w:rPr>
          <w:rFonts w:hint="eastAsia" w:ascii="宋体" w:hAnsi="宋体" w:eastAsia="宋体" w:cs="宋体"/>
        </w:rPr>
      </w:pPr>
    </w:p>
    <w:p w14:paraId="6B60A7C9">
      <w:pPr>
        <w:rPr>
          <w:rFonts w:hint="eastAsia" w:ascii="宋体" w:hAnsi="宋体" w:eastAsia="宋体" w:cs="宋体"/>
        </w:rPr>
      </w:pPr>
    </w:p>
    <w:p w14:paraId="217BAFFE">
      <w:pPr>
        <w:rPr>
          <w:rFonts w:hint="eastAsia" w:ascii="宋体" w:hAnsi="宋体" w:eastAsia="宋体" w:cs="宋体"/>
        </w:rPr>
      </w:pPr>
    </w:p>
    <w:p w14:paraId="35AEEA01">
      <w:pPr>
        <w:rPr>
          <w:rFonts w:hint="eastAsia" w:ascii="宋体" w:hAnsi="宋体" w:eastAsia="宋体" w:cs="宋体"/>
        </w:rPr>
      </w:pPr>
    </w:p>
    <w:p w14:paraId="377F15E3">
      <w:pPr>
        <w:rPr>
          <w:rFonts w:hint="eastAsia" w:ascii="宋体" w:hAnsi="宋体" w:eastAsia="宋体" w:cs="宋体"/>
        </w:rPr>
      </w:pPr>
    </w:p>
    <w:p w14:paraId="262F290D">
      <w:pPr>
        <w:rPr>
          <w:rFonts w:hint="eastAsia" w:ascii="宋体" w:hAnsi="宋体" w:eastAsia="宋体" w:cs="宋体"/>
        </w:rPr>
      </w:pPr>
    </w:p>
    <w:p w14:paraId="2C8F7B84">
      <w:pPr>
        <w:rPr>
          <w:rFonts w:hint="eastAsia" w:ascii="宋体" w:hAnsi="宋体" w:eastAsia="宋体" w:cs="宋体"/>
        </w:rPr>
      </w:pPr>
    </w:p>
    <w:p w14:paraId="06F11753">
      <w:pPr>
        <w:rPr>
          <w:rFonts w:hint="eastAsia" w:ascii="宋体" w:hAnsi="宋体" w:eastAsia="宋体" w:cs="宋体"/>
        </w:rPr>
      </w:pPr>
    </w:p>
    <w:p w14:paraId="6089CE80">
      <w:pPr>
        <w:rPr>
          <w:rFonts w:hint="eastAsia" w:ascii="宋体" w:hAnsi="宋体" w:eastAsia="宋体" w:cs="宋体"/>
        </w:rPr>
      </w:pPr>
    </w:p>
    <w:p w14:paraId="2331CFC2">
      <w:pPr>
        <w:rPr>
          <w:rFonts w:hint="eastAsia" w:ascii="宋体" w:hAnsi="宋体" w:eastAsia="宋体" w:cs="宋体"/>
        </w:rPr>
      </w:pPr>
    </w:p>
    <w:p w14:paraId="1BAA40A1">
      <w:pPr>
        <w:rPr>
          <w:rFonts w:hint="eastAsia" w:ascii="宋体" w:hAnsi="宋体" w:eastAsia="宋体" w:cs="宋体"/>
        </w:rPr>
      </w:pPr>
    </w:p>
    <w:p w14:paraId="1AA3FA13">
      <w:pPr>
        <w:rPr>
          <w:rFonts w:hint="eastAsia" w:ascii="宋体" w:hAnsi="宋体" w:eastAsia="宋体" w:cs="宋体"/>
        </w:rPr>
      </w:pPr>
    </w:p>
    <w:p w14:paraId="7451E2F5">
      <w:pPr>
        <w:rPr>
          <w:rFonts w:hint="eastAsia" w:ascii="宋体" w:hAnsi="宋体" w:eastAsia="宋体" w:cs="宋体"/>
        </w:rPr>
      </w:pPr>
    </w:p>
    <w:p w14:paraId="7EE4AA48">
      <w:pPr>
        <w:rPr>
          <w:rFonts w:hint="eastAsia" w:ascii="宋体" w:hAnsi="宋体" w:eastAsia="宋体" w:cs="宋体"/>
        </w:rPr>
      </w:pPr>
    </w:p>
    <w:p w14:paraId="2707167B">
      <w:pPr>
        <w:rPr>
          <w:rFonts w:hint="eastAsia" w:ascii="宋体" w:hAnsi="宋体" w:eastAsia="宋体" w:cs="宋体"/>
        </w:rPr>
      </w:pPr>
    </w:p>
    <w:p w14:paraId="4B8AAD12">
      <w:pPr>
        <w:spacing w:before="151" w:line="360" w:lineRule="auto"/>
        <w:ind w:left="476"/>
        <w:outlineLvl w:val="2"/>
        <w:rPr>
          <w:rFonts w:hint="eastAsia" w:ascii="宋体" w:hAnsi="宋体" w:eastAsia="宋体" w:cs="宋体"/>
          <w:b/>
          <w:bCs/>
          <w:color w:val="auto"/>
          <w:spacing w:val="-11"/>
          <w:sz w:val="24"/>
          <w:szCs w:val="24"/>
          <w:highlight w:val="none"/>
          <w:lang w:val="en-US" w:eastAsia="zh-CN"/>
        </w:rPr>
      </w:pPr>
      <w:bookmarkStart w:id="327" w:name="_Toc4068"/>
      <w:bookmarkStart w:id="328" w:name="_Toc8772"/>
      <w:r>
        <w:rPr>
          <w:rFonts w:hint="eastAsia" w:ascii="宋体" w:hAnsi="宋体" w:eastAsia="宋体" w:cs="宋体"/>
          <w:b/>
          <w:bCs/>
          <w:color w:val="auto"/>
          <w:spacing w:val="-11"/>
          <w:sz w:val="24"/>
          <w:szCs w:val="24"/>
          <w:highlight w:val="none"/>
          <w:lang w:val="en-US" w:eastAsia="zh-CN"/>
        </w:rPr>
        <w:t>格式九   项目技术负责人简历表</w:t>
      </w:r>
      <w:bookmarkEnd w:id="327"/>
      <w:bookmarkEnd w:id="328"/>
    </w:p>
    <w:tbl>
      <w:tblPr>
        <w:tblStyle w:val="24"/>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5F00A1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5F005AAB">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姓   名</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34B5C25B">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21000750">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性  别</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5E8C331C">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68E70043">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年   龄</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2DE87322">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r>
      <w:tr w14:paraId="5CC5B1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68FB1AA7">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职   务</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4F88072B">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74DF9C1D">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职  称</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31F6F541">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2A2AD93F">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学   历</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61B398F7">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r>
      <w:tr w14:paraId="4B59E0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1EE64420">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0"/>
            <w:vAlign w:val="center"/>
          </w:tcPr>
          <w:p w14:paraId="098466A8">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3679" w:type="dxa"/>
            <w:gridSpan w:val="3"/>
            <w:tcBorders>
              <w:top w:val="single" w:color="auto" w:sz="6" w:space="0"/>
              <w:left w:val="single" w:color="auto" w:sz="6" w:space="0"/>
              <w:bottom w:val="single" w:color="auto" w:sz="6" w:space="0"/>
              <w:right w:val="single" w:color="auto" w:sz="6" w:space="0"/>
            </w:tcBorders>
            <w:noWrap w:val="0"/>
            <w:vAlign w:val="center"/>
          </w:tcPr>
          <w:p w14:paraId="7444F551">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3E754BA9">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r>
      <w:tr w14:paraId="165619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0"/>
            <w:vAlign w:val="center"/>
          </w:tcPr>
          <w:p w14:paraId="104EB15B">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以项目技术负责人身份参与过的主要业绩（已完工项目）</w:t>
            </w:r>
          </w:p>
        </w:tc>
      </w:tr>
      <w:tr w14:paraId="763CE6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62E37353">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序号</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0DE7A2D2">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60F15C69">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3988C705">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建设内容和规模</w:t>
            </w:r>
          </w:p>
        </w:tc>
        <w:tc>
          <w:tcPr>
            <w:tcW w:w="1706" w:type="dxa"/>
            <w:tcBorders>
              <w:top w:val="single" w:color="auto" w:sz="6" w:space="0"/>
              <w:left w:val="single" w:color="auto" w:sz="6" w:space="0"/>
              <w:bottom w:val="single" w:color="auto" w:sz="6" w:space="0"/>
              <w:right w:val="single" w:color="auto" w:sz="6" w:space="0"/>
            </w:tcBorders>
            <w:noWrap w:val="0"/>
            <w:vAlign w:val="center"/>
          </w:tcPr>
          <w:p w14:paraId="710AE0AF">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开、竣工日期</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516F6DF3">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质量等级</w:t>
            </w:r>
          </w:p>
        </w:tc>
      </w:tr>
      <w:tr w14:paraId="74706B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31C0AF0F">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7F073ACF">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280E1BF4">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5256F4DC">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5BC93EEA">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18D9E382">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r>
      <w:tr w14:paraId="4B949A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0D28FB2E">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3D49D72E">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2F199F29">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5C84DDC3">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6CB8329A">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73C7E88D">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r>
      <w:tr w14:paraId="3E75E6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64C2D1F6">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10F5D4BC">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2DB15AD0">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64D94729">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4DE736F5">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35156416">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r>
      <w:tr w14:paraId="5EC02F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20C1A9E6">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19262A67">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6A39511F">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1DB9CFE1">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1721B062">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2F264810">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r>
      <w:tr w14:paraId="60FE21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79844E90">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4025EFA0">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7EFD2645">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1580E22B">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2BA089E1">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311AA133">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r>
    </w:tbl>
    <w:p w14:paraId="6A4A1EF9">
      <w:pPr>
        <w:jc w:val="center"/>
        <w:rPr>
          <w:rFonts w:hint="eastAsia" w:ascii="宋体" w:hAnsi="宋体" w:eastAsia="宋体" w:cs="宋体"/>
          <w:b/>
          <w:bCs/>
          <w:sz w:val="30"/>
          <w:szCs w:val="30"/>
        </w:rPr>
      </w:pPr>
      <w:r>
        <w:rPr>
          <w:rFonts w:hint="eastAsia" w:ascii="宋体" w:hAnsi="宋体" w:eastAsia="宋体" w:cs="宋体"/>
          <w:b/>
          <w:bCs/>
          <w:sz w:val="30"/>
          <w:szCs w:val="30"/>
        </w:rPr>
        <w:t>项目技术负责人简历表</w:t>
      </w:r>
    </w:p>
    <w:p w14:paraId="228E9C15">
      <w:pPr>
        <w:wordWrap w:val="0"/>
        <w:adjustRightInd w:val="0"/>
        <w:snapToGrid w:val="0"/>
        <w:spacing w:line="360" w:lineRule="auto"/>
        <w:ind w:firstLine="570"/>
        <w:rPr>
          <w:rFonts w:hint="eastAsia" w:ascii="宋体" w:hAnsi="宋体" w:eastAsia="宋体" w:cs="宋体"/>
          <w:snapToGrid w:val="0"/>
          <w:color w:val="auto"/>
          <w:kern w:val="0"/>
          <w:szCs w:val="28"/>
          <w:highlight w:val="none"/>
        </w:rPr>
      </w:pPr>
    </w:p>
    <w:p w14:paraId="458C4862">
      <w:pPr>
        <w:pStyle w:val="61"/>
        <w:wordWrap w:val="0"/>
        <w:adjustRightInd w:val="0"/>
        <w:snapToGrid w:val="0"/>
        <w:spacing w:line="360" w:lineRule="auto"/>
        <w:jc w:val="right"/>
        <w:rPr>
          <w:rFonts w:hint="eastAsia" w:ascii="宋体" w:hAnsi="宋体" w:eastAsia="宋体" w:cs="宋体"/>
          <w:snapToGrid w:val="0"/>
          <w:color w:val="auto"/>
          <w:kern w:val="0"/>
          <w:highlight w:val="none"/>
        </w:rPr>
      </w:pPr>
    </w:p>
    <w:p w14:paraId="3C1852E4">
      <w:pPr>
        <w:pStyle w:val="61"/>
        <w:wordWrap w:val="0"/>
        <w:adjustRightInd w:val="0"/>
        <w:snapToGrid w:val="0"/>
        <w:spacing w:line="360" w:lineRule="auto"/>
        <w:jc w:val="right"/>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项目技术负责人：</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（签字）</w:t>
      </w:r>
    </w:p>
    <w:p w14:paraId="755BB5DB">
      <w:pPr>
        <w:pStyle w:val="61"/>
        <w:wordWrap w:val="0"/>
        <w:adjustRightInd w:val="0"/>
        <w:snapToGrid w:val="0"/>
        <w:spacing w:line="360" w:lineRule="auto"/>
        <w:jc w:val="right"/>
        <w:rPr>
          <w:rFonts w:hint="eastAsia" w:ascii="宋体" w:hAnsi="宋体" w:eastAsia="宋体" w:cs="宋体"/>
          <w:snapToGrid w:val="0"/>
          <w:color w:val="auto"/>
          <w:kern w:val="0"/>
          <w:highlight w:val="none"/>
        </w:rPr>
      </w:pPr>
    </w:p>
    <w:p w14:paraId="6D0F59C6">
      <w:pPr>
        <w:pStyle w:val="61"/>
        <w:wordWrap w:val="0"/>
        <w:adjustRightInd w:val="0"/>
        <w:snapToGrid w:val="0"/>
        <w:spacing w:line="360" w:lineRule="auto"/>
        <w:jc w:val="center"/>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 xml:space="preserve">                                     </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年</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月</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日</w:t>
      </w:r>
    </w:p>
    <w:p w14:paraId="5CE31011">
      <w:pPr>
        <w:wordWrap w:val="0"/>
        <w:adjustRightInd w:val="0"/>
        <w:snapToGrid w:val="0"/>
        <w:spacing w:line="360" w:lineRule="auto"/>
        <w:rPr>
          <w:rFonts w:hint="eastAsia" w:ascii="宋体" w:hAnsi="宋体" w:eastAsia="宋体" w:cs="宋体"/>
          <w:snapToGrid w:val="0"/>
          <w:color w:val="auto"/>
          <w:kern w:val="0"/>
          <w:szCs w:val="28"/>
          <w:highlight w:val="none"/>
        </w:rPr>
      </w:pPr>
    </w:p>
    <w:p w14:paraId="7459C7E0">
      <w:pPr>
        <w:wordWrap w:val="0"/>
        <w:adjustRightInd w:val="0"/>
        <w:snapToGrid w:val="0"/>
        <w:spacing w:line="360" w:lineRule="auto"/>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 xml:space="preserve">    说明：《项目技术负责人简历表》后应附拟派项目技术负责人以下资料：</w:t>
      </w:r>
    </w:p>
    <w:p w14:paraId="2A5C91F2">
      <w:pPr>
        <w:wordWrap w:val="0"/>
        <w:adjustRightInd w:val="0"/>
        <w:snapToGrid w:val="0"/>
        <w:spacing w:line="360" w:lineRule="auto"/>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 xml:space="preserve">    1</w:t>
      </w:r>
      <w:r>
        <w:rPr>
          <w:rFonts w:hint="eastAsia" w:ascii="宋体" w:hAnsi="宋体" w:eastAsia="宋体" w:cs="宋体"/>
          <w:snapToGrid w:val="0"/>
          <w:color w:val="auto"/>
          <w:kern w:val="0"/>
          <w:sz w:val="21"/>
          <w:szCs w:val="28"/>
          <w:highlight w:val="none"/>
          <w:lang w:eastAsia="zh-CN"/>
        </w:rPr>
        <w:t>.</w:t>
      </w:r>
      <w:r>
        <w:rPr>
          <w:rFonts w:hint="eastAsia" w:ascii="宋体" w:hAnsi="宋体" w:eastAsia="宋体" w:cs="宋体"/>
          <w:snapToGrid w:val="0"/>
          <w:color w:val="auto"/>
          <w:kern w:val="0"/>
          <w:sz w:val="21"/>
          <w:szCs w:val="28"/>
          <w:highlight w:val="none"/>
        </w:rPr>
        <w:t>身份证彩色扫描件；</w:t>
      </w:r>
    </w:p>
    <w:p w14:paraId="4F1CEC20">
      <w:pPr>
        <w:wordWrap w:val="0"/>
        <w:adjustRightInd w:val="0"/>
        <w:snapToGrid w:val="0"/>
        <w:spacing w:line="360" w:lineRule="auto"/>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 xml:space="preserve">    2</w:t>
      </w:r>
      <w:r>
        <w:rPr>
          <w:rFonts w:hint="eastAsia" w:ascii="宋体" w:hAnsi="宋体" w:eastAsia="宋体" w:cs="宋体"/>
          <w:snapToGrid w:val="0"/>
          <w:color w:val="auto"/>
          <w:kern w:val="0"/>
          <w:sz w:val="21"/>
          <w:szCs w:val="28"/>
          <w:highlight w:val="none"/>
          <w:lang w:eastAsia="zh-CN"/>
        </w:rPr>
        <w:t>.</w:t>
      </w:r>
      <w:r>
        <w:rPr>
          <w:rFonts w:hint="eastAsia" w:ascii="宋体" w:hAnsi="宋体" w:eastAsia="宋体" w:cs="宋体"/>
          <w:snapToGrid w:val="0"/>
          <w:color w:val="auto"/>
          <w:kern w:val="0"/>
          <w:sz w:val="21"/>
          <w:szCs w:val="28"/>
          <w:highlight w:val="none"/>
        </w:rPr>
        <w:t>职称证彩色扫描件；</w:t>
      </w:r>
    </w:p>
    <w:p w14:paraId="7B9E03D8">
      <w:pPr>
        <w:wordWrap w:val="0"/>
        <w:adjustRightInd w:val="0"/>
        <w:snapToGrid w:val="0"/>
        <w:spacing w:line="360" w:lineRule="auto"/>
        <w:ind w:firstLine="420" w:firstLineChars="200"/>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3</w:t>
      </w:r>
      <w:r>
        <w:rPr>
          <w:rFonts w:hint="eastAsia" w:ascii="宋体" w:hAnsi="宋体" w:eastAsia="宋体" w:cs="宋体"/>
          <w:snapToGrid w:val="0"/>
          <w:color w:val="auto"/>
          <w:kern w:val="0"/>
          <w:sz w:val="21"/>
          <w:szCs w:val="28"/>
          <w:highlight w:val="none"/>
          <w:lang w:eastAsia="zh-CN"/>
        </w:rPr>
        <w:t>.</w:t>
      </w:r>
      <w:r>
        <w:rPr>
          <w:rFonts w:hint="eastAsia" w:ascii="宋体" w:hAnsi="宋体" w:eastAsia="宋体" w:cs="宋体"/>
          <w:snapToGrid w:val="0"/>
          <w:color w:val="auto"/>
          <w:kern w:val="0"/>
          <w:sz w:val="21"/>
          <w:szCs w:val="28"/>
          <w:highlight w:val="none"/>
        </w:rPr>
        <w:t>在本单位缴纳社保的证明（</w:t>
      </w:r>
      <w:r>
        <w:rPr>
          <w:rFonts w:hint="eastAsia" w:ascii="宋体" w:hAnsi="宋体" w:eastAsia="宋体" w:cs="宋体"/>
          <w:snapToGrid w:val="0"/>
          <w:color w:val="auto"/>
          <w:kern w:val="0"/>
          <w:sz w:val="21"/>
          <w:szCs w:val="28"/>
          <w:highlight w:val="none"/>
          <w:lang w:eastAsia="zh-CN"/>
        </w:rPr>
        <w:t>至少一个月，其中必须有2025年</w:t>
      </w:r>
      <w:r>
        <w:rPr>
          <w:rFonts w:hint="eastAsia" w:ascii="宋体" w:hAnsi="宋体" w:eastAsia="宋体" w:cs="宋体"/>
          <w:snapToGrid w:val="0"/>
          <w:color w:val="auto"/>
          <w:kern w:val="0"/>
          <w:sz w:val="21"/>
          <w:szCs w:val="28"/>
          <w:highlight w:val="none"/>
          <w:lang w:val="en-US" w:eastAsia="zh-CN"/>
        </w:rPr>
        <w:t>7</w:t>
      </w:r>
      <w:r>
        <w:rPr>
          <w:rFonts w:hint="eastAsia" w:ascii="宋体" w:hAnsi="宋体" w:eastAsia="宋体" w:cs="宋体"/>
          <w:snapToGrid w:val="0"/>
          <w:color w:val="auto"/>
          <w:kern w:val="0"/>
          <w:sz w:val="21"/>
          <w:szCs w:val="28"/>
          <w:highlight w:val="none"/>
          <w:lang w:eastAsia="zh-CN"/>
        </w:rPr>
        <w:t>月</w:t>
      </w:r>
      <w:r>
        <w:rPr>
          <w:rFonts w:hint="eastAsia" w:ascii="宋体" w:hAnsi="宋体" w:eastAsia="宋体" w:cs="宋体"/>
          <w:snapToGrid w:val="0"/>
          <w:color w:val="auto"/>
          <w:kern w:val="0"/>
          <w:sz w:val="21"/>
          <w:szCs w:val="28"/>
          <w:highlight w:val="none"/>
        </w:rPr>
        <w:t>）彩色扫描件。拟派项目技术负责人为退休返聘人员无法提供社保证明的，提供退休证和劳动合同彩色扫描件。</w:t>
      </w:r>
    </w:p>
    <w:p w14:paraId="25EDB8F3">
      <w:pPr>
        <w:wordWrap w:val="0"/>
        <w:adjustRightInd w:val="0"/>
        <w:snapToGrid w:val="0"/>
        <w:spacing w:line="360" w:lineRule="auto"/>
        <w:ind w:firstLine="420" w:firstLineChars="200"/>
        <w:rPr>
          <w:rFonts w:hint="eastAsia" w:ascii="宋体" w:hAnsi="宋体" w:eastAsia="宋体" w:cs="宋体"/>
          <w:snapToGrid w:val="0"/>
          <w:color w:val="auto"/>
          <w:kern w:val="0"/>
          <w:sz w:val="21"/>
          <w:highlight w:val="none"/>
        </w:rPr>
      </w:pPr>
      <w:r>
        <w:rPr>
          <w:rFonts w:hint="eastAsia" w:ascii="宋体" w:hAnsi="宋体" w:eastAsia="宋体" w:cs="宋体"/>
          <w:snapToGrid w:val="0"/>
          <w:color w:val="auto"/>
          <w:kern w:val="0"/>
          <w:sz w:val="21"/>
          <w:highlight w:val="none"/>
          <w:lang w:val="en-US" w:eastAsia="zh-CN"/>
        </w:rPr>
        <w:t>4.</w:t>
      </w:r>
      <w:r>
        <w:rPr>
          <w:rFonts w:hint="eastAsia" w:ascii="宋体" w:hAnsi="宋体" w:eastAsia="宋体" w:cs="宋体"/>
          <w:snapToGrid w:val="0"/>
          <w:color w:val="auto"/>
          <w:kern w:val="0"/>
          <w:sz w:val="21"/>
          <w:highlight w:val="none"/>
        </w:rPr>
        <w:t>“进粤企业和人员诚信信息登记平台”个人信息情况截图。（适用于省外建筑企业）</w:t>
      </w:r>
    </w:p>
    <w:p w14:paraId="0956FBE8">
      <w:pPr>
        <w:rPr>
          <w:rFonts w:hint="eastAsia" w:ascii="宋体" w:hAnsi="宋体" w:eastAsia="宋体" w:cs="宋体"/>
          <w:color w:val="auto"/>
        </w:rPr>
      </w:pPr>
    </w:p>
    <w:p w14:paraId="371F329B">
      <w:pPr>
        <w:rPr>
          <w:rFonts w:hint="eastAsia" w:ascii="宋体" w:hAnsi="宋体" w:eastAsia="宋体" w:cs="宋体"/>
          <w:color w:val="auto"/>
        </w:rPr>
      </w:pPr>
    </w:p>
    <w:p w14:paraId="1480D69F">
      <w:pPr>
        <w:rPr>
          <w:rFonts w:hint="eastAsia" w:ascii="宋体" w:hAnsi="宋体" w:eastAsia="宋体" w:cs="宋体"/>
          <w:color w:val="auto"/>
        </w:rPr>
      </w:pPr>
    </w:p>
    <w:p w14:paraId="3C0655B6">
      <w:pPr>
        <w:rPr>
          <w:rFonts w:hint="eastAsia" w:ascii="宋体" w:hAnsi="宋体" w:eastAsia="宋体" w:cs="宋体"/>
          <w:color w:val="auto"/>
        </w:rPr>
      </w:pPr>
    </w:p>
    <w:p w14:paraId="5247B84D">
      <w:pPr>
        <w:rPr>
          <w:rFonts w:hint="eastAsia" w:ascii="宋体" w:hAnsi="宋体" w:eastAsia="宋体" w:cs="宋体"/>
          <w:color w:val="auto"/>
        </w:rPr>
      </w:pPr>
    </w:p>
    <w:p w14:paraId="4BD7C232">
      <w:pPr>
        <w:rPr>
          <w:rFonts w:hint="eastAsia" w:ascii="宋体" w:hAnsi="宋体" w:eastAsia="宋体" w:cs="宋体"/>
          <w:color w:val="auto"/>
        </w:rPr>
      </w:pPr>
    </w:p>
    <w:p w14:paraId="21BBE282">
      <w:pPr>
        <w:rPr>
          <w:rFonts w:hint="eastAsia" w:ascii="宋体" w:hAnsi="宋体" w:eastAsia="宋体" w:cs="宋体"/>
          <w:color w:val="auto"/>
        </w:rPr>
      </w:pPr>
    </w:p>
    <w:p w14:paraId="3DBC95A9">
      <w:pPr>
        <w:rPr>
          <w:rFonts w:hint="eastAsia" w:ascii="宋体" w:hAnsi="宋体" w:eastAsia="宋体" w:cs="宋体"/>
          <w:color w:val="auto"/>
        </w:rPr>
      </w:pPr>
    </w:p>
    <w:p w14:paraId="228DC66D">
      <w:pPr>
        <w:rPr>
          <w:rFonts w:hint="eastAsia" w:ascii="宋体" w:hAnsi="宋体" w:eastAsia="宋体" w:cs="宋体"/>
          <w:color w:val="auto"/>
        </w:rPr>
      </w:pPr>
    </w:p>
    <w:bookmarkEnd w:id="300"/>
    <w:bookmarkEnd w:id="301"/>
    <w:p w14:paraId="29CBAFA0">
      <w:pPr>
        <w:spacing w:before="151" w:line="360" w:lineRule="auto"/>
        <w:ind w:left="476"/>
        <w:outlineLvl w:val="2"/>
        <w:rPr>
          <w:rFonts w:hint="eastAsia" w:ascii="宋体" w:hAnsi="宋体" w:eastAsia="宋体" w:cs="宋体"/>
          <w:b/>
          <w:bCs/>
          <w:color w:val="auto"/>
          <w:spacing w:val="-11"/>
          <w:sz w:val="24"/>
          <w:szCs w:val="24"/>
          <w:highlight w:val="none"/>
          <w:lang w:val="en-US" w:eastAsia="zh-CN"/>
        </w:rPr>
      </w:pPr>
      <w:bookmarkStart w:id="329" w:name="_Toc6074"/>
      <w:bookmarkStart w:id="330" w:name="_Toc20506"/>
      <w:bookmarkStart w:id="331" w:name="_Toc30872"/>
      <w:bookmarkStart w:id="332" w:name="_Toc14261309"/>
      <w:bookmarkStart w:id="333" w:name="_Toc8264"/>
      <w:bookmarkStart w:id="334" w:name="_Toc200338098"/>
      <w:r>
        <w:rPr>
          <w:rFonts w:hint="eastAsia" w:ascii="宋体" w:hAnsi="宋体" w:eastAsia="宋体" w:cs="宋体"/>
          <w:b/>
          <w:bCs/>
          <w:color w:val="auto"/>
          <w:spacing w:val="-11"/>
          <w:sz w:val="24"/>
          <w:szCs w:val="24"/>
          <w:highlight w:val="none"/>
          <w:lang w:val="en-US" w:eastAsia="zh-CN"/>
        </w:rPr>
        <w:t>格式</w:t>
      </w:r>
      <w:bookmarkStart w:id="335" w:name="_Hlt287950384"/>
      <w:bookmarkEnd w:id="335"/>
      <w:r>
        <w:rPr>
          <w:rFonts w:hint="eastAsia" w:ascii="宋体" w:hAnsi="宋体" w:eastAsia="宋体" w:cs="宋体"/>
          <w:b/>
          <w:bCs/>
          <w:color w:val="auto"/>
          <w:spacing w:val="-11"/>
          <w:sz w:val="24"/>
          <w:szCs w:val="24"/>
          <w:highlight w:val="none"/>
          <w:lang w:val="en-US" w:eastAsia="zh-CN"/>
        </w:rPr>
        <w:t>十   项目管理机构组成表</w:t>
      </w:r>
      <w:bookmarkEnd w:id="329"/>
      <w:bookmarkEnd w:id="330"/>
      <w:bookmarkEnd w:id="331"/>
      <w:bookmarkEnd w:id="332"/>
    </w:p>
    <w:p w14:paraId="62B89F36">
      <w:pPr>
        <w:jc w:val="center"/>
        <w:rPr>
          <w:rFonts w:hint="eastAsia" w:ascii="宋体" w:hAnsi="宋体" w:eastAsia="宋体" w:cs="宋体"/>
          <w:b/>
          <w:bCs/>
          <w:color w:val="auto"/>
          <w:sz w:val="30"/>
          <w:szCs w:val="30"/>
        </w:rPr>
      </w:pPr>
      <w:bookmarkStart w:id="336" w:name="_Toc14261751"/>
      <w:bookmarkStart w:id="337" w:name="_Toc23063"/>
      <w:r>
        <w:rPr>
          <w:rFonts w:hint="eastAsia" w:ascii="宋体" w:hAnsi="宋体" w:eastAsia="宋体" w:cs="宋体"/>
          <w:b/>
          <w:bCs/>
          <w:color w:val="auto"/>
          <w:sz w:val="30"/>
          <w:szCs w:val="30"/>
        </w:rPr>
        <w:t>项目管理机构组成表</w:t>
      </w:r>
      <w:bookmarkEnd w:id="336"/>
      <w:bookmarkEnd w:id="337"/>
    </w:p>
    <w:tbl>
      <w:tblPr>
        <w:tblStyle w:val="24"/>
        <w:tblW w:w="893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43"/>
        <w:gridCol w:w="1421"/>
        <w:gridCol w:w="1355"/>
        <w:gridCol w:w="900"/>
        <w:gridCol w:w="817"/>
        <w:gridCol w:w="1538"/>
        <w:gridCol w:w="2164"/>
      </w:tblGrid>
      <w:tr w14:paraId="310AF6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60" w:hRule="atLeast"/>
        </w:trPr>
        <w:tc>
          <w:tcPr>
            <w:tcW w:w="743" w:type="dxa"/>
            <w:tcBorders>
              <w:top w:val="single" w:color="auto" w:sz="6" w:space="0"/>
              <w:left w:val="single" w:color="auto" w:sz="6" w:space="0"/>
              <w:bottom w:val="single" w:color="auto" w:sz="6" w:space="0"/>
              <w:right w:val="single" w:color="auto" w:sz="6" w:space="0"/>
            </w:tcBorders>
            <w:noWrap w:val="0"/>
            <w:vAlign w:val="center"/>
          </w:tcPr>
          <w:p w14:paraId="6319B8C6">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序号</w:t>
            </w:r>
          </w:p>
        </w:tc>
        <w:tc>
          <w:tcPr>
            <w:tcW w:w="1421" w:type="dxa"/>
            <w:tcBorders>
              <w:top w:val="single" w:color="auto" w:sz="6" w:space="0"/>
              <w:left w:val="single" w:color="auto" w:sz="6" w:space="0"/>
              <w:bottom w:val="single" w:color="auto" w:sz="6" w:space="0"/>
              <w:right w:val="single" w:color="auto" w:sz="6" w:space="0"/>
            </w:tcBorders>
            <w:noWrap w:val="0"/>
            <w:vAlign w:val="center"/>
          </w:tcPr>
          <w:p w14:paraId="2E0A2AAE">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职务</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293B419A">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姓名</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7F695963">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性别</w:t>
            </w:r>
          </w:p>
        </w:tc>
        <w:tc>
          <w:tcPr>
            <w:tcW w:w="817" w:type="dxa"/>
            <w:tcBorders>
              <w:top w:val="single" w:color="auto" w:sz="6" w:space="0"/>
              <w:left w:val="single" w:color="auto" w:sz="6" w:space="0"/>
              <w:bottom w:val="single" w:color="auto" w:sz="6" w:space="0"/>
              <w:right w:val="single" w:color="auto" w:sz="6" w:space="0"/>
            </w:tcBorders>
            <w:noWrap w:val="0"/>
            <w:vAlign w:val="center"/>
          </w:tcPr>
          <w:p w14:paraId="71EAF568">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年龄</w:t>
            </w:r>
          </w:p>
        </w:tc>
        <w:tc>
          <w:tcPr>
            <w:tcW w:w="1538" w:type="dxa"/>
            <w:tcBorders>
              <w:top w:val="single" w:color="auto" w:sz="6" w:space="0"/>
              <w:left w:val="single" w:color="auto" w:sz="6" w:space="0"/>
              <w:bottom w:val="single" w:color="auto" w:sz="6" w:space="0"/>
              <w:right w:val="single" w:color="auto" w:sz="6" w:space="0"/>
            </w:tcBorders>
            <w:noWrap w:val="0"/>
            <w:vAlign w:val="center"/>
          </w:tcPr>
          <w:p w14:paraId="02C21F32">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职称</w:t>
            </w:r>
          </w:p>
        </w:tc>
        <w:tc>
          <w:tcPr>
            <w:tcW w:w="2164" w:type="dxa"/>
            <w:tcBorders>
              <w:top w:val="single" w:color="auto" w:sz="6" w:space="0"/>
              <w:left w:val="single" w:color="auto" w:sz="6" w:space="0"/>
              <w:bottom w:val="single" w:color="auto" w:sz="6" w:space="0"/>
              <w:right w:val="single" w:color="auto" w:sz="6" w:space="0"/>
            </w:tcBorders>
            <w:noWrap w:val="0"/>
            <w:vAlign w:val="center"/>
          </w:tcPr>
          <w:p w14:paraId="6135D58E">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备注</w:t>
            </w:r>
          </w:p>
        </w:tc>
      </w:tr>
      <w:tr w14:paraId="7CFC50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37" w:hRule="exact"/>
        </w:trPr>
        <w:tc>
          <w:tcPr>
            <w:tcW w:w="743" w:type="dxa"/>
            <w:tcBorders>
              <w:top w:val="single" w:color="auto" w:sz="6" w:space="0"/>
              <w:left w:val="single" w:color="auto" w:sz="6" w:space="0"/>
              <w:bottom w:val="single" w:color="auto" w:sz="6" w:space="0"/>
              <w:right w:val="single" w:color="auto" w:sz="6" w:space="0"/>
            </w:tcBorders>
            <w:noWrap w:val="0"/>
            <w:vAlign w:val="center"/>
          </w:tcPr>
          <w:p w14:paraId="6F3F43F5">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1421" w:type="dxa"/>
            <w:tcBorders>
              <w:top w:val="single" w:color="auto" w:sz="6" w:space="0"/>
              <w:left w:val="single" w:color="auto" w:sz="6" w:space="0"/>
              <w:bottom w:val="single" w:color="auto" w:sz="6" w:space="0"/>
              <w:right w:val="single" w:color="auto" w:sz="6" w:space="0"/>
            </w:tcBorders>
            <w:noWrap w:val="0"/>
            <w:vAlign w:val="center"/>
          </w:tcPr>
          <w:p w14:paraId="4510B71B">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项目经理</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7F2CB220">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3969241F">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6D7334A6">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0ED23567">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63024148">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r>
      <w:tr w14:paraId="650360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91" w:hRule="exact"/>
        </w:trPr>
        <w:tc>
          <w:tcPr>
            <w:tcW w:w="743" w:type="dxa"/>
            <w:tcBorders>
              <w:top w:val="single" w:color="auto" w:sz="6" w:space="0"/>
              <w:left w:val="single" w:color="auto" w:sz="6" w:space="0"/>
              <w:bottom w:val="single" w:color="auto" w:sz="6" w:space="0"/>
              <w:right w:val="single" w:color="auto" w:sz="6" w:space="0"/>
            </w:tcBorders>
            <w:noWrap w:val="0"/>
            <w:vAlign w:val="center"/>
          </w:tcPr>
          <w:p w14:paraId="1337B263">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p>
        </w:tc>
        <w:tc>
          <w:tcPr>
            <w:tcW w:w="1421" w:type="dxa"/>
            <w:tcBorders>
              <w:top w:val="single" w:color="auto" w:sz="6" w:space="0"/>
              <w:left w:val="single" w:color="auto" w:sz="6" w:space="0"/>
              <w:bottom w:val="single" w:color="auto" w:sz="6" w:space="0"/>
              <w:right w:val="single" w:color="auto" w:sz="6" w:space="0"/>
            </w:tcBorders>
            <w:noWrap w:val="0"/>
            <w:vAlign w:val="center"/>
          </w:tcPr>
          <w:p w14:paraId="11560494">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项目技术</w:t>
            </w:r>
          </w:p>
          <w:p w14:paraId="77E88E5F">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负责人</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06A6B0E1">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4958496E">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00754102">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427AAD59">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2D6DBD15">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r>
      <w:tr w14:paraId="1130F1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3" w:hRule="exact"/>
        </w:trPr>
        <w:tc>
          <w:tcPr>
            <w:tcW w:w="743" w:type="dxa"/>
            <w:tcBorders>
              <w:top w:val="single" w:color="auto" w:sz="6" w:space="0"/>
              <w:left w:val="single" w:color="auto" w:sz="6" w:space="0"/>
              <w:right w:val="single" w:color="auto" w:sz="6" w:space="0"/>
            </w:tcBorders>
            <w:noWrap w:val="0"/>
            <w:vAlign w:val="center"/>
          </w:tcPr>
          <w:p w14:paraId="6B01F99D">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w:t>
            </w:r>
          </w:p>
        </w:tc>
        <w:tc>
          <w:tcPr>
            <w:tcW w:w="1421" w:type="dxa"/>
            <w:tcBorders>
              <w:top w:val="single" w:color="auto" w:sz="6" w:space="0"/>
              <w:left w:val="single" w:color="auto" w:sz="6" w:space="0"/>
              <w:right w:val="single" w:color="auto" w:sz="6" w:space="0"/>
            </w:tcBorders>
            <w:noWrap w:val="0"/>
            <w:vAlign w:val="center"/>
          </w:tcPr>
          <w:p w14:paraId="70D401B7">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专职安全员</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7C2A0496">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58D771C8">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656AA8AB">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0B226611">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1C8F325F">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r>
      <w:tr w14:paraId="56F738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43" w:type="dxa"/>
            <w:tcBorders>
              <w:top w:val="single" w:color="auto" w:sz="6" w:space="0"/>
              <w:left w:val="single" w:color="auto" w:sz="6" w:space="0"/>
              <w:bottom w:val="single" w:color="auto" w:sz="6" w:space="0"/>
              <w:right w:val="single" w:color="auto" w:sz="6" w:space="0"/>
            </w:tcBorders>
            <w:noWrap w:val="0"/>
            <w:vAlign w:val="center"/>
          </w:tcPr>
          <w:p w14:paraId="724905CC">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w:t>
            </w:r>
          </w:p>
        </w:tc>
        <w:tc>
          <w:tcPr>
            <w:tcW w:w="1421" w:type="dxa"/>
            <w:tcBorders>
              <w:top w:val="single" w:color="auto" w:sz="6" w:space="0"/>
              <w:left w:val="single" w:color="auto" w:sz="6" w:space="0"/>
              <w:bottom w:val="single" w:color="auto" w:sz="6" w:space="0"/>
              <w:right w:val="single" w:color="auto" w:sz="6" w:space="0"/>
            </w:tcBorders>
            <w:noWrap w:val="0"/>
            <w:vAlign w:val="center"/>
          </w:tcPr>
          <w:p w14:paraId="5660B007">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施工员</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64789C3F">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566529B5">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45DEDF94">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1EE87880">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73CB84CA">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r>
      <w:tr w14:paraId="2199F4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43" w:type="dxa"/>
            <w:tcBorders>
              <w:top w:val="single" w:color="auto" w:sz="6" w:space="0"/>
              <w:left w:val="single" w:color="auto" w:sz="6" w:space="0"/>
              <w:bottom w:val="single" w:color="auto" w:sz="6" w:space="0"/>
              <w:right w:val="single" w:color="auto" w:sz="6" w:space="0"/>
            </w:tcBorders>
            <w:noWrap w:val="0"/>
            <w:vAlign w:val="center"/>
          </w:tcPr>
          <w:p w14:paraId="0DEA9648">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w:t>
            </w:r>
          </w:p>
        </w:tc>
        <w:tc>
          <w:tcPr>
            <w:tcW w:w="1421" w:type="dxa"/>
            <w:tcBorders>
              <w:top w:val="single" w:color="auto" w:sz="6" w:space="0"/>
              <w:left w:val="single" w:color="auto" w:sz="6" w:space="0"/>
              <w:bottom w:val="single" w:color="auto" w:sz="6" w:space="0"/>
              <w:right w:val="single" w:color="auto" w:sz="6" w:space="0"/>
            </w:tcBorders>
            <w:noWrap w:val="0"/>
            <w:vAlign w:val="center"/>
          </w:tcPr>
          <w:p w14:paraId="0A0B31A4">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质量员</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227F6B81">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34FC9FDC">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1AD807FF">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29B2733D">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5CE1706E">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r>
      <w:tr w14:paraId="7BD3E7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43" w:type="dxa"/>
            <w:tcBorders>
              <w:top w:val="single" w:color="auto" w:sz="6" w:space="0"/>
              <w:left w:val="single" w:color="auto" w:sz="6" w:space="0"/>
              <w:bottom w:val="single" w:color="auto" w:sz="6" w:space="0"/>
              <w:right w:val="single" w:color="auto" w:sz="6" w:space="0"/>
            </w:tcBorders>
            <w:noWrap w:val="0"/>
            <w:vAlign w:val="center"/>
          </w:tcPr>
          <w:p w14:paraId="76981A5A">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w:t>
            </w:r>
          </w:p>
        </w:tc>
        <w:tc>
          <w:tcPr>
            <w:tcW w:w="1421" w:type="dxa"/>
            <w:tcBorders>
              <w:top w:val="single" w:color="auto" w:sz="6" w:space="0"/>
              <w:left w:val="single" w:color="auto" w:sz="6" w:space="0"/>
              <w:bottom w:val="single" w:color="auto" w:sz="6" w:space="0"/>
              <w:right w:val="single" w:color="auto" w:sz="6" w:space="0"/>
            </w:tcBorders>
            <w:noWrap w:val="0"/>
            <w:vAlign w:val="center"/>
          </w:tcPr>
          <w:p w14:paraId="13BC5B12">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材料员</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3CBFA0D2">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5C354AD2">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14132BC8">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472891DC">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5DDC65F0">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r>
      <w:tr w14:paraId="3164DE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43" w:type="dxa"/>
            <w:tcBorders>
              <w:top w:val="single" w:color="auto" w:sz="6" w:space="0"/>
              <w:left w:val="single" w:color="auto" w:sz="6" w:space="0"/>
              <w:bottom w:val="single" w:color="auto" w:sz="6" w:space="0"/>
              <w:right w:val="single" w:color="auto" w:sz="6" w:space="0"/>
            </w:tcBorders>
            <w:noWrap w:val="0"/>
            <w:vAlign w:val="center"/>
          </w:tcPr>
          <w:p w14:paraId="2EE05B11">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7</w:t>
            </w:r>
          </w:p>
        </w:tc>
        <w:tc>
          <w:tcPr>
            <w:tcW w:w="1421" w:type="dxa"/>
            <w:tcBorders>
              <w:top w:val="single" w:color="auto" w:sz="6" w:space="0"/>
              <w:left w:val="single" w:color="auto" w:sz="6" w:space="0"/>
              <w:bottom w:val="single" w:color="auto" w:sz="6" w:space="0"/>
              <w:right w:val="single" w:color="auto" w:sz="6" w:space="0"/>
            </w:tcBorders>
            <w:noWrap w:val="0"/>
            <w:vAlign w:val="center"/>
          </w:tcPr>
          <w:p w14:paraId="4E16E694">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资料员</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356539FA">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272489FD">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3906DA7C">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7DA4AC71">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15D5E92E">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r>
      <w:tr w14:paraId="4A782F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43" w:type="dxa"/>
            <w:tcBorders>
              <w:top w:val="single" w:color="auto" w:sz="6" w:space="0"/>
              <w:left w:val="single" w:color="auto" w:sz="6" w:space="0"/>
              <w:bottom w:val="single" w:color="auto" w:sz="6" w:space="0"/>
              <w:right w:val="single" w:color="auto" w:sz="6" w:space="0"/>
            </w:tcBorders>
            <w:noWrap w:val="0"/>
            <w:vAlign w:val="center"/>
          </w:tcPr>
          <w:p w14:paraId="2FE2FC8F">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421" w:type="dxa"/>
            <w:tcBorders>
              <w:top w:val="single" w:color="auto" w:sz="6" w:space="0"/>
              <w:left w:val="single" w:color="auto" w:sz="6" w:space="0"/>
              <w:bottom w:val="single" w:color="auto" w:sz="6" w:space="0"/>
              <w:right w:val="single" w:color="auto" w:sz="6" w:space="0"/>
            </w:tcBorders>
            <w:noWrap w:val="0"/>
            <w:vAlign w:val="center"/>
          </w:tcPr>
          <w:p w14:paraId="3535A707">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0B152D92">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1F730818">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0A73660F">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16D4FEB9">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74CC08A6">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r>
    </w:tbl>
    <w:p w14:paraId="08D0A145">
      <w:pPr>
        <w:pStyle w:val="60"/>
        <w:widowControl w:val="0"/>
        <w:wordWrap w:val="0"/>
        <w:adjustRightInd w:val="0"/>
        <w:snapToGrid w:val="0"/>
        <w:spacing w:line="360" w:lineRule="auto"/>
        <w:rPr>
          <w:rFonts w:hint="eastAsia" w:ascii="宋体" w:hAnsi="宋体" w:eastAsia="宋体" w:cs="宋体"/>
          <w:snapToGrid w:val="0"/>
          <w:color w:val="auto"/>
          <w:sz w:val="21"/>
          <w:highlight w:val="none"/>
        </w:rPr>
      </w:pPr>
      <w:r>
        <w:rPr>
          <w:rFonts w:hint="eastAsia" w:ascii="宋体" w:hAnsi="宋体" w:eastAsia="宋体" w:cs="宋体"/>
          <w:snapToGrid w:val="0"/>
          <w:color w:val="auto"/>
          <w:sz w:val="21"/>
          <w:highlight w:val="none"/>
        </w:rPr>
        <w:t>说明：</w:t>
      </w:r>
    </w:p>
    <w:p w14:paraId="31EA20B3">
      <w:pPr>
        <w:pStyle w:val="60"/>
        <w:widowControl w:val="0"/>
        <w:wordWrap w:val="0"/>
        <w:adjustRightInd w:val="0"/>
        <w:snapToGrid w:val="0"/>
        <w:spacing w:line="360" w:lineRule="auto"/>
        <w:rPr>
          <w:rFonts w:hint="eastAsia" w:ascii="宋体" w:hAnsi="宋体" w:eastAsia="宋体" w:cs="宋体"/>
          <w:snapToGrid w:val="0"/>
          <w:color w:val="auto"/>
          <w:sz w:val="21"/>
          <w:szCs w:val="28"/>
          <w:highlight w:val="none"/>
        </w:rPr>
      </w:pPr>
      <w:r>
        <w:rPr>
          <w:rFonts w:hint="eastAsia" w:ascii="宋体" w:hAnsi="宋体" w:eastAsia="宋体" w:cs="宋体"/>
          <w:snapToGrid w:val="0"/>
          <w:color w:val="auto"/>
          <w:sz w:val="21"/>
          <w:highlight w:val="none"/>
        </w:rPr>
        <w:t>1</w:t>
      </w:r>
      <w:r>
        <w:rPr>
          <w:rFonts w:hint="eastAsia" w:ascii="宋体" w:hAnsi="宋体" w:eastAsia="宋体" w:cs="宋体"/>
          <w:snapToGrid w:val="0"/>
          <w:color w:val="auto"/>
          <w:sz w:val="21"/>
          <w:szCs w:val="28"/>
          <w:highlight w:val="none"/>
          <w:lang w:eastAsia="zh-CN"/>
        </w:rPr>
        <w:t>.</w:t>
      </w:r>
      <w:r>
        <w:rPr>
          <w:rFonts w:hint="eastAsia" w:ascii="宋体" w:hAnsi="宋体" w:eastAsia="宋体" w:cs="宋体"/>
          <w:snapToGrid w:val="0"/>
          <w:color w:val="auto"/>
          <w:sz w:val="21"/>
          <w:highlight w:val="none"/>
        </w:rPr>
        <w:t>《项目管理机构组成表》后应附表中拟派人员（项目经理、项目技术负责人</w:t>
      </w:r>
      <w:r>
        <w:rPr>
          <w:rFonts w:hint="eastAsia" w:ascii="宋体" w:hAnsi="宋体" w:eastAsia="宋体" w:cs="宋体"/>
          <w:snapToGrid w:val="0"/>
          <w:color w:val="auto"/>
          <w:sz w:val="21"/>
          <w:highlight w:val="none"/>
          <w:lang w:val="en-US" w:eastAsia="zh-CN"/>
        </w:rPr>
        <w:t>除外</w:t>
      </w:r>
      <w:r>
        <w:rPr>
          <w:rFonts w:hint="eastAsia" w:ascii="宋体" w:hAnsi="宋体" w:eastAsia="宋体" w:cs="宋体"/>
          <w:snapToGrid w:val="0"/>
          <w:color w:val="auto"/>
          <w:sz w:val="21"/>
          <w:highlight w:val="none"/>
        </w:rPr>
        <w:t>）以下资料：</w:t>
      </w:r>
    </w:p>
    <w:p w14:paraId="55F8A514">
      <w:pPr>
        <w:wordWrap w:val="0"/>
        <w:adjustRightInd w:val="0"/>
        <w:snapToGrid w:val="0"/>
        <w:spacing w:line="360" w:lineRule="auto"/>
        <w:ind w:firstLine="420" w:firstLineChars="200"/>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（1）身份证彩色扫描件；</w:t>
      </w:r>
    </w:p>
    <w:p w14:paraId="5F3551B1">
      <w:pPr>
        <w:wordWrap w:val="0"/>
        <w:adjustRightInd w:val="0"/>
        <w:snapToGrid w:val="0"/>
        <w:spacing w:line="360" w:lineRule="auto"/>
        <w:ind w:firstLine="420" w:firstLineChars="200"/>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（2）</w:t>
      </w:r>
      <w:r>
        <w:rPr>
          <w:rFonts w:hint="eastAsia" w:ascii="宋体" w:hAnsi="宋体" w:eastAsia="宋体" w:cs="宋体"/>
          <w:snapToGrid w:val="0"/>
          <w:color w:val="auto"/>
          <w:kern w:val="0"/>
          <w:sz w:val="21"/>
          <w:szCs w:val="28"/>
          <w:highlight w:val="none"/>
          <w:lang w:val="en-US" w:eastAsia="zh-CN"/>
        </w:rPr>
        <w:t>职称证彩色扫描件（如有）</w:t>
      </w:r>
      <w:r>
        <w:rPr>
          <w:rFonts w:hint="eastAsia" w:ascii="宋体" w:hAnsi="宋体" w:eastAsia="宋体" w:cs="宋体"/>
          <w:snapToGrid w:val="0"/>
          <w:color w:val="auto"/>
          <w:kern w:val="0"/>
          <w:sz w:val="21"/>
          <w:szCs w:val="28"/>
          <w:highlight w:val="none"/>
        </w:rPr>
        <w:t>；</w:t>
      </w:r>
    </w:p>
    <w:p w14:paraId="7FD54262">
      <w:pPr>
        <w:wordWrap w:val="0"/>
        <w:adjustRightInd w:val="0"/>
        <w:snapToGrid w:val="0"/>
        <w:spacing w:line="360" w:lineRule="auto"/>
        <w:ind w:firstLine="420" w:firstLineChars="200"/>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（3）在本单位缴纳社保的证明（</w:t>
      </w:r>
      <w:r>
        <w:rPr>
          <w:rFonts w:hint="eastAsia" w:ascii="宋体" w:hAnsi="宋体" w:eastAsia="宋体" w:cs="宋体"/>
          <w:snapToGrid w:val="0"/>
          <w:color w:val="auto"/>
          <w:kern w:val="0"/>
          <w:sz w:val="21"/>
          <w:szCs w:val="20"/>
          <w:highlight w:val="none"/>
          <w:lang w:val="en-US" w:eastAsia="zh-CN" w:bidi="ar-SA"/>
        </w:rPr>
        <w:t>至少一个月，其中必须有2025年7月）彩</w:t>
      </w:r>
      <w:r>
        <w:rPr>
          <w:rFonts w:hint="eastAsia" w:ascii="宋体" w:hAnsi="宋体" w:eastAsia="宋体" w:cs="宋体"/>
          <w:snapToGrid w:val="0"/>
          <w:color w:val="auto"/>
          <w:kern w:val="0"/>
          <w:sz w:val="21"/>
          <w:szCs w:val="28"/>
          <w:highlight w:val="none"/>
        </w:rPr>
        <w:t>色扫描件。拟派人员为退休返聘人员无法提供社保证明的，提供退休证和劳动合同彩色扫描件。</w:t>
      </w:r>
    </w:p>
    <w:p w14:paraId="6817F90A">
      <w:pPr>
        <w:wordWrap w:val="0"/>
        <w:adjustRightInd w:val="0"/>
        <w:snapToGrid w:val="0"/>
        <w:spacing w:line="360" w:lineRule="auto"/>
        <w:ind w:firstLine="420" w:firstLineChars="200"/>
        <w:rPr>
          <w:rFonts w:hint="eastAsia" w:ascii="宋体" w:hAnsi="宋体" w:eastAsia="宋体" w:cs="宋体"/>
          <w:snapToGrid w:val="0"/>
          <w:color w:val="auto"/>
          <w:kern w:val="0"/>
          <w:sz w:val="21"/>
          <w:highlight w:val="none"/>
        </w:rPr>
      </w:pPr>
      <w:r>
        <w:rPr>
          <w:rFonts w:hint="eastAsia" w:ascii="宋体" w:hAnsi="宋体" w:eastAsia="宋体" w:cs="宋体"/>
          <w:snapToGrid w:val="0"/>
          <w:color w:val="auto"/>
          <w:kern w:val="0"/>
          <w:sz w:val="21"/>
          <w:highlight w:val="none"/>
          <w:lang w:eastAsia="zh-CN"/>
        </w:rPr>
        <w:t>（</w:t>
      </w:r>
      <w:r>
        <w:rPr>
          <w:rFonts w:hint="eastAsia" w:ascii="宋体" w:hAnsi="宋体" w:eastAsia="宋体" w:cs="宋体"/>
          <w:snapToGrid w:val="0"/>
          <w:color w:val="auto"/>
          <w:kern w:val="0"/>
          <w:sz w:val="21"/>
          <w:highlight w:val="none"/>
          <w:lang w:val="en-US" w:eastAsia="zh-CN"/>
        </w:rPr>
        <w:t>4）</w:t>
      </w:r>
      <w:r>
        <w:rPr>
          <w:rFonts w:hint="eastAsia" w:ascii="宋体" w:hAnsi="宋体" w:eastAsia="宋体" w:cs="宋体"/>
          <w:snapToGrid w:val="0"/>
          <w:color w:val="auto"/>
          <w:kern w:val="0"/>
          <w:sz w:val="21"/>
          <w:highlight w:val="none"/>
        </w:rPr>
        <w:t>“进粤企业和人员诚信信息登记平台”个人信息情况截图。（适用于省外建筑企业）</w:t>
      </w:r>
    </w:p>
    <w:p w14:paraId="4667087B">
      <w:pPr>
        <w:rPr>
          <w:rFonts w:hint="eastAsia" w:ascii="宋体" w:hAnsi="宋体" w:eastAsia="宋体" w:cs="宋体"/>
          <w:color w:val="auto"/>
        </w:rPr>
      </w:pPr>
    </w:p>
    <w:p w14:paraId="74B6BA64">
      <w:pPr>
        <w:rPr>
          <w:rFonts w:hint="eastAsia" w:ascii="宋体" w:hAnsi="宋体" w:eastAsia="宋体" w:cs="宋体"/>
          <w:color w:val="auto"/>
        </w:rPr>
      </w:pPr>
    </w:p>
    <w:bookmarkEnd w:id="333"/>
    <w:bookmarkEnd w:id="334"/>
    <w:p w14:paraId="2C1C66D0">
      <w:pPr>
        <w:rPr>
          <w:rFonts w:hint="eastAsia" w:ascii="宋体" w:hAnsi="宋体" w:eastAsia="宋体" w:cs="宋体"/>
          <w:color w:val="auto"/>
        </w:rPr>
      </w:pPr>
      <w:bookmarkStart w:id="338" w:name="_Toc36804690"/>
    </w:p>
    <w:p w14:paraId="5D18D537">
      <w:pPr>
        <w:rPr>
          <w:rFonts w:hint="eastAsia" w:ascii="宋体" w:hAnsi="宋体" w:eastAsia="宋体" w:cs="宋体"/>
          <w:color w:val="auto"/>
        </w:rPr>
      </w:pPr>
    </w:p>
    <w:p w14:paraId="74EF7274">
      <w:pPr>
        <w:rPr>
          <w:rFonts w:hint="eastAsia" w:ascii="宋体" w:hAnsi="宋体" w:eastAsia="宋体" w:cs="宋体"/>
          <w:color w:val="auto"/>
        </w:rPr>
      </w:pPr>
    </w:p>
    <w:p w14:paraId="0E056B22">
      <w:pPr>
        <w:rPr>
          <w:rFonts w:hint="eastAsia" w:ascii="宋体" w:hAnsi="宋体" w:eastAsia="宋体" w:cs="宋体"/>
          <w:color w:val="auto"/>
        </w:rPr>
      </w:pPr>
    </w:p>
    <w:p w14:paraId="644B6F4D">
      <w:pPr>
        <w:rPr>
          <w:rFonts w:hint="eastAsia" w:ascii="宋体" w:hAnsi="宋体" w:eastAsia="宋体" w:cs="宋体"/>
          <w:color w:val="auto"/>
        </w:rPr>
      </w:pPr>
    </w:p>
    <w:p w14:paraId="0100F5D5">
      <w:pPr>
        <w:rPr>
          <w:rFonts w:hint="eastAsia" w:ascii="宋体" w:hAnsi="宋体" w:eastAsia="宋体" w:cs="宋体"/>
          <w:color w:val="auto"/>
        </w:rPr>
      </w:pPr>
    </w:p>
    <w:p w14:paraId="23A9867A">
      <w:pPr>
        <w:rPr>
          <w:rFonts w:hint="eastAsia" w:ascii="宋体" w:hAnsi="宋体" w:eastAsia="宋体" w:cs="宋体"/>
          <w:color w:val="auto"/>
        </w:rPr>
      </w:pPr>
    </w:p>
    <w:p w14:paraId="14C67C6C">
      <w:pPr>
        <w:rPr>
          <w:rFonts w:hint="eastAsia" w:ascii="宋体" w:hAnsi="宋体" w:eastAsia="宋体" w:cs="宋体"/>
          <w:color w:val="auto"/>
        </w:rPr>
      </w:pPr>
    </w:p>
    <w:p w14:paraId="1C1BD0BE">
      <w:pPr>
        <w:rPr>
          <w:rFonts w:hint="eastAsia" w:ascii="宋体" w:hAnsi="宋体" w:eastAsia="宋体" w:cs="宋体"/>
          <w:color w:val="auto"/>
        </w:rPr>
      </w:pPr>
    </w:p>
    <w:p w14:paraId="1B77EE0B">
      <w:pPr>
        <w:rPr>
          <w:rFonts w:hint="eastAsia" w:ascii="宋体" w:hAnsi="宋体" w:eastAsia="宋体" w:cs="宋体"/>
          <w:color w:val="auto"/>
        </w:rPr>
      </w:pPr>
    </w:p>
    <w:p w14:paraId="18DCF815">
      <w:pPr>
        <w:rPr>
          <w:rFonts w:hint="eastAsia" w:ascii="宋体" w:hAnsi="宋体" w:eastAsia="宋体" w:cs="宋体"/>
        </w:rPr>
      </w:pPr>
    </w:p>
    <w:p w14:paraId="436BB0BF">
      <w:pPr>
        <w:rPr>
          <w:rFonts w:hint="eastAsia" w:ascii="宋体" w:hAnsi="宋体" w:eastAsia="宋体" w:cs="宋体"/>
        </w:rPr>
      </w:pPr>
    </w:p>
    <w:p w14:paraId="59AF0E7F">
      <w:pPr>
        <w:rPr>
          <w:rFonts w:hint="eastAsia" w:ascii="宋体" w:hAnsi="宋体" w:eastAsia="宋体" w:cs="宋体"/>
        </w:rPr>
      </w:pPr>
    </w:p>
    <w:p w14:paraId="493B07A4">
      <w:pPr>
        <w:rPr>
          <w:rFonts w:hint="eastAsia" w:ascii="宋体" w:hAnsi="宋体" w:eastAsia="宋体" w:cs="宋体"/>
        </w:rPr>
      </w:pPr>
    </w:p>
    <w:p w14:paraId="33F88684">
      <w:pPr>
        <w:rPr>
          <w:rFonts w:hint="eastAsia" w:ascii="宋体" w:hAnsi="宋体" w:eastAsia="宋体" w:cs="宋体"/>
        </w:rPr>
      </w:pPr>
    </w:p>
    <w:p w14:paraId="21A8B33C">
      <w:pPr>
        <w:rPr>
          <w:rFonts w:hint="eastAsia" w:ascii="宋体" w:hAnsi="宋体" w:eastAsia="宋体" w:cs="宋体"/>
        </w:rPr>
      </w:pPr>
    </w:p>
    <w:p w14:paraId="038F0315">
      <w:pPr>
        <w:rPr>
          <w:rFonts w:hint="eastAsia" w:ascii="宋体" w:hAnsi="宋体" w:eastAsia="宋体" w:cs="宋体"/>
        </w:rPr>
      </w:pPr>
    </w:p>
    <w:p w14:paraId="17688EDC">
      <w:pPr>
        <w:spacing w:before="151" w:line="360" w:lineRule="auto"/>
        <w:ind w:left="476"/>
        <w:outlineLvl w:val="2"/>
        <w:rPr>
          <w:rFonts w:hint="eastAsia" w:ascii="宋体" w:hAnsi="宋体" w:eastAsia="宋体" w:cs="宋体"/>
          <w:b/>
          <w:bCs/>
          <w:color w:val="auto"/>
          <w:spacing w:val="-11"/>
          <w:sz w:val="24"/>
          <w:szCs w:val="24"/>
          <w:highlight w:val="none"/>
          <w:lang w:val="en-US" w:eastAsia="zh-CN"/>
        </w:rPr>
      </w:pPr>
      <w:bookmarkStart w:id="339" w:name="_Toc14131"/>
      <w:r>
        <w:rPr>
          <w:rFonts w:hint="eastAsia" w:ascii="宋体" w:hAnsi="宋体" w:eastAsia="宋体" w:cs="宋体"/>
          <w:b/>
          <w:bCs/>
          <w:color w:val="auto"/>
          <w:spacing w:val="-11"/>
          <w:sz w:val="24"/>
          <w:szCs w:val="24"/>
          <w:highlight w:val="none"/>
          <w:lang w:val="en-US" w:eastAsia="zh-CN"/>
        </w:rPr>
        <w:t>格式十一   建造师查询页（有效期+建造师签字）</w:t>
      </w:r>
      <w:bookmarkEnd w:id="339"/>
    </w:p>
    <w:p w14:paraId="7D361745">
      <w:pPr>
        <w:rPr>
          <w:rFonts w:hint="eastAsia" w:ascii="宋体" w:hAnsi="宋体" w:eastAsia="宋体" w:cs="宋体"/>
          <w:snapToGrid w:val="0"/>
          <w:color w:val="auto"/>
          <w:sz w:val="21"/>
          <w:highlight w:val="none"/>
        </w:rPr>
      </w:pPr>
      <w:r>
        <w:rPr>
          <w:rFonts w:hint="eastAsia" w:ascii="宋体" w:hAnsi="宋体" w:eastAsia="宋体" w:cs="宋体"/>
          <w:snapToGrid w:val="0"/>
          <w:color w:val="auto"/>
          <w:sz w:val="21"/>
          <w:highlight w:val="none"/>
        </w:rPr>
        <w:drawing>
          <wp:inline distT="0" distB="0" distL="114300" distR="114300">
            <wp:extent cx="6073775" cy="8491220"/>
            <wp:effectExtent l="0" t="0" r="3175" b="5080"/>
            <wp:docPr id="4" name="图片 113" descr="b7c3fa9a6b84aa75afaa6419d149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13" descr="b7c3fa9a6b84aa75afaa6419d149817"/>
                    <pic:cNvPicPr>
                      <a:picLocks noChangeAspect="1"/>
                    </pic:cNvPicPr>
                  </pic:nvPicPr>
                  <pic:blipFill>
                    <a:blip r:embed="rId32"/>
                    <a:stretch>
                      <a:fillRect/>
                    </a:stretch>
                  </pic:blipFill>
                  <pic:spPr>
                    <a:xfrm>
                      <a:off x="0" y="0"/>
                      <a:ext cx="6073775" cy="8491220"/>
                    </a:xfrm>
                    <a:prstGeom prst="rect">
                      <a:avLst/>
                    </a:prstGeom>
                    <a:noFill/>
                    <a:ln>
                      <a:noFill/>
                    </a:ln>
                  </pic:spPr>
                </pic:pic>
              </a:graphicData>
            </a:graphic>
          </wp:inline>
        </w:drawing>
      </w:r>
    </w:p>
    <w:p w14:paraId="5233E5D8">
      <w:pPr>
        <w:rPr>
          <w:rFonts w:hint="eastAsia" w:ascii="宋体" w:hAnsi="宋体" w:eastAsia="宋体" w:cs="宋体"/>
          <w:snapToGrid w:val="0"/>
          <w:color w:val="auto"/>
          <w:sz w:val="21"/>
          <w:highlight w:val="none"/>
        </w:rPr>
      </w:pPr>
    </w:p>
    <w:p w14:paraId="5FBC33E1">
      <w:pPr>
        <w:rPr>
          <w:rFonts w:hint="eastAsia" w:ascii="宋体" w:hAnsi="宋体" w:eastAsia="宋体" w:cs="宋体"/>
          <w:snapToGrid w:val="0"/>
          <w:color w:val="auto"/>
          <w:sz w:val="21"/>
          <w:highlight w:val="none"/>
        </w:rPr>
      </w:pPr>
    </w:p>
    <w:p w14:paraId="3B43CCC4">
      <w:pPr>
        <w:rPr>
          <w:rFonts w:hint="eastAsia" w:ascii="宋体" w:hAnsi="宋体" w:eastAsia="宋体" w:cs="宋体"/>
          <w:color w:val="auto"/>
          <w:highlight w:val="none"/>
        </w:rPr>
      </w:pPr>
      <w:r>
        <w:rPr>
          <w:rFonts w:hint="eastAsia" w:ascii="宋体" w:hAnsi="宋体" w:eastAsia="宋体" w:cs="宋体"/>
          <w:color w:val="auto"/>
          <w:highlight w:val="none"/>
        </w:rPr>
        <w:drawing>
          <wp:inline distT="0" distB="0" distL="114300" distR="114300">
            <wp:extent cx="6088380" cy="6311265"/>
            <wp:effectExtent l="0" t="0" r="7620" b="13335"/>
            <wp:docPr id="5"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14"/>
                    <pic:cNvPicPr>
                      <a:picLocks noChangeAspect="1"/>
                    </pic:cNvPicPr>
                  </pic:nvPicPr>
                  <pic:blipFill>
                    <a:blip r:embed="rId33"/>
                    <a:stretch>
                      <a:fillRect/>
                    </a:stretch>
                  </pic:blipFill>
                  <pic:spPr>
                    <a:xfrm>
                      <a:off x="0" y="0"/>
                      <a:ext cx="6088380" cy="6311265"/>
                    </a:xfrm>
                    <a:prstGeom prst="rect">
                      <a:avLst/>
                    </a:prstGeom>
                    <a:noFill/>
                    <a:ln>
                      <a:noFill/>
                    </a:ln>
                  </pic:spPr>
                </pic:pic>
              </a:graphicData>
            </a:graphic>
          </wp:inline>
        </w:drawing>
      </w:r>
    </w:p>
    <w:p w14:paraId="50E74E37">
      <w:pPr>
        <w:rPr>
          <w:rFonts w:hint="eastAsia" w:ascii="宋体" w:hAnsi="宋体" w:eastAsia="宋体" w:cs="宋体"/>
          <w:color w:val="auto"/>
          <w:highlight w:val="none"/>
        </w:rPr>
      </w:pPr>
    </w:p>
    <w:p w14:paraId="24137043">
      <w:pPr>
        <w:rPr>
          <w:rFonts w:hint="eastAsia" w:ascii="宋体" w:hAnsi="宋体" w:eastAsia="宋体" w:cs="宋体"/>
        </w:rPr>
      </w:pPr>
    </w:p>
    <w:p w14:paraId="77AA41E2">
      <w:pPr>
        <w:rPr>
          <w:rFonts w:hint="eastAsia" w:ascii="宋体" w:hAnsi="宋体" w:eastAsia="宋体" w:cs="宋体"/>
        </w:rPr>
      </w:pPr>
    </w:p>
    <w:p w14:paraId="2CBC0C8B">
      <w:pPr>
        <w:rPr>
          <w:rFonts w:hint="eastAsia" w:ascii="宋体" w:hAnsi="宋体" w:eastAsia="宋体" w:cs="宋体"/>
        </w:rPr>
      </w:pPr>
    </w:p>
    <w:p w14:paraId="44EC900C">
      <w:pPr>
        <w:rPr>
          <w:rFonts w:hint="eastAsia" w:ascii="宋体" w:hAnsi="宋体" w:eastAsia="宋体" w:cs="宋体"/>
        </w:rPr>
      </w:pPr>
    </w:p>
    <w:p w14:paraId="00EC1A2A">
      <w:pPr>
        <w:rPr>
          <w:rFonts w:hint="eastAsia" w:ascii="宋体" w:hAnsi="宋体" w:eastAsia="宋体" w:cs="宋体"/>
        </w:rPr>
      </w:pPr>
    </w:p>
    <w:p w14:paraId="2F8241EE">
      <w:pPr>
        <w:rPr>
          <w:rFonts w:hint="eastAsia" w:ascii="宋体" w:hAnsi="宋体" w:eastAsia="宋体" w:cs="宋体"/>
        </w:rPr>
      </w:pPr>
    </w:p>
    <w:p w14:paraId="798C45DD">
      <w:pPr>
        <w:rPr>
          <w:rFonts w:hint="eastAsia" w:ascii="宋体" w:hAnsi="宋体" w:eastAsia="宋体" w:cs="宋体"/>
        </w:rPr>
      </w:pPr>
    </w:p>
    <w:p w14:paraId="36C9709B">
      <w:pPr>
        <w:rPr>
          <w:rFonts w:hint="eastAsia" w:ascii="宋体" w:hAnsi="宋体" w:eastAsia="宋体" w:cs="宋体"/>
        </w:rPr>
      </w:pPr>
    </w:p>
    <w:p w14:paraId="4B6CCB7E">
      <w:pPr>
        <w:rPr>
          <w:rFonts w:hint="eastAsia" w:ascii="宋体" w:hAnsi="宋体" w:eastAsia="宋体" w:cs="宋体"/>
        </w:rPr>
      </w:pPr>
    </w:p>
    <w:p w14:paraId="07F606DA">
      <w:pPr>
        <w:rPr>
          <w:rFonts w:hint="eastAsia" w:ascii="宋体" w:hAnsi="宋体" w:eastAsia="宋体" w:cs="宋体"/>
        </w:rPr>
      </w:pPr>
    </w:p>
    <w:p w14:paraId="4AE815E4">
      <w:pPr>
        <w:rPr>
          <w:rFonts w:hint="eastAsia" w:ascii="宋体" w:hAnsi="宋体" w:eastAsia="宋体" w:cs="宋体"/>
        </w:rPr>
      </w:pPr>
    </w:p>
    <w:p w14:paraId="6FD2E8AF">
      <w:pPr>
        <w:rPr>
          <w:rFonts w:hint="eastAsia" w:ascii="宋体" w:hAnsi="宋体" w:eastAsia="宋体" w:cs="宋体"/>
        </w:rPr>
      </w:pPr>
    </w:p>
    <w:p w14:paraId="69D3EEE5">
      <w:pPr>
        <w:rPr>
          <w:rFonts w:hint="eastAsia" w:ascii="宋体" w:hAnsi="宋体" w:eastAsia="宋体" w:cs="宋体"/>
        </w:rPr>
      </w:pPr>
    </w:p>
    <w:p w14:paraId="7ECC2CAE">
      <w:pPr>
        <w:rPr>
          <w:rFonts w:hint="eastAsia" w:ascii="宋体" w:hAnsi="宋体" w:eastAsia="宋体" w:cs="宋体"/>
        </w:rPr>
      </w:pPr>
    </w:p>
    <w:p w14:paraId="566192B7">
      <w:pPr>
        <w:rPr>
          <w:rFonts w:hint="eastAsia" w:ascii="宋体" w:hAnsi="宋体" w:eastAsia="宋体" w:cs="宋体"/>
        </w:rPr>
      </w:pPr>
    </w:p>
    <w:p w14:paraId="184A4199">
      <w:pPr>
        <w:spacing w:before="151" w:line="360" w:lineRule="auto"/>
        <w:ind w:left="476"/>
        <w:outlineLvl w:val="2"/>
        <w:rPr>
          <w:rFonts w:hint="eastAsia" w:ascii="宋体" w:hAnsi="宋体" w:eastAsia="宋体" w:cs="宋体"/>
          <w:b/>
          <w:bCs/>
          <w:color w:val="auto"/>
          <w:spacing w:val="-11"/>
          <w:sz w:val="24"/>
          <w:szCs w:val="24"/>
          <w:highlight w:val="none"/>
          <w:lang w:val="en-US" w:eastAsia="zh-CN"/>
        </w:rPr>
      </w:pPr>
      <w:bookmarkStart w:id="340" w:name="_Toc16953"/>
      <w:bookmarkStart w:id="341" w:name="_Toc4208"/>
      <w:r>
        <w:rPr>
          <w:rFonts w:hint="eastAsia" w:ascii="宋体" w:hAnsi="宋体" w:eastAsia="宋体" w:cs="宋体"/>
          <w:b/>
          <w:bCs/>
          <w:color w:val="auto"/>
          <w:spacing w:val="-11"/>
          <w:sz w:val="24"/>
          <w:szCs w:val="24"/>
          <w:highlight w:val="none"/>
          <w:lang w:val="en-US" w:eastAsia="zh-CN"/>
        </w:rPr>
        <w:t>格式十二</w:t>
      </w:r>
      <w:bookmarkEnd w:id="340"/>
      <w:r>
        <w:rPr>
          <w:rFonts w:hint="eastAsia" w:ascii="宋体" w:hAnsi="宋体" w:eastAsia="宋体" w:cs="宋体"/>
          <w:b/>
          <w:bCs/>
          <w:color w:val="auto"/>
          <w:spacing w:val="-11"/>
          <w:sz w:val="24"/>
          <w:szCs w:val="24"/>
          <w:highlight w:val="none"/>
          <w:lang w:val="en-US" w:eastAsia="zh-CN"/>
        </w:rPr>
        <w:t xml:space="preserve">   危险性较大的分部分项工程清单及超过一定规模的危险性较大的分部分项工程清单</w:t>
      </w:r>
      <w:bookmarkEnd w:id="341"/>
    </w:p>
    <w:p w14:paraId="3C04293C">
      <w:pPr>
        <w:pStyle w:val="10"/>
        <w:spacing w:before="101" w:line="360" w:lineRule="auto"/>
        <w:ind w:left="3259" w:right="41" w:hanging="3213"/>
        <w:rPr>
          <w:rFonts w:hint="eastAsia" w:ascii="宋体" w:hAnsi="宋体" w:eastAsia="宋体" w:cs="宋体"/>
          <w:color w:val="auto"/>
          <w:sz w:val="28"/>
          <w:szCs w:val="28"/>
          <w:highlight w:val="none"/>
        </w:rPr>
      </w:pPr>
      <w:r>
        <w:rPr>
          <w:rFonts w:hint="eastAsia" w:ascii="宋体" w:hAnsi="宋体" w:eastAsia="宋体" w:cs="宋体"/>
          <w:b/>
          <w:bCs/>
          <w:color w:val="auto"/>
          <w:spacing w:val="7"/>
          <w:sz w:val="28"/>
          <w:szCs w:val="28"/>
          <w:highlight w:val="none"/>
        </w:rPr>
        <w:t>危险性较大的分部分项工程清单及超过一定规模的危险性较大的</w:t>
      </w:r>
      <w:r>
        <w:rPr>
          <w:rFonts w:hint="eastAsia" w:ascii="宋体" w:hAnsi="宋体" w:eastAsia="宋体" w:cs="宋体"/>
          <w:b/>
          <w:bCs/>
          <w:color w:val="auto"/>
          <w:spacing w:val="5"/>
          <w:sz w:val="28"/>
          <w:szCs w:val="28"/>
          <w:highlight w:val="none"/>
        </w:rPr>
        <w:t>分部分项工程清单</w:t>
      </w:r>
    </w:p>
    <w:p w14:paraId="0F06CFE4">
      <w:pPr>
        <w:pStyle w:val="10"/>
        <w:spacing w:before="6" w:line="360" w:lineRule="auto"/>
        <w:ind w:left="5" w:firstLine="492"/>
        <w:rPr>
          <w:rFonts w:hint="eastAsia" w:ascii="宋体" w:hAnsi="宋体" w:eastAsia="宋体" w:cs="宋体"/>
          <w:color w:val="auto"/>
          <w:highlight w:val="none"/>
        </w:rPr>
      </w:pPr>
      <w:r>
        <w:rPr>
          <w:rFonts w:hint="eastAsia" w:ascii="宋体" w:hAnsi="宋体" w:eastAsia="宋体" w:cs="宋体"/>
          <w:color w:val="auto"/>
          <w:spacing w:val="-1"/>
          <w:highlight w:val="none"/>
        </w:rPr>
        <w:t>1、根据中华人民共和国住房和城乡建设部令第37号《危险性较大的分部分项工程</w:t>
      </w:r>
      <w:r>
        <w:rPr>
          <w:rFonts w:hint="eastAsia" w:ascii="宋体" w:hAnsi="宋体" w:eastAsia="宋体" w:cs="宋体"/>
          <w:color w:val="auto"/>
          <w:spacing w:val="8"/>
          <w:highlight w:val="none"/>
        </w:rPr>
        <w:t xml:space="preserve"> </w:t>
      </w:r>
      <w:r>
        <w:rPr>
          <w:rFonts w:hint="eastAsia" w:ascii="宋体" w:hAnsi="宋体" w:eastAsia="宋体" w:cs="宋体"/>
          <w:color w:val="auto"/>
          <w:spacing w:val="-2"/>
          <w:highlight w:val="none"/>
        </w:rPr>
        <w:t>安全管理规定》（以下简称“37号文</w:t>
      </w:r>
      <w:r>
        <w:rPr>
          <w:rFonts w:hint="eastAsia" w:ascii="宋体" w:hAnsi="宋体" w:eastAsia="宋体" w:cs="宋体"/>
          <w:color w:val="auto"/>
          <w:spacing w:val="-88"/>
          <w:highlight w:val="none"/>
        </w:rPr>
        <w:t xml:space="preserve"> </w:t>
      </w:r>
      <w:r>
        <w:rPr>
          <w:rFonts w:hint="eastAsia" w:ascii="宋体" w:hAnsi="宋体" w:eastAsia="宋体" w:cs="宋体"/>
          <w:color w:val="auto"/>
          <w:spacing w:val="-2"/>
          <w:highlight w:val="none"/>
        </w:rPr>
        <w:t>”</w:t>
      </w:r>
      <w:r>
        <w:rPr>
          <w:rFonts w:hint="eastAsia" w:ascii="宋体" w:hAnsi="宋体" w:eastAsia="宋体" w:cs="宋体"/>
          <w:color w:val="auto"/>
          <w:spacing w:val="-11"/>
          <w:highlight w:val="none"/>
        </w:rPr>
        <w:t>），</w:t>
      </w:r>
      <w:r>
        <w:rPr>
          <w:rFonts w:hint="eastAsia" w:ascii="宋体" w:hAnsi="宋体" w:eastAsia="宋体" w:cs="宋体"/>
          <w:color w:val="auto"/>
          <w:spacing w:val="-2"/>
          <w:highlight w:val="none"/>
        </w:rPr>
        <w:t>投标人在投标时须补充完善危大工程清单并</w:t>
      </w:r>
      <w:r>
        <w:rPr>
          <w:rFonts w:hint="eastAsia" w:ascii="宋体" w:hAnsi="宋体" w:eastAsia="宋体" w:cs="宋体"/>
          <w:color w:val="auto"/>
          <w:highlight w:val="none"/>
        </w:rPr>
        <w:t xml:space="preserve"> </w:t>
      </w:r>
      <w:r>
        <w:rPr>
          <w:rFonts w:hint="eastAsia" w:ascii="宋体" w:hAnsi="宋体" w:eastAsia="宋体" w:cs="宋体"/>
          <w:color w:val="auto"/>
          <w:spacing w:val="-2"/>
          <w:highlight w:val="none"/>
        </w:rPr>
        <w:t>明确相应的安全管理措施。</w:t>
      </w:r>
    </w:p>
    <w:p w14:paraId="66587309">
      <w:pPr>
        <w:pStyle w:val="10"/>
        <w:spacing w:before="208" w:line="360" w:lineRule="auto"/>
        <w:ind w:left="1" w:firstLine="481"/>
        <w:rPr>
          <w:rFonts w:hint="eastAsia" w:ascii="宋体" w:hAnsi="宋体" w:eastAsia="宋体" w:cs="宋体"/>
          <w:color w:val="auto"/>
          <w:highlight w:val="none"/>
        </w:rPr>
      </w:pPr>
      <w:r>
        <w:rPr>
          <w:rFonts w:hint="eastAsia" w:ascii="宋体" w:hAnsi="宋体" w:eastAsia="宋体" w:cs="宋体"/>
          <w:color w:val="auto"/>
          <w:spacing w:val="-2"/>
          <w:highlight w:val="none"/>
        </w:rPr>
        <w:t>2、招标人根据设计文件的要求及37号文、粤建规范〔2019〕2号文的规定列出“危</w:t>
      </w:r>
      <w:r>
        <w:rPr>
          <w:rFonts w:hint="eastAsia" w:ascii="宋体" w:hAnsi="宋体" w:eastAsia="宋体" w:cs="宋体"/>
          <w:color w:val="auto"/>
          <w:spacing w:val="18"/>
          <w:highlight w:val="none"/>
        </w:rPr>
        <w:t xml:space="preserve"> </w:t>
      </w:r>
      <w:r>
        <w:rPr>
          <w:rFonts w:hint="eastAsia" w:ascii="宋体" w:hAnsi="宋体" w:eastAsia="宋体" w:cs="宋体"/>
          <w:color w:val="auto"/>
          <w:spacing w:val="-2"/>
          <w:highlight w:val="none"/>
        </w:rPr>
        <w:t>险性较大的分部分项工程清单及超过一定规模的危</w:t>
      </w:r>
      <w:r>
        <w:rPr>
          <w:rFonts w:hint="eastAsia" w:ascii="宋体" w:hAnsi="宋体" w:eastAsia="宋体" w:cs="宋体"/>
          <w:color w:val="auto"/>
          <w:spacing w:val="-3"/>
          <w:highlight w:val="none"/>
        </w:rPr>
        <w:t>险性较大的分部分项工程清单</w:t>
      </w:r>
      <w:r>
        <w:rPr>
          <w:rFonts w:hint="eastAsia" w:ascii="宋体" w:hAnsi="宋体" w:eastAsia="宋体" w:cs="宋体"/>
          <w:color w:val="auto"/>
          <w:spacing w:val="-88"/>
          <w:highlight w:val="none"/>
        </w:rPr>
        <w:t xml:space="preserve"> </w:t>
      </w:r>
      <w:r>
        <w:rPr>
          <w:rFonts w:hint="eastAsia" w:ascii="宋体" w:hAnsi="宋体" w:eastAsia="宋体" w:cs="宋体"/>
          <w:color w:val="auto"/>
          <w:spacing w:val="-3"/>
          <w:highlight w:val="none"/>
        </w:rPr>
        <w:t>”中与</w:t>
      </w:r>
      <w:r>
        <w:rPr>
          <w:rFonts w:hint="eastAsia" w:ascii="宋体" w:hAnsi="宋体" w:eastAsia="宋体" w:cs="宋体"/>
          <w:color w:val="auto"/>
          <w:highlight w:val="none"/>
        </w:rPr>
        <w:t xml:space="preserve"> </w:t>
      </w:r>
      <w:r>
        <w:rPr>
          <w:rFonts w:hint="eastAsia" w:ascii="宋体" w:hAnsi="宋体" w:eastAsia="宋体" w:cs="宋体"/>
          <w:color w:val="auto"/>
          <w:spacing w:val="-5"/>
          <w:highlight w:val="none"/>
        </w:rPr>
        <w:t>本招标项目相关的清单项，具体详见第5点“打</w:t>
      </w:r>
      <w:r>
        <w:rPr>
          <w:rFonts w:hint="eastAsia" w:ascii="宋体" w:hAnsi="宋体" w:eastAsia="宋体" w:cs="宋体"/>
          <w:color w:val="auto"/>
          <w:spacing w:val="-34"/>
          <w:highlight w:val="none"/>
        </w:rPr>
        <w:t xml:space="preserve"> </w:t>
      </w:r>
      <w:r>
        <w:rPr>
          <w:rFonts w:hint="eastAsia" w:ascii="宋体" w:hAnsi="宋体" w:eastAsia="宋体" w:cs="宋体"/>
          <w:color w:val="auto"/>
          <w:spacing w:val="-5"/>
          <w:highlight w:val="none"/>
        </w:rPr>
        <w:t>√</w:t>
      </w:r>
      <w:r>
        <w:rPr>
          <w:rFonts w:hint="eastAsia" w:ascii="宋体" w:hAnsi="宋体" w:eastAsia="宋体" w:cs="宋体"/>
          <w:color w:val="auto"/>
          <w:spacing w:val="-88"/>
          <w:highlight w:val="none"/>
        </w:rPr>
        <w:t xml:space="preserve"> </w:t>
      </w:r>
      <w:r>
        <w:rPr>
          <w:rFonts w:hint="eastAsia" w:ascii="宋体" w:hAnsi="宋体" w:eastAsia="宋体" w:cs="宋体"/>
          <w:color w:val="auto"/>
          <w:spacing w:val="-5"/>
          <w:highlight w:val="none"/>
        </w:rPr>
        <w:t>”标识。</w:t>
      </w:r>
    </w:p>
    <w:p w14:paraId="688A95F4">
      <w:pPr>
        <w:pStyle w:val="10"/>
        <w:spacing w:before="208" w:line="360" w:lineRule="auto"/>
        <w:ind w:left="3" w:right="72" w:firstLine="488"/>
        <w:rPr>
          <w:rFonts w:hint="eastAsia" w:ascii="宋体" w:hAnsi="宋体" w:eastAsia="宋体" w:cs="宋体"/>
          <w:color w:val="auto"/>
          <w:highlight w:val="none"/>
        </w:rPr>
      </w:pPr>
      <w:r>
        <w:rPr>
          <w:rFonts w:hint="eastAsia" w:ascii="宋体" w:hAnsi="宋体" w:eastAsia="宋体" w:cs="宋体"/>
          <w:color w:val="auto"/>
          <w:spacing w:val="-3"/>
          <w:highlight w:val="none"/>
        </w:rPr>
        <w:t>（1）投标单位同意建设单位在清单中标识的该</w:t>
      </w:r>
      <w:r>
        <w:rPr>
          <w:rFonts w:hint="eastAsia" w:ascii="宋体" w:hAnsi="宋体" w:eastAsia="宋体" w:cs="宋体"/>
          <w:color w:val="auto"/>
          <w:spacing w:val="-4"/>
          <w:highlight w:val="none"/>
        </w:rPr>
        <w:t>项请在对应项打“</w:t>
      </w:r>
      <w:r>
        <w:rPr>
          <w:rFonts w:hint="eastAsia" w:ascii="宋体" w:hAnsi="宋体" w:eastAsia="宋体" w:cs="宋体"/>
          <w:color w:val="auto"/>
          <w:spacing w:val="-51"/>
          <w:highlight w:val="none"/>
        </w:rPr>
        <w:t xml:space="preserve"> </w:t>
      </w:r>
      <w:r>
        <w:rPr>
          <w:rFonts w:hint="eastAsia" w:ascii="宋体" w:hAnsi="宋体" w:eastAsia="宋体" w:cs="宋体"/>
          <w:color w:val="auto"/>
          <w:spacing w:val="-4"/>
          <w:highlight w:val="none"/>
        </w:rPr>
        <w:t>√</w:t>
      </w:r>
      <w:r>
        <w:rPr>
          <w:rFonts w:hint="eastAsia" w:ascii="宋体" w:hAnsi="宋体" w:eastAsia="宋体" w:cs="宋体"/>
          <w:color w:val="auto"/>
          <w:spacing w:val="-88"/>
          <w:highlight w:val="none"/>
        </w:rPr>
        <w:t xml:space="preserve"> </w:t>
      </w:r>
      <w:r>
        <w:rPr>
          <w:rFonts w:hint="eastAsia" w:ascii="宋体" w:hAnsi="宋体" w:eastAsia="宋体" w:cs="宋体"/>
          <w:color w:val="auto"/>
          <w:spacing w:val="-4"/>
          <w:highlight w:val="none"/>
        </w:rPr>
        <w:t>”标识，并与</w:t>
      </w:r>
      <w:r>
        <w:rPr>
          <w:rFonts w:hint="eastAsia" w:ascii="宋体" w:hAnsi="宋体" w:eastAsia="宋体" w:cs="宋体"/>
          <w:color w:val="auto"/>
          <w:highlight w:val="none"/>
        </w:rPr>
        <w:t xml:space="preserve"> </w:t>
      </w:r>
      <w:r>
        <w:rPr>
          <w:rFonts w:hint="eastAsia" w:ascii="宋体" w:hAnsi="宋体" w:eastAsia="宋体" w:cs="宋体"/>
          <w:color w:val="auto"/>
          <w:spacing w:val="-1"/>
          <w:highlight w:val="none"/>
        </w:rPr>
        <w:t>投标文件中提供相应的安全管理措施。</w:t>
      </w:r>
    </w:p>
    <w:p w14:paraId="10A3F36C">
      <w:pPr>
        <w:pStyle w:val="10"/>
        <w:spacing w:before="206" w:line="360" w:lineRule="auto"/>
        <w:ind w:left="2" w:right="72" w:firstLine="489"/>
        <w:rPr>
          <w:rFonts w:hint="eastAsia" w:ascii="宋体" w:hAnsi="宋体" w:eastAsia="宋体" w:cs="宋体"/>
          <w:color w:val="auto"/>
          <w:highlight w:val="none"/>
        </w:rPr>
      </w:pPr>
      <w:r>
        <w:rPr>
          <w:rFonts w:hint="eastAsia" w:ascii="宋体" w:hAnsi="宋体" w:eastAsia="宋体" w:cs="宋体"/>
          <w:color w:val="auto"/>
          <w:spacing w:val="-3"/>
          <w:highlight w:val="none"/>
        </w:rPr>
        <w:t>（2）投标单位对清单中认为需要补充的该项请</w:t>
      </w:r>
      <w:r>
        <w:rPr>
          <w:rFonts w:hint="eastAsia" w:ascii="宋体" w:hAnsi="宋体" w:eastAsia="宋体" w:cs="宋体"/>
          <w:color w:val="auto"/>
          <w:spacing w:val="-4"/>
          <w:highlight w:val="none"/>
        </w:rPr>
        <w:t>在对应项打“</w:t>
      </w:r>
      <w:r>
        <w:rPr>
          <w:rFonts w:hint="eastAsia" w:ascii="宋体" w:hAnsi="宋体" w:eastAsia="宋体" w:cs="宋体"/>
          <w:color w:val="auto"/>
          <w:spacing w:val="-51"/>
          <w:highlight w:val="none"/>
        </w:rPr>
        <w:t xml:space="preserve"> </w:t>
      </w:r>
      <w:r>
        <w:rPr>
          <w:rFonts w:hint="eastAsia" w:ascii="宋体" w:hAnsi="宋体" w:eastAsia="宋体" w:cs="宋体"/>
          <w:color w:val="auto"/>
          <w:spacing w:val="-4"/>
          <w:highlight w:val="none"/>
        </w:rPr>
        <w:t>√</w:t>
      </w:r>
      <w:r>
        <w:rPr>
          <w:rFonts w:hint="eastAsia" w:ascii="宋体" w:hAnsi="宋体" w:eastAsia="宋体" w:cs="宋体"/>
          <w:color w:val="auto"/>
          <w:spacing w:val="-88"/>
          <w:highlight w:val="none"/>
        </w:rPr>
        <w:t xml:space="preserve"> </w:t>
      </w:r>
      <w:r>
        <w:rPr>
          <w:rFonts w:hint="eastAsia" w:ascii="宋体" w:hAnsi="宋体" w:eastAsia="宋体" w:cs="宋体"/>
          <w:color w:val="auto"/>
          <w:spacing w:val="-4"/>
          <w:highlight w:val="none"/>
        </w:rPr>
        <w:t>”标识，并与投标</w:t>
      </w:r>
      <w:r>
        <w:rPr>
          <w:rFonts w:hint="eastAsia" w:ascii="宋体" w:hAnsi="宋体" w:eastAsia="宋体" w:cs="宋体"/>
          <w:color w:val="auto"/>
          <w:highlight w:val="none"/>
        </w:rPr>
        <w:t xml:space="preserve"> </w:t>
      </w:r>
      <w:r>
        <w:rPr>
          <w:rFonts w:hint="eastAsia" w:ascii="宋体" w:hAnsi="宋体" w:eastAsia="宋体" w:cs="宋体"/>
          <w:color w:val="auto"/>
          <w:spacing w:val="-1"/>
          <w:highlight w:val="none"/>
        </w:rPr>
        <w:t>文件中提供相应的安全管理措施。</w:t>
      </w:r>
    </w:p>
    <w:p w14:paraId="31E03A44">
      <w:pPr>
        <w:pStyle w:val="10"/>
        <w:spacing w:before="208" w:line="360" w:lineRule="auto"/>
        <w:ind w:right="72" w:firstLine="492"/>
        <w:rPr>
          <w:rFonts w:hint="eastAsia" w:ascii="宋体" w:hAnsi="宋体" w:eastAsia="宋体" w:cs="宋体"/>
          <w:color w:val="auto"/>
          <w:highlight w:val="none"/>
        </w:rPr>
      </w:pPr>
      <w:r>
        <w:rPr>
          <w:rFonts w:hint="eastAsia" w:ascii="宋体" w:hAnsi="宋体" w:eastAsia="宋体" w:cs="宋体"/>
          <w:color w:val="auto"/>
          <w:spacing w:val="-3"/>
          <w:highlight w:val="none"/>
        </w:rPr>
        <w:t>（3）投标单位不同意建设单位在清单中标识的该项请在对应项打“</w:t>
      </w:r>
      <w:r>
        <w:rPr>
          <w:rFonts w:hint="eastAsia" w:ascii="宋体" w:hAnsi="宋体" w:eastAsia="宋体" w:cs="宋体"/>
          <w:color w:val="auto"/>
          <w:spacing w:val="-66"/>
          <w:highlight w:val="none"/>
        </w:rPr>
        <w:t xml:space="preserve"> </w:t>
      </w:r>
      <w:r>
        <w:rPr>
          <w:rFonts w:hint="eastAsia" w:ascii="宋体" w:hAnsi="宋体" w:eastAsia="宋体" w:cs="宋体"/>
          <w:color w:val="auto"/>
          <w:spacing w:val="-3"/>
          <w:highlight w:val="none"/>
        </w:rPr>
        <w:t>×</w:t>
      </w:r>
      <w:r>
        <w:rPr>
          <w:rFonts w:hint="eastAsia" w:ascii="宋体" w:hAnsi="宋体" w:eastAsia="宋体" w:cs="宋体"/>
          <w:color w:val="auto"/>
          <w:spacing w:val="-88"/>
          <w:highlight w:val="none"/>
        </w:rPr>
        <w:t xml:space="preserve"> </w:t>
      </w:r>
      <w:r>
        <w:rPr>
          <w:rFonts w:hint="eastAsia" w:ascii="宋体" w:hAnsi="宋体" w:eastAsia="宋体" w:cs="宋体"/>
          <w:color w:val="auto"/>
          <w:spacing w:val="-3"/>
          <w:highlight w:val="none"/>
        </w:rPr>
        <w:t>”标识，并</w:t>
      </w:r>
      <w:r>
        <w:rPr>
          <w:rFonts w:hint="eastAsia" w:ascii="宋体" w:hAnsi="宋体" w:eastAsia="宋体" w:cs="宋体"/>
          <w:color w:val="auto"/>
          <w:highlight w:val="none"/>
        </w:rPr>
        <w:t xml:space="preserve"> </w:t>
      </w:r>
      <w:r>
        <w:rPr>
          <w:rFonts w:hint="eastAsia" w:ascii="宋体" w:hAnsi="宋体" w:eastAsia="宋体" w:cs="宋体"/>
          <w:color w:val="auto"/>
          <w:spacing w:val="-1"/>
          <w:highlight w:val="none"/>
        </w:rPr>
        <w:t>在备注栏填上相关说明。</w:t>
      </w:r>
    </w:p>
    <w:p w14:paraId="4EFDC912">
      <w:pPr>
        <w:pStyle w:val="10"/>
        <w:spacing w:before="210" w:line="360" w:lineRule="auto"/>
        <w:ind w:firstLine="484"/>
        <w:jc w:val="both"/>
        <w:rPr>
          <w:rFonts w:hint="eastAsia" w:ascii="宋体" w:hAnsi="宋体" w:eastAsia="宋体" w:cs="宋体"/>
          <w:color w:val="auto"/>
          <w:highlight w:val="none"/>
        </w:rPr>
      </w:pPr>
      <w:r>
        <w:rPr>
          <w:rFonts w:hint="eastAsia" w:ascii="宋体" w:hAnsi="宋体" w:eastAsia="宋体" w:cs="宋体"/>
          <w:b/>
          <w:bCs/>
          <w:color w:val="auto"/>
          <w:spacing w:val="-4"/>
          <w:highlight w:val="none"/>
          <w:u w:val="single" w:color="auto"/>
        </w:rPr>
        <w:t>3、投标单位应当在投标时根据招标人提供的下述第5点清单，</w:t>
      </w:r>
      <w:r>
        <w:rPr>
          <w:rFonts w:hint="eastAsia" w:ascii="宋体" w:hAnsi="宋体" w:eastAsia="宋体" w:cs="宋体"/>
          <w:b/>
          <w:bCs/>
          <w:color w:val="auto"/>
          <w:spacing w:val="-5"/>
          <w:highlight w:val="none"/>
          <w:u w:val="single" w:color="auto"/>
        </w:rPr>
        <w:t>在投标施工组织中回</w:t>
      </w:r>
      <w:r>
        <w:rPr>
          <w:rFonts w:hint="eastAsia" w:ascii="宋体" w:hAnsi="宋体" w:eastAsia="宋体" w:cs="宋体"/>
          <w:b/>
          <w:bCs/>
          <w:color w:val="auto"/>
          <w:spacing w:val="-4"/>
          <w:highlight w:val="none"/>
          <w:u w:val="single" w:color="auto"/>
        </w:rPr>
        <w:t>应建设单位提供的危大工程清单，补充相应的安全管理措施。（为减轻标书编制</w:t>
      </w:r>
      <w:r>
        <w:rPr>
          <w:rFonts w:hint="eastAsia" w:ascii="宋体" w:hAnsi="宋体" w:eastAsia="宋体" w:cs="宋体"/>
          <w:b/>
          <w:bCs/>
          <w:color w:val="auto"/>
          <w:spacing w:val="-5"/>
          <w:highlight w:val="none"/>
          <w:u w:val="single" w:color="auto"/>
        </w:rPr>
        <w:t>的工作</w:t>
      </w:r>
      <w:r>
        <w:rPr>
          <w:rFonts w:hint="eastAsia" w:ascii="宋体" w:hAnsi="宋体" w:eastAsia="宋体" w:cs="宋体"/>
          <w:b/>
          <w:bCs/>
          <w:color w:val="auto"/>
          <w:spacing w:val="-2"/>
          <w:highlight w:val="none"/>
          <w:u w:val="single" w:color="auto"/>
        </w:rPr>
        <w:t>量，投标单位回应的危大工程清单该部分的页数应控制在3页内）</w:t>
      </w:r>
    </w:p>
    <w:p w14:paraId="06901094">
      <w:pPr>
        <w:pStyle w:val="10"/>
        <w:spacing w:before="37" w:line="360" w:lineRule="auto"/>
        <w:ind w:left="1" w:firstLine="478"/>
        <w:rPr>
          <w:rFonts w:hint="eastAsia" w:ascii="宋体" w:hAnsi="宋体" w:eastAsia="宋体" w:cs="宋体"/>
          <w:color w:val="auto"/>
          <w:highlight w:val="none"/>
        </w:rPr>
      </w:pPr>
      <w:r>
        <w:rPr>
          <w:rFonts w:hint="eastAsia" w:ascii="宋体" w:hAnsi="宋体" w:eastAsia="宋体" w:cs="宋体"/>
          <w:color w:val="auto"/>
          <w:highlight w:val="none"/>
        </w:rPr>
        <w:t>4、对于超过一定规模的危大工程，中标单位应当组织召开</w:t>
      </w:r>
      <w:r>
        <w:rPr>
          <w:rFonts w:hint="eastAsia" w:ascii="宋体" w:hAnsi="宋体" w:eastAsia="宋体" w:cs="宋体"/>
          <w:color w:val="auto"/>
          <w:spacing w:val="-1"/>
          <w:highlight w:val="none"/>
        </w:rPr>
        <w:t>专家论证会对专项施工</w:t>
      </w:r>
      <w:r>
        <w:rPr>
          <w:rFonts w:hint="eastAsia" w:ascii="宋体" w:hAnsi="宋体" w:eastAsia="宋体" w:cs="宋体"/>
          <w:color w:val="auto"/>
          <w:highlight w:val="none"/>
        </w:rPr>
        <w:t xml:space="preserve"> </w:t>
      </w:r>
      <w:r>
        <w:rPr>
          <w:rFonts w:hint="eastAsia" w:ascii="宋体" w:hAnsi="宋体" w:eastAsia="宋体" w:cs="宋体"/>
          <w:color w:val="auto"/>
          <w:spacing w:val="-2"/>
          <w:highlight w:val="none"/>
        </w:rPr>
        <w:t>方案进行论证。实行施工总承包的，由施工总承包单位组织召开专家论证会。专家论证</w:t>
      </w:r>
      <w:r>
        <w:rPr>
          <w:rFonts w:hint="eastAsia" w:ascii="宋体" w:hAnsi="宋体" w:eastAsia="宋体" w:cs="宋体"/>
          <w:color w:val="auto"/>
          <w:spacing w:val="16"/>
          <w:highlight w:val="none"/>
        </w:rPr>
        <w:t xml:space="preserve"> </w:t>
      </w:r>
      <w:r>
        <w:rPr>
          <w:rFonts w:hint="eastAsia" w:ascii="宋体" w:hAnsi="宋体" w:eastAsia="宋体" w:cs="宋体"/>
          <w:color w:val="auto"/>
          <w:spacing w:val="-1"/>
          <w:highlight w:val="none"/>
        </w:rPr>
        <w:t>前专项施工方案应当通过施工总承包单位审核和总监理工程师审查。</w:t>
      </w:r>
    </w:p>
    <w:p w14:paraId="3C5F3DD9">
      <w:pPr>
        <w:pStyle w:val="10"/>
        <w:spacing w:before="205" w:line="360" w:lineRule="auto"/>
        <w:ind w:firstLine="484"/>
        <w:rPr>
          <w:rFonts w:hint="eastAsia" w:ascii="宋体" w:hAnsi="宋体" w:eastAsia="宋体" w:cs="宋体"/>
          <w:color w:val="auto"/>
          <w:highlight w:val="none"/>
          <w:lang w:eastAsia="zh-CN"/>
        </w:rPr>
      </w:pPr>
      <w:r>
        <w:rPr>
          <w:rFonts w:hint="eastAsia" w:ascii="宋体" w:hAnsi="宋体" w:eastAsia="宋体" w:cs="宋体"/>
          <w:color w:val="auto"/>
          <w:spacing w:val="2"/>
          <w:highlight w:val="none"/>
        </w:rPr>
        <w:t>5、危险性较大的分部分项工程清单及超过一</w:t>
      </w:r>
      <w:r>
        <w:rPr>
          <w:rFonts w:hint="eastAsia" w:ascii="宋体" w:hAnsi="宋体" w:eastAsia="宋体" w:cs="宋体"/>
          <w:color w:val="auto"/>
          <w:spacing w:val="1"/>
          <w:highlight w:val="none"/>
        </w:rPr>
        <w:t>定规模的危险性较大的分部分项工程</w:t>
      </w:r>
      <w:r>
        <w:rPr>
          <w:rFonts w:hint="eastAsia" w:ascii="宋体" w:hAnsi="宋体" w:eastAsia="宋体" w:cs="宋体"/>
          <w:color w:val="auto"/>
          <w:spacing w:val="-4"/>
          <w:highlight w:val="none"/>
        </w:rPr>
        <w:t>清单</w:t>
      </w:r>
      <w:r>
        <w:rPr>
          <w:rFonts w:hint="eastAsia" w:ascii="宋体" w:hAnsi="宋体" w:eastAsia="宋体" w:cs="宋体"/>
          <w:color w:val="auto"/>
          <w:spacing w:val="-4"/>
          <w:highlight w:val="none"/>
          <w:lang w:eastAsia="zh-CN"/>
        </w:rPr>
        <w:t>。</w:t>
      </w:r>
    </w:p>
    <w:p w14:paraId="4D834F10">
      <w:pPr>
        <w:rPr>
          <w:rFonts w:hint="eastAsia"/>
        </w:rPr>
      </w:pPr>
    </w:p>
    <w:p w14:paraId="29C516F6">
      <w:pPr>
        <w:rPr>
          <w:rFonts w:hint="eastAsia"/>
          <w:lang w:val="en-US" w:eastAsia="zh-CN"/>
        </w:rPr>
      </w:pPr>
    </w:p>
    <w:p w14:paraId="7F8521A1">
      <w:pPr>
        <w:rPr>
          <w:rFonts w:hint="eastAsia"/>
          <w:lang w:val="en-US" w:eastAsia="zh-CN"/>
        </w:rPr>
      </w:pPr>
    </w:p>
    <w:p w14:paraId="6C9C6B91">
      <w:pPr>
        <w:rPr>
          <w:rFonts w:hint="eastAsia"/>
          <w:lang w:val="en-US" w:eastAsia="zh-CN"/>
        </w:rPr>
      </w:pPr>
    </w:p>
    <w:p w14:paraId="5DAF8C6D">
      <w:pPr>
        <w:rPr>
          <w:rFonts w:hint="eastAsia"/>
          <w:lang w:val="en-US" w:eastAsia="zh-CN"/>
        </w:rPr>
      </w:pPr>
    </w:p>
    <w:p w14:paraId="5A733888">
      <w:pPr>
        <w:rPr>
          <w:rFonts w:hint="eastAsia"/>
          <w:lang w:val="en-US" w:eastAsia="zh-CN"/>
        </w:rPr>
      </w:pPr>
    </w:p>
    <w:p w14:paraId="1B89D15C">
      <w:pPr>
        <w:rPr>
          <w:rFonts w:hint="eastAsia"/>
          <w:lang w:val="en-US" w:eastAsia="zh-CN"/>
        </w:rPr>
      </w:pPr>
    </w:p>
    <w:p w14:paraId="487E35EF">
      <w:pPr>
        <w:rPr>
          <w:rFonts w:hint="eastAsia"/>
          <w:lang w:val="en-US" w:eastAsia="zh-CN"/>
        </w:rPr>
      </w:pPr>
    </w:p>
    <w:p w14:paraId="58A8B20C">
      <w:pPr>
        <w:rPr>
          <w:rFonts w:hint="eastAsia"/>
          <w:lang w:val="en-US" w:eastAsia="zh-CN"/>
        </w:rPr>
      </w:pPr>
    </w:p>
    <w:p w14:paraId="4E773BE7">
      <w:pPr>
        <w:rPr>
          <w:rFonts w:hint="eastAsia"/>
          <w:lang w:val="en-US" w:eastAsia="zh-CN"/>
        </w:rPr>
      </w:pPr>
    </w:p>
    <w:p w14:paraId="28E4F02E">
      <w:pPr>
        <w:rPr>
          <w:rFonts w:hint="eastAsia"/>
          <w:lang w:val="en-US" w:eastAsia="zh-CN"/>
        </w:rPr>
      </w:pPr>
    </w:p>
    <w:p w14:paraId="6ECFFB9D">
      <w:pPr>
        <w:rPr>
          <w:rFonts w:hint="eastAsia"/>
          <w:lang w:val="en-US" w:eastAsia="zh-CN"/>
        </w:rPr>
      </w:pPr>
    </w:p>
    <w:p w14:paraId="63394A15">
      <w:pPr>
        <w:rPr>
          <w:rFonts w:hint="eastAsia"/>
          <w:lang w:val="en-US" w:eastAsia="zh-CN"/>
        </w:rPr>
      </w:pPr>
    </w:p>
    <w:p w14:paraId="5D27FC03">
      <w:pPr>
        <w:rPr>
          <w:rFonts w:hint="eastAsia"/>
          <w:lang w:val="en-US" w:eastAsia="zh-CN"/>
        </w:rPr>
      </w:pPr>
    </w:p>
    <w:p w14:paraId="123DB228">
      <w:pPr>
        <w:spacing w:before="151" w:line="360" w:lineRule="auto"/>
        <w:ind w:left="476"/>
        <w:outlineLvl w:val="2"/>
        <w:rPr>
          <w:rFonts w:hint="eastAsia" w:ascii="宋体" w:hAnsi="宋体" w:eastAsia="宋体" w:cs="宋体"/>
          <w:b/>
          <w:bCs/>
          <w:color w:val="auto"/>
          <w:spacing w:val="-11"/>
          <w:sz w:val="24"/>
          <w:szCs w:val="24"/>
          <w:highlight w:val="none"/>
          <w:lang w:val="en-US" w:eastAsia="zh-CN"/>
        </w:rPr>
      </w:pPr>
      <w:bookmarkStart w:id="342" w:name="_Toc6639"/>
      <w:bookmarkStart w:id="343" w:name="_Toc13446"/>
      <w:bookmarkStart w:id="344" w:name="_Toc2046"/>
      <w:r>
        <w:rPr>
          <w:rFonts w:hint="eastAsia" w:ascii="宋体" w:hAnsi="宋体" w:eastAsia="宋体" w:cs="宋体"/>
          <w:b/>
          <w:bCs/>
          <w:color w:val="auto"/>
          <w:spacing w:val="-11"/>
          <w:sz w:val="24"/>
          <w:szCs w:val="24"/>
          <w:highlight w:val="none"/>
          <w:lang w:val="en-US" w:eastAsia="zh-CN"/>
        </w:rPr>
        <w:t>格式十三</w:t>
      </w:r>
      <w:bookmarkEnd w:id="342"/>
      <w:bookmarkEnd w:id="343"/>
      <w:r>
        <w:rPr>
          <w:rFonts w:hint="eastAsia" w:ascii="宋体" w:hAnsi="宋体" w:eastAsia="宋体" w:cs="宋体"/>
          <w:b/>
          <w:bCs/>
          <w:color w:val="auto"/>
          <w:spacing w:val="-11"/>
          <w:sz w:val="24"/>
          <w:szCs w:val="24"/>
          <w:highlight w:val="none"/>
          <w:lang w:val="en-US" w:eastAsia="zh-CN"/>
        </w:rPr>
        <w:t xml:space="preserve">   投标保证金信用承诺函</w:t>
      </w:r>
      <w:bookmarkEnd w:id="344"/>
    </w:p>
    <w:p w14:paraId="0A711391">
      <w:pPr>
        <w:pStyle w:val="10"/>
        <w:spacing w:before="140" w:line="360" w:lineRule="auto"/>
        <w:ind w:left="2338"/>
        <w:rPr>
          <w:rFonts w:hint="eastAsia" w:ascii="宋体" w:hAnsi="宋体" w:eastAsia="宋体" w:cs="宋体"/>
          <w:color w:val="auto"/>
          <w:sz w:val="36"/>
          <w:szCs w:val="36"/>
          <w:highlight w:val="none"/>
        </w:rPr>
      </w:pPr>
      <w:r>
        <w:rPr>
          <w:rFonts w:hint="eastAsia" w:ascii="宋体" w:hAnsi="宋体" w:eastAsia="宋体" w:cs="宋体"/>
          <w:b/>
          <w:bCs/>
          <w:color w:val="auto"/>
          <w:spacing w:val="4"/>
          <w:position w:val="3"/>
          <w:sz w:val="36"/>
          <w:szCs w:val="36"/>
          <w:highlight w:val="none"/>
        </w:rPr>
        <w:t>投标保证金信用承诺函</w:t>
      </w:r>
    </w:p>
    <w:p w14:paraId="325EB536">
      <w:pPr>
        <w:spacing w:line="360" w:lineRule="auto"/>
        <w:rPr>
          <w:rFonts w:hint="eastAsia" w:ascii="宋体" w:hAnsi="宋体" w:eastAsia="宋体" w:cs="宋体"/>
          <w:color w:val="auto"/>
          <w:sz w:val="21"/>
          <w:highlight w:val="none"/>
        </w:rPr>
      </w:pPr>
    </w:p>
    <w:p w14:paraId="32ED0890">
      <w:pPr>
        <w:pStyle w:val="10"/>
        <w:spacing w:before="101" w:line="360" w:lineRule="auto"/>
        <w:ind w:firstLine="450" w:firstLineChars="200"/>
        <w:jc w:val="both"/>
        <w:rPr>
          <w:rFonts w:hint="eastAsia" w:ascii="宋体" w:hAnsi="宋体" w:eastAsia="宋体" w:cs="宋体"/>
          <w:color w:val="auto"/>
          <w:highlight w:val="none"/>
        </w:rPr>
      </w:pPr>
      <w:r>
        <w:rPr>
          <w:rFonts w:hint="eastAsia" w:ascii="宋体" w:hAnsi="宋体" w:eastAsia="宋体" w:cs="宋体"/>
          <w:b/>
          <w:bCs/>
          <w:color w:val="auto"/>
          <w:spacing w:val="7"/>
          <w:highlight w:val="none"/>
        </w:rPr>
        <w:t>一、</w:t>
      </w:r>
      <w:r>
        <w:rPr>
          <w:rFonts w:hint="eastAsia" w:ascii="宋体" w:hAnsi="宋体" w:eastAsia="宋体" w:cs="宋体"/>
          <w:color w:val="auto"/>
          <w:spacing w:val="7"/>
          <w:highlight w:val="none"/>
        </w:rPr>
        <w:t>我单位参加</w:t>
      </w:r>
      <w:r>
        <w:rPr>
          <w:rFonts w:hint="eastAsia" w:ascii="宋体" w:hAnsi="宋体" w:eastAsia="宋体" w:cs="宋体"/>
          <w:color w:val="auto"/>
          <w:spacing w:val="7"/>
          <w:highlight w:val="none"/>
          <w:u w:val="single" w:color="auto"/>
        </w:rPr>
        <w:t xml:space="preserve">  （工程项目名称）  </w:t>
      </w:r>
      <w:r>
        <w:rPr>
          <w:rFonts w:hint="eastAsia" w:ascii="宋体" w:hAnsi="宋体" w:eastAsia="宋体" w:cs="宋体"/>
          <w:color w:val="auto"/>
          <w:spacing w:val="-116"/>
          <w:highlight w:val="none"/>
        </w:rPr>
        <w:t xml:space="preserve"> </w:t>
      </w:r>
      <w:r>
        <w:rPr>
          <w:rFonts w:hint="eastAsia" w:ascii="宋体" w:hAnsi="宋体" w:eastAsia="宋体" w:cs="宋体"/>
          <w:color w:val="auto"/>
          <w:spacing w:val="7"/>
          <w:highlight w:val="none"/>
        </w:rPr>
        <w:t>的投标活动，</w:t>
      </w:r>
      <w:r>
        <w:rPr>
          <w:rFonts w:hint="eastAsia" w:ascii="宋体" w:hAnsi="宋体" w:eastAsia="宋体" w:cs="宋体"/>
          <w:color w:val="auto"/>
          <w:spacing w:val="6"/>
          <w:highlight w:val="none"/>
        </w:rPr>
        <w:t>现承</w:t>
      </w:r>
      <w:r>
        <w:rPr>
          <w:rFonts w:hint="eastAsia" w:ascii="宋体" w:hAnsi="宋体" w:eastAsia="宋体" w:cs="宋体"/>
          <w:color w:val="auto"/>
          <w:spacing w:val="9"/>
          <w:highlight w:val="none"/>
        </w:rPr>
        <w:t>诺：将严格按照法律法规规定参与交易活动，按照招标文件要求依法履行投标人义务；我方若出现违反《中华人民共和国招标投标法》、《中华人民共和国招标投标法实施条例》、《电子招标投标办法》等有关法律法规的行为，将于投标有效期内全额付清</w:t>
      </w:r>
      <w:r>
        <w:rPr>
          <w:rFonts w:hint="eastAsia" w:ascii="宋体" w:hAnsi="宋体" w:eastAsia="宋体" w:cs="宋体"/>
          <w:color w:val="auto"/>
          <w:spacing w:val="7"/>
          <w:highlight w:val="none"/>
        </w:rPr>
        <w:t>招标文件规定的投标保证金</w:t>
      </w:r>
      <w:r>
        <w:rPr>
          <w:rFonts w:hint="eastAsia" w:ascii="宋体" w:hAnsi="宋体" w:eastAsia="宋体" w:cs="宋体"/>
          <w:color w:val="auto"/>
          <w:spacing w:val="-153"/>
          <w:highlight w:val="none"/>
        </w:rPr>
        <w:t xml:space="preserve"> </w:t>
      </w:r>
      <w:r>
        <w:rPr>
          <w:rFonts w:hint="eastAsia" w:ascii="宋体" w:hAnsi="宋体" w:eastAsia="宋体" w:cs="宋体"/>
          <w:color w:val="auto"/>
          <w:spacing w:val="5"/>
          <w:highlight w:val="none"/>
          <w:u w:val="single" w:color="auto"/>
        </w:rPr>
        <w:t xml:space="preserve">     </w:t>
      </w:r>
      <w:r>
        <w:rPr>
          <w:rFonts w:hint="eastAsia" w:ascii="宋体" w:hAnsi="宋体" w:eastAsia="宋体" w:cs="宋体"/>
          <w:color w:val="auto"/>
          <w:spacing w:val="-138"/>
          <w:highlight w:val="none"/>
        </w:rPr>
        <w:t xml:space="preserve"> </w:t>
      </w:r>
      <w:r>
        <w:rPr>
          <w:rFonts w:hint="eastAsia" w:ascii="宋体" w:hAnsi="宋体" w:eastAsia="宋体" w:cs="宋体"/>
          <w:color w:val="auto"/>
          <w:spacing w:val="7"/>
          <w:highlight w:val="none"/>
        </w:rPr>
        <w:t>元。</w:t>
      </w:r>
    </w:p>
    <w:p w14:paraId="5B8BD4E7">
      <w:pPr>
        <w:pStyle w:val="10"/>
        <w:spacing w:before="48" w:line="360" w:lineRule="auto"/>
        <w:ind w:firstLine="456" w:firstLineChars="200"/>
        <w:jc w:val="both"/>
        <w:rPr>
          <w:rFonts w:hint="eastAsia" w:ascii="宋体" w:hAnsi="宋体" w:eastAsia="宋体" w:cs="宋体"/>
          <w:color w:val="auto"/>
          <w:highlight w:val="none"/>
        </w:rPr>
      </w:pPr>
      <w:r>
        <w:rPr>
          <w:rFonts w:hint="eastAsia" w:ascii="宋体" w:hAnsi="宋体" w:eastAsia="宋体" w:cs="宋体"/>
          <w:color w:val="auto"/>
          <w:spacing w:val="9"/>
          <w:highlight w:val="none"/>
        </w:rPr>
        <w:t>二、至投标文件提交当天，本公司无严重不良信用记录或存在曾作出虚假承诺的情形，且不属于韶关市建筑市场信用管理平</w:t>
      </w:r>
      <w:r>
        <w:rPr>
          <w:rFonts w:hint="eastAsia" w:ascii="宋体" w:hAnsi="宋体" w:eastAsia="宋体" w:cs="宋体"/>
          <w:color w:val="auto"/>
          <w:spacing w:val="5"/>
          <w:highlight w:val="none"/>
        </w:rPr>
        <w:t>台公布的信用等级为</w:t>
      </w:r>
      <w:r>
        <w:rPr>
          <w:rFonts w:hint="eastAsia" w:ascii="宋体" w:hAnsi="宋体" w:eastAsia="宋体" w:cs="宋体"/>
          <w:color w:val="auto"/>
          <w:spacing w:val="-62"/>
          <w:highlight w:val="none"/>
        </w:rPr>
        <w:t xml:space="preserve"> </w:t>
      </w:r>
      <w:r>
        <w:rPr>
          <w:rFonts w:hint="eastAsia" w:ascii="宋体" w:hAnsi="宋体" w:eastAsia="宋体" w:cs="宋体"/>
          <w:color w:val="auto"/>
          <w:spacing w:val="5"/>
          <w:highlight w:val="none"/>
        </w:rPr>
        <w:t>B</w:t>
      </w:r>
      <w:r>
        <w:rPr>
          <w:rFonts w:hint="eastAsia" w:ascii="宋体" w:hAnsi="宋体" w:eastAsia="宋体" w:cs="宋体"/>
          <w:color w:val="auto"/>
          <w:spacing w:val="-57"/>
          <w:highlight w:val="none"/>
        </w:rPr>
        <w:t xml:space="preserve"> </w:t>
      </w:r>
      <w:r>
        <w:rPr>
          <w:rFonts w:hint="eastAsia" w:ascii="宋体" w:hAnsi="宋体" w:eastAsia="宋体" w:cs="宋体"/>
          <w:color w:val="auto"/>
          <w:spacing w:val="5"/>
          <w:highlight w:val="none"/>
        </w:rPr>
        <w:t>级、C</w:t>
      </w:r>
      <w:r>
        <w:rPr>
          <w:rFonts w:hint="eastAsia" w:ascii="宋体" w:hAnsi="宋体" w:eastAsia="宋体" w:cs="宋体"/>
          <w:color w:val="auto"/>
          <w:spacing w:val="-57"/>
          <w:highlight w:val="none"/>
        </w:rPr>
        <w:t xml:space="preserve"> </w:t>
      </w:r>
      <w:r>
        <w:rPr>
          <w:rFonts w:hint="eastAsia" w:ascii="宋体" w:hAnsi="宋体" w:eastAsia="宋体" w:cs="宋体"/>
          <w:color w:val="auto"/>
          <w:spacing w:val="5"/>
          <w:highlight w:val="none"/>
        </w:rPr>
        <w:t>级、D</w:t>
      </w:r>
      <w:r>
        <w:rPr>
          <w:rFonts w:hint="eastAsia" w:ascii="宋体" w:hAnsi="宋体" w:eastAsia="宋体" w:cs="宋体"/>
          <w:color w:val="auto"/>
          <w:spacing w:val="-57"/>
          <w:highlight w:val="none"/>
        </w:rPr>
        <w:t xml:space="preserve"> </w:t>
      </w:r>
      <w:r>
        <w:rPr>
          <w:rFonts w:hint="eastAsia" w:ascii="宋体" w:hAnsi="宋体" w:eastAsia="宋体" w:cs="宋体"/>
          <w:color w:val="auto"/>
          <w:spacing w:val="5"/>
          <w:highlight w:val="none"/>
        </w:rPr>
        <w:t>级的企业。</w:t>
      </w:r>
    </w:p>
    <w:p w14:paraId="507C7C48">
      <w:pPr>
        <w:pStyle w:val="10"/>
        <w:spacing w:before="52" w:line="360" w:lineRule="auto"/>
        <w:ind w:left="6" w:right="2" w:firstLine="638"/>
        <w:rPr>
          <w:rFonts w:hint="eastAsia" w:ascii="宋体" w:hAnsi="宋体" w:eastAsia="宋体" w:cs="宋体"/>
          <w:color w:val="auto"/>
          <w:highlight w:val="none"/>
        </w:rPr>
      </w:pPr>
      <w:r>
        <w:rPr>
          <w:rFonts w:hint="eastAsia" w:ascii="宋体" w:hAnsi="宋体" w:eastAsia="宋体" w:cs="宋体"/>
          <w:color w:val="auto"/>
          <w:spacing w:val="9"/>
          <w:highlight w:val="none"/>
        </w:rPr>
        <w:t>本企业对以上承诺和声明负责。如有虚假，愿接受行政主管</w:t>
      </w:r>
      <w:r>
        <w:rPr>
          <w:rFonts w:hint="eastAsia" w:ascii="宋体" w:hAnsi="宋体" w:eastAsia="宋体" w:cs="宋体"/>
          <w:color w:val="auto"/>
          <w:spacing w:val="8"/>
          <w:highlight w:val="none"/>
        </w:rPr>
        <w:t>部门作出的处罚，并承担以下后果：</w:t>
      </w:r>
    </w:p>
    <w:p w14:paraId="06227EEC">
      <w:pPr>
        <w:pStyle w:val="10"/>
        <w:spacing w:before="48" w:line="360" w:lineRule="auto"/>
        <w:ind w:left="656"/>
        <w:rPr>
          <w:rFonts w:hint="eastAsia" w:ascii="宋体" w:hAnsi="宋体" w:eastAsia="宋体" w:cs="宋体"/>
          <w:color w:val="auto"/>
          <w:highlight w:val="none"/>
        </w:rPr>
      </w:pPr>
      <w:r>
        <w:rPr>
          <w:rFonts w:hint="eastAsia" w:ascii="宋体" w:hAnsi="宋体" w:eastAsia="宋体" w:cs="宋体"/>
          <w:color w:val="auto"/>
          <w:spacing w:val="8"/>
          <w:highlight w:val="none"/>
        </w:rPr>
        <w:t>（一）取消本单位在本项目中的投标资格或中标资格；</w:t>
      </w:r>
    </w:p>
    <w:p w14:paraId="3217AACC">
      <w:pPr>
        <w:pStyle w:val="10"/>
        <w:spacing w:before="64" w:line="360" w:lineRule="auto"/>
        <w:ind w:left="656"/>
        <w:rPr>
          <w:rFonts w:hint="eastAsia" w:ascii="宋体" w:hAnsi="宋体" w:eastAsia="宋体" w:cs="宋体"/>
          <w:color w:val="auto"/>
          <w:highlight w:val="none"/>
        </w:rPr>
      </w:pPr>
      <w:r>
        <w:rPr>
          <w:rFonts w:hint="eastAsia" w:ascii="宋体" w:hAnsi="宋体" w:eastAsia="宋体" w:cs="宋体"/>
          <w:color w:val="auto"/>
          <w:spacing w:val="8"/>
          <w:highlight w:val="none"/>
        </w:rPr>
        <w:t>（二）将本单位不良行为纳入信用信息管理系统；</w:t>
      </w:r>
    </w:p>
    <w:p w14:paraId="4FD92377">
      <w:pPr>
        <w:pStyle w:val="10"/>
        <w:spacing w:before="60" w:line="360" w:lineRule="auto"/>
        <w:ind w:left="41" w:right="2" w:firstLine="615"/>
        <w:rPr>
          <w:rFonts w:hint="eastAsia" w:ascii="宋体" w:hAnsi="宋体" w:eastAsia="宋体" w:cs="宋体"/>
          <w:color w:val="auto"/>
          <w:highlight w:val="none"/>
        </w:rPr>
      </w:pPr>
      <w:r>
        <w:rPr>
          <w:rFonts w:hint="eastAsia" w:ascii="宋体" w:hAnsi="宋体" w:eastAsia="宋体" w:cs="宋体"/>
          <w:color w:val="auto"/>
          <w:spacing w:val="9"/>
          <w:highlight w:val="none"/>
        </w:rPr>
        <w:t>（三）主动在产生不良行为所在的各县（市、区）行</w:t>
      </w:r>
      <w:r>
        <w:rPr>
          <w:rFonts w:hint="eastAsia" w:ascii="宋体" w:hAnsi="宋体" w:eastAsia="宋体" w:cs="宋体"/>
          <w:color w:val="auto"/>
          <w:spacing w:val="8"/>
          <w:highlight w:val="none"/>
        </w:rPr>
        <w:t>政区域</w:t>
      </w:r>
      <w:r>
        <w:rPr>
          <w:rFonts w:hint="eastAsia" w:ascii="宋体" w:hAnsi="宋体" w:eastAsia="宋体" w:cs="宋体"/>
          <w:color w:val="auto"/>
          <w:spacing w:val="6"/>
          <w:highlight w:val="none"/>
        </w:rPr>
        <w:t>内不参加房建市政工程项目的投标活动一年；</w:t>
      </w:r>
    </w:p>
    <w:p w14:paraId="2F7D485E">
      <w:pPr>
        <w:pStyle w:val="10"/>
        <w:spacing w:before="60" w:line="360" w:lineRule="auto"/>
        <w:ind w:left="41" w:right="2" w:firstLine="615"/>
        <w:rPr>
          <w:rFonts w:hint="eastAsia" w:ascii="宋体" w:hAnsi="宋体" w:eastAsia="宋体" w:cs="宋体"/>
          <w:color w:val="auto"/>
          <w:spacing w:val="9"/>
          <w:highlight w:val="none"/>
        </w:rPr>
      </w:pPr>
      <w:bookmarkStart w:id="345" w:name="_Toc30964"/>
      <w:r>
        <w:rPr>
          <w:rFonts w:hint="eastAsia" w:ascii="宋体" w:hAnsi="宋体" w:eastAsia="宋体" w:cs="宋体"/>
          <w:color w:val="auto"/>
          <w:spacing w:val="9"/>
          <w:highlight w:val="none"/>
        </w:rPr>
        <w:t>（四）应付的赔偿责任和相应法律责任。</w:t>
      </w:r>
      <w:bookmarkEnd w:id="345"/>
    </w:p>
    <w:p w14:paraId="2719E688">
      <w:pPr>
        <w:spacing w:line="360" w:lineRule="auto"/>
        <w:rPr>
          <w:rFonts w:hint="eastAsia" w:ascii="宋体" w:hAnsi="宋体" w:eastAsia="宋体" w:cs="宋体"/>
          <w:color w:val="auto"/>
          <w:sz w:val="21"/>
          <w:highlight w:val="none"/>
        </w:rPr>
      </w:pPr>
    </w:p>
    <w:p w14:paraId="1679D32F">
      <w:pPr>
        <w:pStyle w:val="10"/>
        <w:spacing w:before="101" w:line="360" w:lineRule="auto"/>
        <w:ind w:left="845"/>
        <w:rPr>
          <w:rFonts w:hint="eastAsia" w:ascii="宋体" w:hAnsi="宋体" w:eastAsia="宋体" w:cs="宋体"/>
          <w:color w:val="auto"/>
          <w:sz w:val="21"/>
          <w:highlight w:val="none"/>
        </w:rPr>
      </w:pPr>
      <w:r>
        <w:rPr>
          <w:rFonts w:hint="eastAsia" w:ascii="宋体" w:hAnsi="宋体" w:eastAsia="宋体" w:cs="宋体"/>
          <w:color w:val="auto"/>
          <w:spacing w:val="7"/>
          <w:highlight w:val="none"/>
        </w:rPr>
        <w:t>单位名称（公章</w:t>
      </w:r>
      <w:r>
        <w:rPr>
          <w:rFonts w:hint="eastAsia" w:ascii="宋体" w:hAnsi="宋体" w:eastAsia="宋体" w:cs="宋体"/>
          <w:color w:val="auto"/>
          <w:spacing w:val="1"/>
          <w:highlight w:val="none"/>
        </w:rPr>
        <w:t>）：</w:t>
      </w:r>
    </w:p>
    <w:p w14:paraId="4C878D69">
      <w:pPr>
        <w:pStyle w:val="10"/>
        <w:spacing w:before="101" w:line="360" w:lineRule="auto"/>
        <w:ind w:left="850"/>
        <w:rPr>
          <w:rFonts w:hint="eastAsia" w:ascii="宋体" w:hAnsi="宋体" w:eastAsia="宋体" w:cs="宋体"/>
          <w:color w:val="auto"/>
          <w:sz w:val="21"/>
          <w:highlight w:val="none"/>
        </w:rPr>
      </w:pPr>
      <w:r>
        <w:rPr>
          <w:rFonts w:hint="eastAsia" w:ascii="宋体" w:hAnsi="宋体" w:eastAsia="宋体" w:cs="宋体"/>
          <w:color w:val="auto"/>
          <w:spacing w:val="6"/>
          <w:highlight w:val="none"/>
        </w:rPr>
        <w:t>统一社会信用代码：</w:t>
      </w:r>
    </w:p>
    <w:p w14:paraId="1AA79C9D">
      <w:pPr>
        <w:pStyle w:val="10"/>
        <w:spacing w:before="101" w:line="360" w:lineRule="auto"/>
        <w:ind w:left="844" w:right="5000"/>
        <w:rPr>
          <w:rFonts w:hint="eastAsia" w:ascii="宋体" w:hAnsi="宋体" w:eastAsia="宋体" w:cs="宋体"/>
          <w:color w:val="auto"/>
          <w:highlight w:val="none"/>
        </w:rPr>
      </w:pPr>
      <w:r>
        <w:rPr>
          <w:rFonts w:hint="eastAsia" w:ascii="宋体" w:hAnsi="宋体" w:eastAsia="宋体" w:cs="宋体"/>
          <w:color w:val="auto"/>
          <w:spacing w:val="8"/>
          <w:highlight w:val="none"/>
        </w:rPr>
        <w:t>法定代表人（签字</w:t>
      </w:r>
      <w:r>
        <w:rPr>
          <w:rFonts w:hint="eastAsia" w:ascii="宋体" w:hAnsi="宋体" w:eastAsia="宋体" w:cs="宋体"/>
          <w:color w:val="auto"/>
          <w:spacing w:val="-29"/>
          <w:highlight w:val="none"/>
        </w:rPr>
        <w:t>）：</w:t>
      </w:r>
      <w:r>
        <w:rPr>
          <w:rFonts w:hint="eastAsia" w:ascii="宋体" w:hAnsi="宋体" w:eastAsia="宋体" w:cs="宋体"/>
          <w:color w:val="auto"/>
          <w:highlight w:val="none"/>
        </w:rPr>
        <w:t xml:space="preserve"> </w:t>
      </w:r>
    </w:p>
    <w:p w14:paraId="2E962505">
      <w:pPr>
        <w:pStyle w:val="10"/>
        <w:spacing w:before="101" w:line="360" w:lineRule="auto"/>
        <w:ind w:left="844" w:right="5000"/>
        <w:rPr>
          <w:rFonts w:hint="eastAsia" w:ascii="宋体" w:hAnsi="宋体" w:eastAsia="宋体" w:cs="宋体"/>
          <w:color w:val="auto"/>
          <w:spacing w:val="-6"/>
          <w:highlight w:val="none"/>
        </w:rPr>
      </w:pPr>
      <w:r>
        <w:rPr>
          <w:rFonts w:hint="eastAsia" w:ascii="宋体" w:hAnsi="宋体" w:eastAsia="宋体" w:cs="宋体"/>
          <w:color w:val="auto"/>
          <w:spacing w:val="-6"/>
          <w:highlight w:val="none"/>
        </w:rPr>
        <w:t>年</w:t>
      </w:r>
      <w:r>
        <w:rPr>
          <w:rFonts w:hint="eastAsia" w:ascii="宋体" w:hAnsi="宋体" w:eastAsia="宋体" w:cs="宋体"/>
          <w:color w:val="auto"/>
          <w:spacing w:val="12"/>
          <w:highlight w:val="none"/>
        </w:rPr>
        <w:t xml:space="preserve">   </w:t>
      </w:r>
      <w:r>
        <w:rPr>
          <w:rFonts w:hint="eastAsia" w:ascii="宋体" w:hAnsi="宋体" w:eastAsia="宋体" w:cs="宋体"/>
          <w:color w:val="auto"/>
          <w:spacing w:val="-6"/>
          <w:highlight w:val="none"/>
        </w:rPr>
        <w:t>月</w:t>
      </w:r>
      <w:r>
        <w:rPr>
          <w:rFonts w:hint="eastAsia" w:ascii="宋体" w:hAnsi="宋体" w:eastAsia="宋体" w:cs="宋体"/>
          <w:color w:val="auto"/>
          <w:spacing w:val="39"/>
          <w:highlight w:val="none"/>
        </w:rPr>
        <w:t xml:space="preserve">  </w:t>
      </w:r>
      <w:r>
        <w:rPr>
          <w:rFonts w:hint="eastAsia" w:ascii="宋体" w:hAnsi="宋体" w:eastAsia="宋体" w:cs="宋体"/>
          <w:color w:val="auto"/>
          <w:spacing w:val="-6"/>
          <w:highlight w:val="none"/>
        </w:rPr>
        <w:t>日</w:t>
      </w:r>
    </w:p>
    <w:p w14:paraId="01374E41">
      <w:pPr>
        <w:rPr>
          <w:rFonts w:hint="eastAsia" w:ascii="宋体" w:hAnsi="宋体" w:eastAsia="宋体" w:cs="宋体"/>
        </w:rPr>
      </w:pPr>
    </w:p>
    <w:p w14:paraId="5088FFF0">
      <w:pPr>
        <w:rPr>
          <w:rFonts w:hint="eastAsia" w:ascii="宋体" w:hAnsi="宋体" w:eastAsia="宋体" w:cs="宋体"/>
        </w:rPr>
      </w:pPr>
    </w:p>
    <w:p w14:paraId="5EB4D332">
      <w:pPr>
        <w:rPr>
          <w:rFonts w:hint="eastAsia" w:ascii="宋体" w:hAnsi="宋体" w:eastAsia="宋体" w:cs="宋体"/>
        </w:rPr>
      </w:pPr>
    </w:p>
    <w:p w14:paraId="6860374C">
      <w:pPr>
        <w:rPr>
          <w:rFonts w:hint="eastAsia" w:ascii="宋体" w:hAnsi="宋体" w:eastAsia="宋体" w:cs="宋体"/>
        </w:rPr>
      </w:pPr>
    </w:p>
    <w:p w14:paraId="59829509">
      <w:pPr>
        <w:rPr>
          <w:rFonts w:hint="eastAsia" w:ascii="宋体" w:hAnsi="宋体" w:eastAsia="宋体" w:cs="宋体"/>
        </w:rPr>
      </w:pPr>
    </w:p>
    <w:p w14:paraId="218BF21A">
      <w:pPr>
        <w:rPr>
          <w:rFonts w:hint="eastAsia" w:ascii="宋体" w:hAnsi="宋体" w:eastAsia="宋体" w:cs="宋体"/>
        </w:rPr>
      </w:pPr>
    </w:p>
    <w:p w14:paraId="59129C04">
      <w:pPr>
        <w:rPr>
          <w:rFonts w:hint="eastAsia" w:ascii="宋体" w:hAnsi="宋体" w:eastAsia="宋体" w:cs="宋体"/>
        </w:rPr>
      </w:pPr>
    </w:p>
    <w:p w14:paraId="565B7FB3">
      <w:pPr>
        <w:rPr>
          <w:rFonts w:hint="eastAsia" w:ascii="宋体" w:hAnsi="宋体" w:eastAsia="宋体" w:cs="宋体"/>
        </w:rPr>
      </w:pPr>
    </w:p>
    <w:p w14:paraId="236DD346">
      <w:pPr>
        <w:rPr>
          <w:rFonts w:hint="eastAsia" w:ascii="宋体" w:hAnsi="宋体" w:eastAsia="宋体" w:cs="宋体"/>
        </w:rPr>
      </w:pPr>
    </w:p>
    <w:p w14:paraId="1AF2FE0F">
      <w:pPr>
        <w:rPr>
          <w:rFonts w:hint="eastAsia" w:ascii="宋体" w:hAnsi="宋体" w:eastAsia="宋体" w:cs="宋体"/>
        </w:rPr>
      </w:pPr>
    </w:p>
    <w:p w14:paraId="3581ADBE">
      <w:pPr>
        <w:rPr>
          <w:rFonts w:hint="eastAsia" w:ascii="宋体" w:hAnsi="宋体" w:eastAsia="宋体" w:cs="宋体"/>
        </w:rPr>
      </w:pPr>
    </w:p>
    <w:p w14:paraId="60CFB303">
      <w:pPr>
        <w:rPr>
          <w:rFonts w:hint="eastAsia" w:ascii="宋体" w:hAnsi="宋体" w:eastAsia="宋体" w:cs="宋体"/>
        </w:rPr>
      </w:pPr>
    </w:p>
    <w:p w14:paraId="1E8F4E39">
      <w:pPr>
        <w:rPr>
          <w:rFonts w:hint="eastAsia" w:ascii="宋体" w:hAnsi="宋体" w:eastAsia="宋体" w:cs="宋体"/>
        </w:rPr>
      </w:pPr>
    </w:p>
    <w:p w14:paraId="64428F04">
      <w:pPr>
        <w:rPr>
          <w:rFonts w:hint="eastAsia" w:ascii="宋体" w:hAnsi="宋体" w:eastAsia="宋体" w:cs="宋体"/>
        </w:rPr>
      </w:pPr>
    </w:p>
    <w:p w14:paraId="4DF9EF1E">
      <w:pPr>
        <w:rPr>
          <w:rFonts w:hint="eastAsia" w:ascii="宋体" w:hAnsi="宋体" w:eastAsia="宋体" w:cs="宋体"/>
        </w:rPr>
      </w:pPr>
    </w:p>
    <w:p w14:paraId="1AE19DCB">
      <w:pPr>
        <w:rPr>
          <w:rFonts w:hint="eastAsia" w:ascii="宋体" w:hAnsi="宋体" w:eastAsia="宋体" w:cs="宋体"/>
        </w:rPr>
      </w:pPr>
    </w:p>
    <w:p w14:paraId="654C7359">
      <w:pPr>
        <w:rPr>
          <w:rFonts w:hint="eastAsia" w:ascii="宋体" w:hAnsi="宋体" w:eastAsia="宋体" w:cs="宋体"/>
        </w:rPr>
      </w:pPr>
    </w:p>
    <w:p w14:paraId="292F7B78">
      <w:pPr>
        <w:spacing w:before="151" w:line="360" w:lineRule="auto"/>
        <w:ind w:left="476"/>
        <w:outlineLvl w:val="2"/>
        <w:rPr>
          <w:rFonts w:hint="eastAsia" w:ascii="宋体" w:hAnsi="宋体" w:eastAsia="宋体" w:cs="宋体"/>
          <w:b/>
          <w:bCs/>
          <w:color w:val="auto"/>
          <w:spacing w:val="-11"/>
          <w:sz w:val="24"/>
          <w:szCs w:val="24"/>
          <w:highlight w:val="none"/>
          <w:lang w:val="en-US" w:eastAsia="zh-CN"/>
        </w:rPr>
      </w:pPr>
      <w:bookmarkStart w:id="346" w:name="_Toc4144"/>
      <w:bookmarkStart w:id="347" w:name="_Toc4336"/>
      <w:r>
        <w:rPr>
          <w:rFonts w:hint="eastAsia" w:ascii="宋体" w:hAnsi="宋体" w:eastAsia="宋体" w:cs="宋体"/>
          <w:b/>
          <w:bCs/>
          <w:color w:val="auto"/>
          <w:spacing w:val="-11"/>
          <w:sz w:val="24"/>
          <w:szCs w:val="24"/>
          <w:highlight w:val="none"/>
          <w:lang w:val="en-US" w:eastAsia="zh-CN"/>
        </w:rPr>
        <w:t>格式十四   原件一览表</w:t>
      </w:r>
      <w:bookmarkEnd w:id="338"/>
      <w:bookmarkEnd w:id="346"/>
      <w:bookmarkEnd w:id="347"/>
    </w:p>
    <w:tbl>
      <w:tblPr>
        <w:tblStyle w:val="24"/>
        <w:tblpPr w:leftFromText="180" w:rightFromText="180" w:vertAnchor="text" w:horzAnchor="page" w:tblpX="1285" w:tblpY="43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080"/>
        <w:gridCol w:w="1598"/>
        <w:gridCol w:w="247"/>
        <w:gridCol w:w="1655"/>
        <w:gridCol w:w="1625"/>
        <w:gridCol w:w="754"/>
        <w:gridCol w:w="958"/>
        <w:gridCol w:w="1698"/>
      </w:tblGrid>
      <w:tr w14:paraId="20BF2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63" w:hRule="atLeast"/>
        </w:trPr>
        <w:tc>
          <w:tcPr>
            <w:tcW w:w="9615" w:type="dxa"/>
            <w:gridSpan w:val="8"/>
            <w:shd w:val="clear" w:color="000000" w:fill="FFFFFF"/>
            <w:noWrap w:val="0"/>
            <w:tcMar>
              <w:left w:w="108" w:type="dxa"/>
              <w:right w:w="108" w:type="dxa"/>
            </w:tcMar>
            <w:vAlign w:val="center"/>
          </w:tcPr>
          <w:p w14:paraId="1F5E68B5">
            <w:pPr>
              <w:spacing w:line="360" w:lineRule="auto"/>
              <w:jc w:val="center"/>
              <w:rPr>
                <w:rFonts w:hint="eastAsia" w:ascii="宋体" w:hAnsi="宋体" w:eastAsia="宋体" w:cs="宋体"/>
                <w:color w:val="auto"/>
                <w:highlight w:val="none"/>
              </w:rPr>
            </w:pPr>
            <w:r>
              <w:rPr>
                <w:rFonts w:hint="eastAsia" w:ascii="宋体" w:hAnsi="宋体" w:eastAsia="宋体" w:cs="宋体"/>
                <w:b/>
                <w:color w:val="auto"/>
                <w:highlight w:val="none"/>
              </w:rPr>
              <w:t>原件一览表</w:t>
            </w:r>
          </w:p>
        </w:tc>
      </w:tr>
      <w:tr w14:paraId="16AE9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678" w:type="dxa"/>
            <w:gridSpan w:val="2"/>
            <w:shd w:val="clear" w:color="000000" w:fill="FFFFFF"/>
            <w:noWrap w:val="0"/>
            <w:tcMar>
              <w:left w:w="108" w:type="dxa"/>
              <w:right w:w="108" w:type="dxa"/>
            </w:tcMar>
            <w:vAlign w:val="center"/>
          </w:tcPr>
          <w:p w14:paraId="18F342B7">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工程名称</w:t>
            </w:r>
          </w:p>
        </w:tc>
        <w:tc>
          <w:tcPr>
            <w:tcW w:w="6937" w:type="dxa"/>
            <w:gridSpan w:val="6"/>
            <w:shd w:val="clear" w:color="000000" w:fill="FFFFFF"/>
            <w:noWrap w:val="0"/>
            <w:tcMar>
              <w:left w:w="108" w:type="dxa"/>
              <w:right w:w="108" w:type="dxa"/>
            </w:tcMar>
            <w:vAlign w:val="center"/>
          </w:tcPr>
          <w:p w14:paraId="22905ACF">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tc>
      </w:tr>
      <w:tr w14:paraId="2C437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678" w:type="dxa"/>
            <w:gridSpan w:val="2"/>
            <w:shd w:val="clear" w:color="000000" w:fill="FFFFFF"/>
            <w:noWrap w:val="0"/>
            <w:tcMar>
              <w:left w:w="108" w:type="dxa"/>
              <w:right w:w="108" w:type="dxa"/>
            </w:tcMar>
            <w:vAlign w:val="center"/>
          </w:tcPr>
          <w:p w14:paraId="20050ADD">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投标人名称                (请务必填写单位全称)</w:t>
            </w:r>
          </w:p>
        </w:tc>
        <w:tc>
          <w:tcPr>
            <w:tcW w:w="6937" w:type="dxa"/>
            <w:gridSpan w:val="6"/>
            <w:shd w:val="clear" w:color="000000" w:fill="FFFFFF"/>
            <w:noWrap w:val="0"/>
            <w:tcMar>
              <w:left w:w="108" w:type="dxa"/>
              <w:right w:w="108" w:type="dxa"/>
            </w:tcMar>
            <w:vAlign w:val="center"/>
          </w:tcPr>
          <w:p w14:paraId="110EB8D7">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w:t>
            </w:r>
          </w:p>
        </w:tc>
      </w:tr>
      <w:tr w14:paraId="2AFDD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678" w:type="dxa"/>
            <w:gridSpan w:val="2"/>
            <w:shd w:val="clear" w:color="000000" w:fill="FFFFFF"/>
            <w:noWrap w:val="0"/>
            <w:tcMar>
              <w:left w:w="108" w:type="dxa"/>
              <w:right w:w="108" w:type="dxa"/>
            </w:tcMar>
            <w:vAlign w:val="center"/>
          </w:tcPr>
          <w:p w14:paraId="4E7684AD">
            <w:pPr>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投标人法定代表人或其</w:t>
            </w:r>
          </w:p>
          <w:p w14:paraId="3825BA07">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委托代理人签名</w:t>
            </w:r>
          </w:p>
        </w:tc>
        <w:tc>
          <w:tcPr>
            <w:tcW w:w="3527" w:type="dxa"/>
            <w:gridSpan w:val="3"/>
            <w:shd w:val="clear" w:color="000000" w:fill="FFFFFF"/>
            <w:noWrap w:val="0"/>
            <w:tcMar>
              <w:left w:w="108" w:type="dxa"/>
              <w:right w:w="108" w:type="dxa"/>
            </w:tcMar>
            <w:vAlign w:val="center"/>
          </w:tcPr>
          <w:p w14:paraId="0B9FFC52">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w:t>
            </w:r>
          </w:p>
        </w:tc>
        <w:tc>
          <w:tcPr>
            <w:tcW w:w="754" w:type="dxa"/>
            <w:shd w:val="clear" w:color="000000" w:fill="FFFFFF"/>
            <w:noWrap w:val="0"/>
            <w:tcMar>
              <w:left w:w="108" w:type="dxa"/>
              <w:right w:w="108" w:type="dxa"/>
            </w:tcMar>
            <w:vAlign w:val="center"/>
          </w:tcPr>
          <w:p w14:paraId="09C1EA23">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手机号码</w:t>
            </w:r>
          </w:p>
        </w:tc>
        <w:tc>
          <w:tcPr>
            <w:tcW w:w="2656" w:type="dxa"/>
            <w:gridSpan w:val="2"/>
            <w:shd w:val="clear" w:color="000000" w:fill="FFFFFF"/>
            <w:noWrap w:val="0"/>
            <w:tcMar>
              <w:left w:w="108" w:type="dxa"/>
              <w:right w:w="108" w:type="dxa"/>
            </w:tcMar>
            <w:vAlign w:val="center"/>
          </w:tcPr>
          <w:p w14:paraId="2492265B">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w:t>
            </w:r>
          </w:p>
        </w:tc>
      </w:tr>
      <w:tr w14:paraId="37317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9615" w:type="dxa"/>
            <w:gridSpan w:val="8"/>
            <w:shd w:val="clear" w:color="000000" w:fill="FFFFFF"/>
            <w:noWrap w:val="0"/>
            <w:tcMar>
              <w:left w:w="108" w:type="dxa"/>
              <w:right w:w="108" w:type="dxa"/>
            </w:tcMar>
            <w:vAlign w:val="center"/>
          </w:tcPr>
          <w:p w14:paraId="1C803DF6">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递交的证明材料原件如下：</w:t>
            </w:r>
          </w:p>
        </w:tc>
      </w:tr>
      <w:tr w14:paraId="1F2F7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1080" w:type="dxa"/>
            <w:shd w:val="clear" w:color="auto" w:fill="FFFFFF"/>
            <w:noWrap w:val="0"/>
            <w:tcMar>
              <w:left w:w="108" w:type="dxa"/>
              <w:right w:w="108" w:type="dxa"/>
            </w:tcMar>
            <w:vAlign w:val="center"/>
          </w:tcPr>
          <w:p w14:paraId="179FC51E">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5125" w:type="dxa"/>
            <w:gridSpan w:val="4"/>
            <w:shd w:val="clear" w:color="auto" w:fill="FFFFFF"/>
            <w:noWrap w:val="0"/>
            <w:tcMar>
              <w:left w:w="108" w:type="dxa"/>
              <w:right w:w="108" w:type="dxa"/>
            </w:tcMar>
            <w:vAlign w:val="center"/>
          </w:tcPr>
          <w:p w14:paraId="55F90331">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证明材料原件名称</w:t>
            </w:r>
          </w:p>
        </w:tc>
        <w:tc>
          <w:tcPr>
            <w:tcW w:w="1712" w:type="dxa"/>
            <w:gridSpan w:val="2"/>
            <w:shd w:val="clear" w:color="auto" w:fill="FFFFFF"/>
            <w:noWrap w:val="0"/>
            <w:tcMar>
              <w:left w:w="108" w:type="dxa"/>
              <w:right w:w="108" w:type="dxa"/>
            </w:tcMar>
            <w:vAlign w:val="center"/>
          </w:tcPr>
          <w:p w14:paraId="419D8088">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w:t>
            </w:r>
          </w:p>
        </w:tc>
        <w:tc>
          <w:tcPr>
            <w:tcW w:w="1698" w:type="dxa"/>
            <w:shd w:val="clear" w:color="auto" w:fill="FFFFFF"/>
            <w:noWrap w:val="0"/>
            <w:tcMar>
              <w:left w:w="108" w:type="dxa"/>
              <w:right w:w="108" w:type="dxa"/>
            </w:tcMar>
            <w:vAlign w:val="center"/>
          </w:tcPr>
          <w:p w14:paraId="6F0681CF">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r>
      <w:tr w14:paraId="7276D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1080" w:type="dxa"/>
            <w:shd w:val="clear" w:color="000000" w:fill="FFFFFF"/>
            <w:noWrap w:val="0"/>
            <w:tcMar>
              <w:left w:w="108" w:type="dxa"/>
              <w:right w:w="108" w:type="dxa"/>
            </w:tcMar>
            <w:vAlign w:val="center"/>
          </w:tcPr>
          <w:p w14:paraId="2318BD31">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5125" w:type="dxa"/>
            <w:gridSpan w:val="4"/>
            <w:shd w:val="clear" w:color="000000" w:fill="FFFFFF"/>
            <w:noWrap w:val="0"/>
            <w:tcMar>
              <w:left w:w="108" w:type="dxa"/>
              <w:right w:w="108" w:type="dxa"/>
            </w:tcMar>
            <w:vAlign w:val="center"/>
          </w:tcPr>
          <w:p w14:paraId="3A1D0CDF">
            <w:pPr>
              <w:spacing w:line="360" w:lineRule="auto"/>
              <w:jc w:val="center"/>
              <w:rPr>
                <w:rFonts w:hint="eastAsia" w:ascii="宋体" w:hAnsi="宋体" w:eastAsia="宋体" w:cs="宋体"/>
                <w:color w:val="auto"/>
                <w:sz w:val="21"/>
                <w:szCs w:val="21"/>
                <w:highlight w:val="none"/>
              </w:rPr>
            </w:pPr>
          </w:p>
        </w:tc>
        <w:tc>
          <w:tcPr>
            <w:tcW w:w="1712" w:type="dxa"/>
            <w:gridSpan w:val="2"/>
            <w:shd w:val="clear" w:color="000000" w:fill="FFFFFF"/>
            <w:noWrap w:val="0"/>
            <w:tcMar>
              <w:left w:w="108" w:type="dxa"/>
              <w:right w:w="108" w:type="dxa"/>
            </w:tcMar>
            <w:vAlign w:val="center"/>
          </w:tcPr>
          <w:p w14:paraId="7D63B079">
            <w:pPr>
              <w:spacing w:line="360" w:lineRule="auto"/>
              <w:jc w:val="center"/>
              <w:rPr>
                <w:rFonts w:hint="eastAsia" w:ascii="宋体" w:hAnsi="宋体" w:eastAsia="宋体" w:cs="宋体"/>
                <w:color w:val="auto"/>
                <w:sz w:val="21"/>
                <w:szCs w:val="21"/>
                <w:highlight w:val="none"/>
              </w:rPr>
            </w:pPr>
          </w:p>
        </w:tc>
        <w:tc>
          <w:tcPr>
            <w:tcW w:w="1698" w:type="dxa"/>
            <w:shd w:val="clear" w:color="000000" w:fill="FFFFFF"/>
            <w:noWrap w:val="0"/>
            <w:tcMar>
              <w:left w:w="108" w:type="dxa"/>
              <w:right w:w="108" w:type="dxa"/>
            </w:tcMar>
            <w:vAlign w:val="center"/>
          </w:tcPr>
          <w:p w14:paraId="2C5FBD43">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w:t>
            </w:r>
          </w:p>
        </w:tc>
      </w:tr>
      <w:tr w14:paraId="6E0C2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1080" w:type="dxa"/>
            <w:shd w:val="clear" w:color="000000" w:fill="FFFFFF"/>
            <w:noWrap w:val="0"/>
            <w:tcMar>
              <w:left w:w="108" w:type="dxa"/>
              <w:right w:w="108" w:type="dxa"/>
            </w:tcMar>
            <w:vAlign w:val="center"/>
          </w:tcPr>
          <w:p w14:paraId="0C62BB99">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5125" w:type="dxa"/>
            <w:gridSpan w:val="4"/>
            <w:shd w:val="clear" w:color="000000" w:fill="FFFFFF"/>
            <w:noWrap w:val="0"/>
            <w:tcMar>
              <w:left w:w="108" w:type="dxa"/>
              <w:right w:w="108" w:type="dxa"/>
            </w:tcMar>
            <w:vAlign w:val="center"/>
          </w:tcPr>
          <w:p w14:paraId="40C55F34">
            <w:pPr>
              <w:spacing w:line="360" w:lineRule="auto"/>
              <w:jc w:val="center"/>
              <w:rPr>
                <w:rFonts w:hint="eastAsia" w:ascii="宋体" w:hAnsi="宋体" w:eastAsia="宋体" w:cs="宋体"/>
                <w:color w:val="auto"/>
                <w:sz w:val="21"/>
                <w:szCs w:val="21"/>
                <w:highlight w:val="none"/>
              </w:rPr>
            </w:pPr>
          </w:p>
        </w:tc>
        <w:tc>
          <w:tcPr>
            <w:tcW w:w="1712" w:type="dxa"/>
            <w:gridSpan w:val="2"/>
            <w:shd w:val="clear" w:color="000000" w:fill="FFFFFF"/>
            <w:noWrap w:val="0"/>
            <w:tcMar>
              <w:left w:w="108" w:type="dxa"/>
              <w:right w:w="108" w:type="dxa"/>
            </w:tcMar>
            <w:vAlign w:val="center"/>
          </w:tcPr>
          <w:p w14:paraId="467917E8">
            <w:pPr>
              <w:spacing w:line="360" w:lineRule="auto"/>
              <w:jc w:val="center"/>
              <w:rPr>
                <w:rFonts w:hint="eastAsia" w:ascii="宋体" w:hAnsi="宋体" w:eastAsia="宋体" w:cs="宋体"/>
                <w:color w:val="auto"/>
                <w:sz w:val="21"/>
                <w:szCs w:val="21"/>
                <w:highlight w:val="none"/>
              </w:rPr>
            </w:pPr>
          </w:p>
        </w:tc>
        <w:tc>
          <w:tcPr>
            <w:tcW w:w="1698" w:type="dxa"/>
            <w:shd w:val="clear" w:color="000000" w:fill="FFFFFF"/>
            <w:noWrap w:val="0"/>
            <w:tcMar>
              <w:left w:w="108" w:type="dxa"/>
              <w:right w:w="108" w:type="dxa"/>
            </w:tcMar>
            <w:vAlign w:val="center"/>
          </w:tcPr>
          <w:p w14:paraId="2B854666">
            <w:pPr>
              <w:spacing w:line="360" w:lineRule="auto"/>
              <w:jc w:val="center"/>
              <w:rPr>
                <w:rFonts w:hint="eastAsia" w:ascii="宋体" w:hAnsi="宋体" w:eastAsia="宋体" w:cs="宋体"/>
                <w:color w:val="auto"/>
                <w:sz w:val="21"/>
                <w:szCs w:val="21"/>
                <w:highlight w:val="none"/>
              </w:rPr>
            </w:pPr>
          </w:p>
        </w:tc>
      </w:tr>
      <w:tr w14:paraId="22F0C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1080" w:type="dxa"/>
            <w:shd w:val="clear" w:color="000000" w:fill="FFFFFF"/>
            <w:noWrap w:val="0"/>
            <w:tcMar>
              <w:left w:w="108" w:type="dxa"/>
              <w:right w:w="108" w:type="dxa"/>
            </w:tcMar>
            <w:vAlign w:val="center"/>
          </w:tcPr>
          <w:p w14:paraId="22C7621D">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5125" w:type="dxa"/>
            <w:gridSpan w:val="4"/>
            <w:shd w:val="clear" w:color="000000" w:fill="FFFFFF"/>
            <w:noWrap w:val="0"/>
            <w:tcMar>
              <w:left w:w="108" w:type="dxa"/>
              <w:right w:w="108" w:type="dxa"/>
            </w:tcMar>
            <w:vAlign w:val="center"/>
          </w:tcPr>
          <w:p w14:paraId="1870EB1E">
            <w:pPr>
              <w:spacing w:line="360" w:lineRule="auto"/>
              <w:jc w:val="center"/>
              <w:rPr>
                <w:rFonts w:hint="eastAsia" w:ascii="宋体" w:hAnsi="宋体" w:eastAsia="宋体" w:cs="宋体"/>
                <w:color w:val="auto"/>
                <w:sz w:val="21"/>
                <w:szCs w:val="21"/>
                <w:highlight w:val="none"/>
              </w:rPr>
            </w:pPr>
          </w:p>
        </w:tc>
        <w:tc>
          <w:tcPr>
            <w:tcW w:w="1712" w:type="dxa"/>
            <w:gridSpan w:val="2"/>
            <w:shd w:val="clear" w:color="000000" w:fill="FFFFFF"/>
            <w:noWrap w:val="0"/>
            <w:tcMar>
              <w:left w:w="108" w:type="dxa"/>
              <w:right w:w="108" w:type="dxa"/>
            </w:tcMar>
            <w:vAlign w:val="center"/>
          </w:tcPr>
          <w:p w14:paraId="0CF1B759">
            <w:pPr>
              <w:spacing w:line="360" w:lineRule="auto"/>
              <w:jc w:val="center"/>
              <w:rPr>
                <w:rFonts w:hint="eastAsia" w:ascii="宋体" w:hAnsi="宋体" w:eastAsia="宋体" w:cs="宋体"/>
                <w:color w:val="auto"/>
                <w:sz w:val="21"/>
                <w:szCs w:val="21"/>
                <w:highlight w:val="none"/>
              </w:rPr>
            </w:pPr>
          </w:p>
        </w:tc>
        <w:tc>
          <w:tcPr>
            <w:tcW w:w="1698" w:type="dxa"/>
            <w:shd w:val="clear" w:color="000000" w:fill="FFFFFF"/>
            <w:noWrap w:val="0"/>
            <w:tcMar>
              <w:left w:w="108" w:type="dxa"/>
              <w:right w:w="108" w:type="dxa"/>
            </w:tcMar>
            <w:vAlign w:val="center"/>
          </w:tcPr>
          <w:p w14:paraId="3469BE28">
            <w:pPr>
              <w:spacing w:line="360" w:lineRule="auto"/>
              <w:jc w:val="center"/>
              <w:rPr>
                <w:rFonts w:hint="eastAsia" w:ascii="宋体" w:hAnsi="宋体" w:eastAsia="宋体" w:cs="宋体"/>
                <w:color w:val="auto"/>
                <w:sz w:val="21"/>
                <w:szCs w:val="21"/>
                <w:highlight w:val="none"/>
              </w:rPr>
            </w:pPr>
          </w:p>
        </w:tc>
      </w:tr>
      <w:tr w14:paraId="664D0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1080" w:type="dxa"/>
            <w:shd w:val="clear" w:color="000000" w:fill="FFFFFF"/>
            <w:noWrap w:val="0"/>
            <w:tcMar>
              <w:left w:w="108" w:type="dxa"/>
              <w:right w:w="108" w:type="dxa"/>
            </w:tcMar>
            <w:vAlign w:val="center"/>
          </w:tcPr>
          <w:p w14:paraId="2C5423B9">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5125" w:type="dxa"/>
            <w:gridSpan w:val="4"/>
            <w:shd w:val="clear" w:color="000000" w:fill="FFFFFF"/>
            <w:noWrap w:val="0"/>
            <w:tcMar>
              <w:left w:w="108" w:type="dxa"/>
              <w:right w:w="108" w:type="dxa"/>
            </w:tcMar>
            <w:vAlign w:val="center"/>
          </w:tcPr>
          <w:p w14:paraId="5F8B82ED">
            <w:pPr>
              <w:spacing w:line="360" w:lineRule="auto"/>
              <w:jc w:val="center"/>
              <w:rPr>
                <w:rFonts w:hint="eastAsia" w:ascii="宋体" w:hAnsi="宋体" w:eastAsia="宋体" w:cs="宋体"/>
                <w:color w:val="auto"/>
                <w:sz w:val="21"/>
                <w:szCs w:val="21"/>
                <w:highlight w:val="none"/>
              </w:rPr>
            </w:pPr>
          </w:p>
        </w:tc>
        <w:tc>
          <w:tcPr>
            <w:tcW w:w="1712" w:type="dxa"/>
            <w:gridSpan w:val="2"/>
            <w:shd w:val="clear" w:color="000000" w:fill="FFFFFF"/>
            <w:noWrap w:val="0"/>
            <w:tcMar>
              <w:left w:w="108" w:type="dxa"/>
              <w:right w:w="108" w:type="dxa"/>
            </w:tcMar>
            <w:vAlign w:val="center"/>
          </w:tcPr>
          <w:p w14:paraId="4B7E6AEF">
            <w:pPr>
              <w:spacing w:line="360" w:lineRule="auto"/>
              <w:jc w:val="center"/>
              <w:rPr>
                <w:rFonts w:hint="eastAsia" w:ascii="宋体" w:hAnsi="宋体" w:eastAsia="宋体" w:cs="宋体"/>
                <w:color w:val="auto"/>
                <w:sz w:val="21"/>
                <w:szCs w:val="21"/>
                <w:highlight w:val="none"/>
              </w:rPr>
            </w:pPr>
          </w:p>
        </w:tc>
        <w:tc>
          <w:tcPr>
            <w:tcW w:w="1698" w:type="dxa"/>
            <w:shd w:val="clear" w:color="000000" w:fill="FFFFFF"/>
            <w:noWrap w:val="0"/>
            <w:tcMar>
              <w:left w:w="108" w:type="dxa"/>
              <w:right w:w="108" w:type="dxa"/>
            </w:tcMar>
            <w:vAlign w:val="center"/>
          </w:tcPr>
          <w:p w14:paraId="2DC14E33">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w:t>
            </w:r>
          </w:p>
        </w:tc>
      </w:tr>
      <w:tr w14:paraId="12622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778" w:hRule="atLeast"/>
        </w:trPr>
        <w:tc>
          <w:tcPr>
            <w:tcW w:w="1080" w:type="dxa"/>
            <w:shd w:val="clear" w:color="auto" w:fill="FFFFFF"/>
            <w:noWrap w:val="0"/>
            <w:tcMar>
              <w:left w:w="108" w:type="dxa"/>
              <w:right w:w="108" w:type="dxa"/>
            </w:tcMar>
            <w:vAlign w:val="center"/>
          </w:tcPr>
          <w:p w14:paraId="222C4310">
            <w:pPr>
              <w:spacing w:line="360" w:lineRule="auto"/>
              <w:ind w:left="8" w:hanging="9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注意：</w:t>
            </w:r>
          </w:p>
        </w:tc>
        <w:tc>
          <w:tcPr>
            <w:tcW w:w="8535" w:type="dxa"/>
            <w:gridSpan w:val="7"/>
            <w:shd w:val="clear" w:color="auto" w:fill="FFFFFF"/>
            <w:noWrap w:val="0"/>
            <w:tcMar>
              <w:left w:w="108" w:type="dxa"/>
              <w:right w:w="108" w:type="dxa"/>
            </w:tcMar>
            <w:vAlign w:val="center"/>
          </w:tcPr>
          <w:p w14:paraId="6FEC3244">
            <w:pPr>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w:t>
            </w:r>
          </w:p>
        </w:tc>
      </w:tr>
      <w:tr w14:paraId="1FCC4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53" w:hRule="atLeast"/>
        </w:trPr>
        <w:tc>
          <w:tcPr>
            <w:tcW w:w="2925" w:type="dxa"/>
            <w:gridSpan w:val="3"/>
            <w:shd w:val="clear" w:color="000000" w:fill="FFFFFF"/>
            <w:noWrap w:val="0"/>
            <w:tcMar>
              <w:left w:w="108" w:type="dxa"/>
              <w:right w:w="108" w:type="dxa"/>
            </w:tcMar>
            <w:vAlign w:val="center"/>
          </w:tcPr>
          <w:p w14:paraId="03326EDC">
            <w:pPr>
              <w:spacing w:line="360" w:lineRule="auto"/>
              <w:jc w:val="center"/>
              <w:rPr>
                <w:rFonts w:hint="eastAsia" w:ascii="宋体" w:hAnsi="宋体" w:eastAsia="宋体" w:cs="宋体"/>
                <w:color w:val="auto"/>
                <w:sz w:val="21"/>
                <w:szCs w:val="21"/>
                <w:highlight w:val="none"/>
              </w:rPr>
            </w:pPr>
          </w:p>
          <w:p w14:paraId="5D7850E3">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接收原件经办人(招标代理)：</w:t>
            </w:r>
          </w:p>
        </w:tc>
        <w:tc>
          <w:tcPr>
            <w:tcW w:w="1655" w:type="dxa"/>
            <w:shd w:val="clear" w:color="000000" w:fill="FFFFFF"/>
            <w:noWrap w:val="0"/>
            <w:tcMar>
              <w:left w:w="108" w:type="dxa"/>
              <w:right w:w="108" w:type="dxa"/>
            </w:tcMar>
            <w:vAlign w:val="center"/>
          </w:tcPr>
          <w:p w14:paraId="04093F2E">
            <w:pPr>
              <w:spacing w:line="360" w:lineRule="auto"/>
              <w:jc w:val="center"/>
              <w:rPr>
                <w:rFonts w:hint="eastAsia" w:ascii="宋体" w:hAnsi="宋体" w:eastAsia="宋体" w:cs="宋体"/>
                <w:color w:val="auto"/>
                <w:sz w:val="21"/>
                <w:szCs w:val="21"/>
                <w:highlight w:val="none"/>
              </w:rPr>
            </w:pPr>
          </w:p>
        </w:tc>
        <w:tc>
          <w:tcPr>
            <w:tcW w:w="1625" w:type="dxa"/>
            <w:shd w:val="clear" w:color="000000" w:fill="FFFFFF"/>
            <w:noWrap w:val="0"/>
            <w:tcMar>
              <w:left w:w="108" w:type="dxa"/>
              <w:right w:w="108" w:type="dxa"/>
            </w:tcMar>
            <w:vAlign w:val="center"/>
          </w:tcPr>
          <w:p w14:paraId="6D09C819">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接收时间：</w:t>
            </w:r>
          </w:p>
        </w:tc>
        <w:tc>
          <w:tcPr>
            <w:tcW w:w="3410" w:type="dxa"/>
            <w:gridSpan w:val="3"/>
            <w:shd w:val="clear" w:color="000000" w:fill="FFFFFF"/>
            <w:noWrap w:val="0"/>
            <w:tcMar>
              <w:left w:w="108" w:type="dxa"/>
              <w:right w:w="108" w:type="dxa"/>
            </w:tcMar>
            <w:vAlign w:val="center"/>
          </w:tcPr>
          <w:p w14:paraId="328608F6">
            <w:pPr>
              <w:spacing w:line="360" w:lineRule="auto"/>
              <w:ind w:firstLine="630" w:firstLineChars="3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   月   日   时  分</w:t>
            </w:r>
          </w:p>
        </w:tc>
      </w:tr>
      <w:tr w14:paraId="42FF3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90" w:hRule="atLeast"/>
        </w:trPr>
        <w:tc>
          <w:tcPr>
            <w:tcW w:w="2925" w:type="dxa"/>
            <w:gridSpan w:val="3"/>
            <w:shd w:val="clear" w:color="000000" w:fill="FFFFFF"/>
            <w:noWrap w:val="0"/>
            <w:tcMar>
              <w:left w:w="108" w:type="dxa"/>
              <w:right w:w="108" w:type="dxa"/>
            </w:tcMar>
            <w:vAlign w:val="center"/>
          </w:tcPr>
          <w:p w14:paraId="33E1DEA2">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退还原件接收人(投标人)：</w:t>
            </w:r>
          </w:p>
        </w:tc>
        <w:tc>
          <w:tcPr>
            <w:tcW w:w="1655" w:type="dxa"/>
            <w:shd w:val="clear" w:color="000000" w:fill="FFFFFF"/>
            <w:noWrap w:val="0"/>
            <w:tcMar>
              <w:left w:w="108" w:type="dxa"/>
              <w:right w:w="108" w:type="dxa"/>
            </w:tcMar>
            <w:vAlign w:val="center"/>
          </w:tcPr>
          <w:p w14:paraId="55B339A2">
            <w:pPr>
              <w:spacing w:line="360" w:lineRule="auto"/>
              <w:jc w:val="center"/>
              <w:rPr>
                <w:rFonts w:hint="eastAsia" w:ascii="宋体" w:hAnsi="宋体" w:eastAsia="宋体" w:cs="宋体"/>
                <w:color w:val="auto"/>
                <w:sz w:val="21"/>
                <w:szCs w:val="21"/>
                <w:highlight w:val="none"/>
              </w:rPr>
            </w:pPr>
          </w:p>
        </w:tc>
        <w:tc>
          <w:tcPr>
            <w:tcW w:w="1625" w:type="dxa"/>
            <w:shd w:val="clear" w:color="000000" w:fill="FFFFFF"/>
            <w:noWrap w:val="0"/>
            <w:tcMar>
              <w:left w:w="108" w:type="dxa"/>
              <w:right w:w="108" w:type="dxa"/>
            </w:tcMar>
            <w:vAlign w:val="center"/>
          </w:tcPr>
          <w:p w14:paraId="3A803726">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退还时间：</w:t>
            </w:r>
          </w:p>
        </w:tc>
        <w:tc>
          <w:tcPr>
            <w:tcW w:w="3410" w:type="dxa"/>
            <w:gridSpan w:val="3"/>
            <w:shd w:val="clear" w:color="000000" w:fill="FFFFFF"/>
            <w:noWrap w:val="0"/>
            <w:tcMar>
              <w:left w:w="108" w:type="dxa"/>
              <w:right w:w="108" w:type="dxa"/>
            </w:tcMar>
            <w:vAlign w:val="center"/>
          </w:tcPr>
          <w:p w14:paraId="4FBE05ED">
            <w:pPr>
              <w:spacing w:line="360" w:lineRule="auto"/>
              <w:ind w:firstLine="630" w:firstLineChars="3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   月   日   时   分</w:t>
            </w:r>
          </w:p>
        </w:tc>
      </w:tr>
    </w:tbl>
    <w:p w14:paraId="22DF0E64">
      <w:pPr>
        <w:spacing w:line="360" w:lineRule="auto"/>
        <w:contextualSpacing/>
        <w:jc w:val="left"/>
        <w:rPr>
          <w:rFonts w:hint="eastAsia" w:ascii="宋体" w:hAnsi="宋体" w:eastAsia="宋体" w:cs="宋体"/>
          <w:color w:val="auto"/>
          <w:highlight w:val="none"/>
        </w:rPr>
      </w:pPr>
    </w:p>
    <w:p w14:paraId="4512EC5E">
      <w:pPr>
        <w:rPr>
          <w:rFonts w:hint="eastAsia" w:ascii="宋体" w:hAnsi="宋体" w:eastAsia="宋体" w:cs="宋体"/>
        </w:rPr>
      </w:pPr>
    </w:p>
    <w:p w14:paraId="7590B877">
      <w:pPr>
        <w:rPr>
          <w:rFonts w:hint="eastAsia" w:ascii="宋体" w:hAnsi="宋体" w:eastAsia="宋体" w:cs="宋体"/>
        </w:rPr>
      </w:pPr>
    </w:p>
    <w:p w14:paraId="7A69F993">
      <w:pPr>
        <w:rPr>
          <w:rFonts w:hint="eastAsia" w:ascii="宋体" w:hAnsi="宋体" w:eastAsia="宋体" w:cs="宋体"/>
        </w:rPr>
      </w:pPr>
    </w:p>
    <w:p w14:paraId="7EE4E867">
      <w:pPr>
        <w:rPr>
          <w:rFonts w:hint="eastAsia" w:ascii="宋体" w:hAnsi="宋体" w:eastAsia="宋体" w:cs="宋体"/>
        </w:rPr>
      </w:pPr>
    </w:p>
    <w:p w14:paraId="07574570">
      <w:pPr>
        <w:rPr>
          <w:rFonts w:hint="eastAsia" w:ascii="宋体" w:hAnsi="宋体" w:eastAsia="宋体" w:cs="宋体"/>
        </w:rPr>
      </w:pPr>
    </w:p>
    <w:p w14:paraId="0C4FB503">
      <w:pPr>
        <w:rPr>
          <w:rFonts w:hint="eastAsia" w:ascii="宋体" w:hAnsi="宋体" w:eastAsia="宋体" w:cs="宋体"/>
        </w:rPr>
      </w:pPr>
    </w:p>
    <w:p w14:paraId="0CD18182">
      <w:pPr>
        <w:rPr>
          <w:rFonts w:hint="eastAsia" w:ascii="宋体" w:hAnsi="宋体" w:eastAsia="宋体" w:cs="宋体"/>
        </w:rPr>
      </w:pPr>
    </w:p>
    <w:p w14:paraId="2A265FDA">
      <w:pPr>
        <w:rPr>
          <w:rFonts w:hint="eastAsia" w:ascii="宋体" w:hAnsi="宋体" w:eastAsia="宋体" w:cs="宋体"/>
        </w:rPr>
      </w:pPr>
    </w:p>
    <w:bookmarkEnd w:id="302"/>
    <w:bookmarkEnd w:id="303"/>
    <w:p w14:paraId="551B1C1D">
      <w:pPr>
        <w:pStyle w:val="4"/>
        <w:wordWrap w:val="0"/>
        <w:autoSpaceDE/>
        <w:autoSpaceDN/>
        <w:snapToGrid w:val="0"/>
        <w:spacing w:line="360" w:lineRule="auto"/>
        <w:jc w:val="center"/>
        <w:rPr>
          <w:rFonts w:hint="eastAsia" w:ascii="宋体" w:hAnsi="宋体" w:eastAsia="宋体" w:cs="宋体"/>
          <w:snapToGrid w:val="0"/>
          <w:color w:val="auto"/>
          <w:kern w:val="0"/>
          <w:highlight w:val="none"/>
        </w:rPr>
      </w:pPr>
      <w:bookmarkStart w:id="348" w:name="_附件十六：措施项目清单计价表"/>
      <w:bookmarkEnd w:id="348"/>
      <w:bookmarkStart w:id="349" w:name="_Hlt87783244"/>
      <w:bookmarkEnd w:id="349"/>
      <w:bookmarkStart w:id="350" w:name="_Hlt87793582"/>
      <w:bookmarkEnd w:id="350"/>
      <w:bookmarkStart w:id="351" w:name="_附件二十一：土建工程、电气工程、给排水工程工程清单项目费汇总表"/>
      <w:bookmarkEnd w:id="351"/>
      <w:bookmarkStart w:id="352" w:name="_Toc142468134"/>
      <w:bookmarkStart w:id="353" w:name="_Toc132687128"/>
      <w:bookmarkStart w:id="354" w:name="_Toc244"/>
      <w:bookmarkStart w:id="355" w:name="_Toc137444778"/>
      <w:bookmarkStart w:id="356" w:name="_Toc1967"/>
      <w:bookmarkStart w:id="357" w:name="_Toc13722"/>
      <w:bookmarkStart w:id="358" w:name="_Toc133160683"/>
      <w:bookmarkStart w:id="359" w:name="_Toc133815902"/>
      <w:bookmarkStart w:id="360" w:name="_Toc78794873"/>
      <w:r>
        <w:rPr>
          <w:rFonts w:hint="eastAsia" w:ascii="宋体" w:hAnsi="宋体" w:eastAsia="宋体" w:cs="宋体"/>
          <w:b/>
          <w:snapToGrid w:val="0"/>
          <w:color w:val="auto"/>
          <w:sz w:val="24"/>
          <w:highlight w:val="none"/>
        </w:rPr>
        <w:t>第七章</w:t>
      </w:r>
      <w:r>
        <w:rPr>
          <w:rFonts w:hint="eastAsia" w:ascii="宋体" w:hAnsi="宋体" w:eastAsia="宋体" w:cs="宋体"/>
          <w:b/>
          <w:snapToGrid w:val="0"/>
          <w:color w:val="auto"/>
          <w:sz w:val="24"/>
          <w:highlight w:val="none"/>
          <w:lang w:val="en-US" w:eastAsia="zh-CN"/>
        </w:rPr>
        <w:t xml:space="preserve">   </w:t>
      </w:r>
      <w:r>
        <w:rPr>
          <w:rFonts w:hint="eastAsia" w:ascii="宋体" w:hAnsi="宋体" w:eastAsia="宋体" w:cs="宋体"/>
          <w:b/>
          <w:snapToGrid w:val="0"/>
          <w:color w:val="auto"/>
          <w:sz w:val="24"/>
          <w:highlight w:val="none"/>
        </w:rPr>
        <w:t>建设工程施工合同</w:t>
      </w:r>
      <w:bookmarkEnd w:id="352"/>
      <w:bookmarkEnd w:id="353"/>
      <w:bookmarkEnd w:id="354"/>
      <w:bookmarkEnd w:id="355"/>
      <w:bookmarkEnd w:id="356"/>
      <w:bookmarkEnd w:id="357"/>
      <w:bookmarkEnd w:id="358"/>
    </w:p>
    <w:p w14:paraId="7DA73BEC">
      <w:pPr>
        <w:wordWrap w:val="0"/>
        <w:adjustRightInd w:val="0"/>
        <w:snapToGrid w:val="0"/>
        <w:spacing w:line="360" w:lineRule="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 xml:space="preserve">    （略），</w:t>
      </w:r>
      <w:bookmarkEnd w:id="359"/>
      <w:bookmarkEnd w:id="360"/>
      <w:r>
        <w:rPr>
          <w:rFonts w:hint="eastAsia" w:ascii="宋体" w:hAnsi="宋体" w:eastAsia="宋体" w:cs="宋体"/>
          <w:snapToGrid w:val="0"/>
          <w:color w:val="auto"/>
          <w:kern w:val="0"/>
          <w:highlight w:val="none"/>
        </w:rPr>
        <w:t>按《广东省建设工程标准施工合同》（2009年版）或《建设工程施工合同（示范文本）》（GF—2017—0201）执行。</w:t>
      </w:r>
    </w:p>
    <w:p w14:paraId="7A471E72">
      <w:pPr>
        <w:spacing w:before="78" w:line="360" w:lineRule="auto"/>
        <w:ind w:firstLine="480"/>
        <w:rPr>
          <w:rFonts w:hint="eastAsia" w:ascii="宋体" w:hAnsi="宋体" w:eastAsia="宋体" w:cs="宋体"/>
          <w:color w:val="auto"/>
          <w:sz w:val="24"/>
          <w:szCs w:val="24"/>
          <w:highlight w:val="none"/>
        </w:rPr>
      </w:pPr>
    </w:p>
    <w:sectPr>
      <w:footerReference r:id="rId4" w:type="default"/>
      <w:pgSz w:w="11906" w:h="16839"/>
      <w:pgMar w:top="1134" w:right="1134" w:bottom="1134" w:left="1134" w:header="850" w:footer="850" w:gutter="0"/>
      <w:pgBorders>
        <w:top w:val="none" w:sz="0" w:space="0"/>
        <w:left w:val="none" w:sz="0" w:space="0"/>
        <w:bottom w:val="none" w:sz="0" w:space="0"/>
        <w:right w:val="none" w:sz="0" w:space="0"/>
      </w:pgBorders>
      <w:pgNumType w:fmt="decimal" w:start="1"/>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altName w:val="宋体"/>
    <w:panose1 w:val="020B0604020202020204"/>
    <w:charset w:val="86"/>
    <w:family w:val="roman"/>
    <w:pitch w:val="default"/>
    <w:sig w:usb0="00000000" w:usb1="00000000"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panose1 w:val="02020509000000000000"/>
    <w:charset w:val="88"/>
    <w:family w:val="modern"/>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19C086">
    <w:pPr>
      <w:pStyle w:val="16"/>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8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ED21ABA">
                          <w:pPr>
                            <w:pStyle w:val="16"/>
                          </w:pPr>
                          <w:r>
                            <w:fldChar w:fldCharType="begin"/>
                          </w:r>
                          <w:r>
                            <w:instrText xml:space="preserve"> PAGE  \* MERGEFORMAT </w:instrText>
                          </w:r>
                          <w:r>
                            <w:fldChar w:fldCharType="separate"/>
                          </w:r>
                          <w:r>
                            <w:t>102</w:t>
                          </w:r>
                          <w:r>
                            <w:fldChar w:fldCharType="end"/>
                          </w:r>
                        </w:p>
                      </w:txbxContent>
                    </wps:txbx>
                    <wps:bodyPr vert="horz" wrap="none" lIns="0" tIns="0" rIns="0" bIns="0" anchor="t" anchorCtr="0" upright="0">
                      <a:spAutoFit/>
                    </wps:bodyPr>
                  </wps:wsp>
                </a:graphicData>
              </a:graphic>
            </wp:anchor>
          </w:drawing>
        </mc:Choice>
        <mc:Fallback>
          <w:pict>
            <v:shape id="文本框 84"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HCWDBN8BAADAAwAADgAAAAAA&#10;AAABACAAAAAeAQAAZHJzL2Uyb0RvYy54bWxQSwUGAAAAAAYABgBZAQAAbwUAAAAA&#10;">
              <v:fill on="f" focussize="0,0"/>
              <v:stroke on="f"/>
              <v:imagedata o:title=""/>
              <o:lock v:ext="edit" aspectratio="f"/>
              <v:textbox inset="0mm,0mm,0mm,0mm" style="mso-fit-shape-to-text:t;">
                <w:txbxContent>
                  <w:p w14:paraId="0ED21ABA">
                    <w:pPr>
                      <w:pStyle w:val="16"/>
                    </w:pPr>
                    <w:r>
                      <w:fldChar w:fldCharType="begin"/>
                    </w:r>
                    <w:r>
                      <w:instrText xml:space="preserve"> PAGE  \* MERGEFORMAT </w:instrText>
                    </w:r>
                    <w:r>
                      <w:fldChar w:fldCharType="separate"/>
                    </w:r>
                    <w:r>
                      <w:t>102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12DB66">
    <w:pPr>
      <w:pStyle w:val="10"/>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C9BDCA"/>
    <w:multiLevelType w:val="singleLevel"/>
    <w:tmpl w:val="E6C9BDC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displayBackgroundShape w:val="1"/>
  <w:bordersDoNotSurroundHeader w:val="0"/>
  <w:bordersDoNotSurroundFooter w:val="0"/>
  <w:documentProtection w:enforcement="0"/>
  <w:defaultTabStop w:val="500"/>
  <w:hyphenationZone w:val="360"/>
  <w:displayHorizontalDrawingGridEvery w:val="1"/>
  <w:displayVerticalDrawingGridEvery w:val="1"/>
  <w:noPunctuationKerning w:val="1"/>
  <w:characterSpacingControl w:val="doNotCompress"/>
  <w:hdrShapeDefaults>
    <o:shapelayout v:ext="edit">
      <o:idmap v:ext="edit" data="2"/>
    </o:shapelayout>
  </w:hdrShapeDefaults>
  <w:compat>
    <w:spaceForUL/>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M3MGIxMTBiNDNjZjYzNDdjYzI5YTAwYjZmMGE0NTMifQ=="/>
    <w:docVar w:name="KSO_WPS_MARK_KEY" w:val="6f1ed6e0-1a31-40b8-b5e7-63682a01dd85"/>
  </w:docVars>
  <w:rsids>
    <w:rsidRoot w:val="00D93B1F"/>
    <w:rsid w:val="002271DC"/>
    <w:rsid w:val="00375761"/>
    <w:rsid w:val="0061778C"/>
    <w:rsid w:val="007902EC"/>
    <w:rsid w:val="008145AB"/>
    <w:rsid w:val="00A47D6E"/>
    <w:rsid w:val="00B311AF"/>
    <w:rsid w:val="00D93B1F"/>
    <w:rsid w:val="00DD4CCE"/>
    <w:rsid w:val="00E365EF"/>
    <w:rsid w:val="014D560B"/>
    <w:rsid w:val="024149A6"/>
    <w:rsid w:val="024A3A67"/>
    <w:rsid w:val="03695DE7"/>
    <w:rsid w:val="04182A85"/>
    <w:rsid w:val="0462389C"/>
    <w:rsid w:val="048C3708"/>
    <w:rsid w:val="04B262BE"/>
    <w:rsid w:val="05023882"/>
    <w:rsid w:val="053D5C48"/>
    <w:rsid w:val="057E0DE3"/>
    <w:rsid w:val="05DC138F"/>
    <w:rsid w:val="06C1202B"/>
    <w:rsid w:val="082B68AC"/>
    <w:rsid w:val="08897E49"/>
    <w:rsid w:val="097F6AA4"/>
    <w:rsid w:val="09C86F91"/>
    <w:rsid w:val="0A2166A1"/>
    <w:rsid w:val="0A4A5BF8"/>
    <w:rsid w:val="0A9B6453"/>
    <w:rsid w:val="0AA51080"/>
    <w:rsid w:val="0B0A655D"/>
    <w:rsid w:val="0B1F549C"/>
    <w:rsid w:val="0B293A5F"/>
    <w:rsid w:val="0C8A1D9B"/>
    <w:rsid w:val="0CA1581F"/>
    <w:rsid w:val="0D7F57E0"/>
    <w:rsid w:val="0D9A5BFA"/>
    <w:rsid w:val="0DB241E0"/>
    <w:rsid w:val="0DBF556A"/>
    <w:rsid w:val="0EA0228A"/>
    <w:rsid w:val="0EF27F68"/>
    <w:rsid w:val="0F0806AD"/>
    <w:rsid w:val="0F0E2D86"/>
    <w:rsid w:val="10091ED2"/>
    <w:rsid w:val="10C36704"/>
    <w:rsid w:val="112F1FB5"/>
    <w:rsid w:val="12445622"/>
    <w:rsid w:val="12940347"/>
    <w:rsid w:val="129F5010"/>
    <w:rsid w:val="12EA61CA"/>
    <w:rsid w:val="132959D5"/>
    <w:rsid w:val="132E3428"/>
    <w:rsid w:val="13864617"/>
    <w:rsid w:val="14EB5874"/>
    <w:rsid w:val="15033573"/>
    <w:rsid w:val="151A1F54"/>
    <w:rsid w:val="154E1149"/>
    <w:rsid w:val="15520CA1"/>
    <w:rsid w:val="15560382"/>
    <w:rsid w:val="15881947"/>
    <w:rsid w:val="160D2073"/>
    <w:rsid w:val="162A4334"/>
    <w:rsid w:val="16951380"/>
    <w:rsid w:val="17422EB4"/>
    <w:rsid w:val="175B58E8"/>
    <w:rsid w:val="17E94CA2"/>
    <w:rsid w:val="183B5119"/>
    <w:rsid w:val="185D269D"/>
    <w:rsid w:val="19067AD5"/>
    <w:rsid w:val="19143FA0"/>
    <w:rsid w:val="19636CD6"/>
    <w:rsid w:val="199D1A86"/>
    <w:rsid w:val="19A327C1"/>
    <w:rsid w:val="19A74E14"/>
    <w:rsid w:val="1AF84A59"/>
    <w:rsid w:val="1B1B5C83"/>
    <w:rsid w:val="1B3A75C2"/>
    <w:rsid w:val="1B520060"/>
    <w:rsid w:val="1BB83309"/>
    <w:rsid w:val="1BC872C4"/>
    <w:rsid w:val="1CF0262F"/>
    <w:rsid w:val="1D962329"/>
    <w:rsid w:val="1E162BB9"/>
    <w:rsid w:val="1E186857"/>
    <w:rsid w:val="1E2A7432"/>
    <w:rsid w:val="1EC75611"/>
    <w:rsid w:val="20060769"/>
    <w:rsid w:val="20895274"/>
    <w:rsid w:val="210802D8"/>
    <w:rsid w:val="21315CC2"/>
    <w:rsid w:val="214C004F"/>
    <w:rsid w:val="21BC6555"/>
    <w:rsid w:val="23113827"/>
    <w:rsid w:val="240259E5"/>
    <w:rsid w:val="24B95358"/>
    <w:rsid w:val="257D5945"/>
    <w:rsid w:val="25EF3DCB"/>
    <w:rsid w:val="268F519D"/>
    <w:rsid w:val="26F57B3D"/>
    <w:rsid w:val="27A4422C"/>
    <w:rsid w:val="27FC7AB5"/>
    <w:rsid w:val="281318C7"/>
    <w:rsid w:val="28136333"/>
    <w:rsid w:val="298B2C60"/>
    <w:rsid w:val="298D5819"/>
    <w:rsid w:val="29957EB6"/>
    <w:rsid w:val="2A170EE6"/>
    <w:rsid w:val="2AA35349"/>
    <w:rsid w:val="2B2C33CC"/>
    <w:rsid w:val="2B6F5066"/>
    <w:rsid w:val="2B7946DC"/>
    <w:rsid w:val="2C1C51EE"/>
    <w:rsid w:val="2C7D05EC"/>
    <w:rsid w:val="2CC71519"/>
    <w:rsid w:val="2CE86152"/>
    <w:rsid w:val="2DE60A9D"/>
    <w:rsid w:val="2E521472"/>
    <w:rsid w:val="2E7E14C9"/>
    <w:rsid w:val="2EEB0EA8"/>
    <w:rsid w:val="2EF20488"/>
    <w:rsid w:val="2F5B695D"/>
    <w:rsid w:val="30120709"/>
    <w:rsid w:val="306C7DC6"/>
    <w:rsid w:val="30800BE7"/>
    <w:rsid w:val="31234CB3"/>
    <w:rsid w:val="31F33790"/>
    <w:rsid w:val="32A55E11"/>
    <w:rsid w:val="333A41AC"/>
    <w:rsid w:val="348C6C89"/>
    <w:rsid w:val="3525070E"/>
    <w:rsid w:val="35444468"/>
    <w:rsid w:val="354971CF"/>
    <w:rsid w:val="35DB7EC8"/>
    <w:rsid w:val="36716471"/>
    <w:rsid w:val="371D1E1A"/>
    <w:rsid w:val="37F963E3"/>
    <w:rsid w:val="38351E66"/>
    <w:rsid w:val="38551E6A"/>
    <w:rsid w:val="386D5023"/>
    <w:rsid w:val="38D26C34"/>
    <w:rsid w:val="390A0223"/>
    <w:rsid w:val="395D4987"/>
    <w:rsid w:val="3B653D90"/>
    <w:rsid w:val="3C1852A6"/>
    <w:rsid w:val="3C1C4A64"/>
    <w:rsid w:val="3C3B1478"/>
    <w:rsid w:val="3D844B7C"/>
    <w:rsid w:val="3EF67200"/>
    <w:rsid w:val="3F233925"/>
    <w:rsid w:val="3FAD641B"/>
    <w:rsid w:val="3FB44612"/>
    <w:rsid w:val="3FE01B1C"/>
    <w:rsid w:val="40046D13"/>
    <w:rsid w:val="40CA5C2D"/>
    <w:rsid w:val="410E4A44"/>
    <w:rsid w:val="414F28B1"/>
    <w:rsid w:val="42154762"/>
    <w:rsid w:val="43041937"/>
    <w:rsid w:val="4320516C"/>
    <w:rsid w:val="43DD3E5A"/>
    <w:rsid w:val="44355C57"/>
    <w:rsid w:val="443A6632"/>
    <w:rsid w:val="45287D24"/>
    <w:rsid w:val="454964D0"/>
    <w:rsid w:val="45DF68CB"/>
    <w:rsid w:val="45E5269D"/>
    <w:rsid w:val="45E9429C"/>
    <w:rsid w:val="460A64D2"/>
    <w:rsid w:val="46203E24"/>
    <w:rsid w:val="464C7C9B"/>
    <w:rsid w:val="46A967E4"/>
    <w:rsid w:val="46B6637D"/>
    <w:rsid w:val="474D04FA"/>
    <w:rsid w:val="477200AE"/>
    <w:rsid w:val="4785185A"/>
    <w:rsid w:val="47BE6D02"/>
    <w:rsid w:val="481B63B6"/>
    <w:rsid w:val="48F662B3"/>
    <w:rsid w:val="48F74BC1"/>
    <w:rsid w:val="49411970"/>
    <w:rsid w:val="496E7F48"/>
    <w:rsid w:val="4A1B1471"/>
    <w:rsid w:val="4B1362E3"/>
    <w:rsid w:val="4B9117CC"/>
    <w:rsid w:val="4C6C5AF1"/>
    <w:rsid w:val="4C8C6E2A"/>
    <w:rsid w:val="4C917D41"/>
    <w:rsid w:val="4CC16D7F"/>
    <w:rsid w:val="4CE313E9"/>
    <w:rsid w:val="4CFD1FA0"/>
    <w:rsid w:val="4D0D77FD"/>
    <w:rsid w:val="4D5679DC"/>
    <w:rsid w:val="4D866514"/>
    <w:rsid w:val="4DB4554A"/>
    <w:rsid w:val="4E037EE6"/>
    <w:rsid w:val="4E6E5E7F"/>
    <w:rsid w:val="4E893884"/>
    <w:rsid w:val="4EDA51D8"/>
    <w:rsid w:val="4EF632AE"/>
    <w:rsid w:val="4F190832"/>
    <w:rsid w:val="4F292F55"/>
    <w:rsid w:val="50264C5C"/>
    <w:rsid w:val="504306EC"/>
    <w:rsid w:val="50B909AE"/>
    <w:rsid w:val="50C406E4"/>
    <w:rsid w:val="512247A5"/>
    <w:rsid w:val="541C1980"/>
    <w:rsid w:val="54224A50"/>
    <w:rsid w:val="546108D5"/>
    <w:rsid w:val="554178E8"/>
    <w:rsid w:val="55443DFC"/>
    <w:rsid w:val="557529F8"/>
    <w:rsid w:val="55781588"/>
    <w:rsid w:val="55B9763E"/>
    <w:rsid w:val="55F24830"/>
    <w:rsid w:val="56326745"/>
    <w:rsid w:val="566413BC"/>
    <w:rsid w:val="56A676EB"/>
    <w:rsid w:val="56F83D0C"/>
    <w:rsid w:val="572763EB"/>
    <w:rsid w:val="575B631B"/>
    <w:rsid w:val="57766A4D"/>
    <w:rsid w:val="577B28F1"/>
    <w:rsid w:val="57830607"/>
    <w:rsid w:val="57F4758F"/>
    <w:rsid w:val="585F0BD8"/>
    <w:rsid w:val="58871392"/>
    <w:rsid w:val="58C6175D"/>
    <w:rsid w:val="58CD2D07"/>
    <w:rsid w:val="59A56BC2"/>
    <w:rsid w:val="59AD6BD6"/>
    <w:rsid w:val="5A3C3F0A"/>
    <w:rsid w:val="5A4D499A"/>
    <w:rsid w:val="5A537966"/>
    <w:rsid w:val="5A772246"/>
    <w:rsid w:val="5A7D0C9E"/>
    <w:rsid w:val="5ACE0C44"/>
    <w:rsid w:val="5AE90694"/>
    <w:rsid w:val="5AF466D4"/>
    <w:rsid w:val="5B0F405E"/>
    <w:rsid w:val="5B1433B1"/>
    <w:rsid w:val="5B325FEC"/>
    <w:rsid w:val="5B7052F9"/>
    <w:rsid w:val="5C13353F"/>
    <w:rsid w:val="5C8C6761"/>
    <w:rsid w:val="5CFF3BED"/>
    <w:rsid w:val="5D2E2764"/>
    <w:rsid w:val="5D861C18"/>
    <w:rsid w:val="5DCD3CEB"/>
    <w:rsid w:val="5DF72526"/>
    <w:rsid w:val="5E0B123F"/>
    <w:rsid w:val="5E9860A7"/>
    <w:rsid w:val="5EE52C75"/>
    <w:rsid w:val="5F321E6E"/>
    <w:rsid w:val="5FD54C27"/>
    <w:rsid w:val="5FFB445E"/>
    <w:rsid w:val="605E28A2"/>
    <w:rsid w:val="6101712B"/>
    <w:rsid w:val="611E023E"/>
    <w:rsid w:val="611F4E36"/>
    <w:rsid w:val="6166423A"/>
    <w:rsid w:val="6338060C"/>
    <w:rsid w:val="64044202"/>
    <w:rsid w:val="6507503C"/>
    <w:rsid w:val="6535464F"/>
    <w:rsid w:val="65384C44"/>
    <w:rsid w:val="654E5711"/>
    <w:rsid w:val="659415BD"/>
    <w:rsid w:val="66B06A9E"/>
    <w:rsid w:val="66DD63E5"/>
    <w:rsid w:val="66EA3218"/>
    <w:rsid w:val="66F97A54"/>
    <w:rsid w:val="68DC416E"/>
    <w:rsid w:val="694C01BA"/>
    <w:rsid w:val="69656389"/>
    <w:rsid w:val="69AE7840"/>
    <w:rsid w:val="69D4452F"/>
    <w:rsid w:val="6A5C61DA"/>
    <w:rsid w:val="6A6E23B2"/>
    <w:rsid w:val="6A9C2A7B"/>
    <w:rsid w:val="6B3B004F"/>
    <w:rsid w:val="6B713F07"/>
    <w:rsid w:val="6B8003A5"/>
    <w:rsid w:val="6B85333E"/>
    <w:rsid w:val="6B9B48D9"/>
    <w:rsid w:val="6C1C0677"/>
    <w:rsid w:val="6C7207B7"/>
    <w:rsid w:val="6D592EA5"/>
    <w:rsid w:val="6DAB380B"/>
    <w:rsid w:val="6DD97740"/>
    <w:rsid w:val="6E4C2A0A"/>
    <w:rsid w:val="6E551AFF"/>
    <w:rsid w:val="6EDA6400"/>
    <w:rsid w:val="702D1B02"/>
    <w:rsid w:val="708E757A"/>
    <w:rsid w:val="71593474"/>
    <w:rsid w:val="719B55D2"/>
    <w:rsid w:val="71B13050"/>
    <w:rsid w:val="726A7063"/>
    <w:rsid w:val="728577B6"/>
    <w:rsid w:val="72CE73C6"/>
    <w:rsid w:val="72D311B2"/>
    <w:rsid w:val="733C302D"/>
    <w:rsid w:val="747F3DA7"/>
    <w:rsid w:val="74F02341"/>
    <w:rsid w:val="74FB14A6"/>
    <w:rsid w:val="74FC5B91"/>
    <w:rsid w:val="75156511"/>
    <w:rsid w:val="75AF7C6E"/>
    <w:rsid w:val="75B8488D"/>
    <w:rsid w:val="75CF6598"/>
    <w:rsid w:val="75FC6AC3"/>
    <w:rsid w:val="762001BB"/>
    <w:rsid w:val="76A21419"/>
    <w:rsid w:val="77354CF9"/>
    <w:rsid w:val="773D3837"/>
    <w:rsid w:val="77743287"/>
    <w:rsid w:val="77852348"/>
    <w:rsid w:val="77A26F92"/>
    <w:rsid w:val="77B318CB"/>
    <w:rsid w:val="78F3578F"/>
    <w:rsid w:val="7A3A25F4"/>
    <w:rsid w:val="7A6B598B"/>
    <w:rsid w:val="7AAE3295"/>
    <w:rsid w:val="7B046B46"/>
    <w:rsid w:val="7B252618"/>
    <w:rsid w:val="7B2F3B4A"/>
    <w:rsid w:val="7B610879"/>
    <w:rsid w:val="7BC7188B"/>
    <w:rsid w:val="7C853A45"/>
    <w:rsid w:val="7CBE03EA"/>
    <w:rsid w:val="7D1D47BD"/>
    <w:rsid w:val="7D2F2B0C"/>
    <w:rsid w:val="7E374D98"/>
    <w:rsid w:val="7E533563"/>
    <w:rsid w:val="7E5714CF"/>
    <w:rsid w:val="7EF42459"/>
    <w:rsid w:val="7F777DF7"/>
    <w:rsid w:val="7FA5532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4">
    <w:name w:val="heading 1"/>
    <w:basedOn w:val="1"/>
    <w:next w:val="1"/>
    <w:qFormat/>
    <w:uiPriority w:val="0"/>
    <w:pPr>
      <w:autoSpaceDE w:val="0"/>
      <w:autoSpaceDN w:val="0"/>
      <w:adjustRightInd w:val="0"/>
      <w:jc w:val="left"/>
      <w:outlineLvl w:val="0"/>
    </w:pPr>
    <w:rPr>
      <w:rFonts w:ascii="Times New Roman"/>
      <w:kern w:val="0"/>
      <w:sz w:val="30"/>
    </w:rPr>
  </w:style>
  <w:style w:type="paragraph" w:styleId="5">
    <w:name w:val="heading 2"/>
    <w:basedOn w:val="1"/>
    <w:next w:val="1"/>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6">
    <w:name w:val="heading 3"/>
    <w:basedOn w:val="7"/>
    <w:next w:val="7"/>
    <w:qFormat/>
    <w:uiPriority w:val="0"/>
    <w:pPr>
      <w:keepNext/>
      <w:keepLines/>
      <w:spacing w:before="120" w:beforeLines="0" w:beforeAutospacing="0" w:after="120" w:afterLines="0" w:afterAutospacing="0"/>
      <w:jc w:val="center"/>
      <w:outlineLvl w:val="2"/>
    </w:pPr>
    <w:rPr>
      <w:sz w:val="24"/>
    </w:rPr>
  </w:style>
  <w:style w:type="paragraph" w:styleId="8">
    <w:name w:val="heading 4"/>
    <w:basedOn w:val="1"/>
    <w:next w:val="1"/>
    <w:qFormat/>
    <w:uiPriority w:val="0"/>
    <w:pPr>
      <w:keepNext/>
      <w:keepLines/>
      <w:spacing w:line="374" w:lineRule="auto"/>
      <w:outlineLvl w:val="3"/>
    </w:pPr>
    <w:rPr>
      <w:rFonts w:ascii="Arial" w:hAnsi="Arial"/>
    </w:rPr>
  </w:style>
  <w:style w:type="character" w:default="1" w:styleId="26">
    <w:name w:val="Default Paragraph Font"/>
    <w:semiHidden/>
    <w:qFormat/>
    <w:uiPriority w:val="0"/>
  </w:style>
  <w:style w:type="table" w:default="1" w:styleId="24">
    <w:name w:val="Normal Table"/>
    <w:semiHidden/>
    <w:qFormat/>
    <w:uiPriority w:val="0"/>
    <w:tblPr>
      <w:tblCellMar>
        <w:top w:w="0" w:type="dxa"/>
        <w:left w:w="108" w:type="dxa"/>
        <w:bottom w:w="0" w:type="dxa"/>
        <w:right w:w="108" w:type="dxa"/>
      </w:tblCellMar>
    </w:tblPr>
  </w:style>
  <w:style w:type="paragraph" w:styleId="2">
    <w:name w:val="Plain Text"/>
    <w:basedOn w:val="1"/>
    <w:next w:val="3"/>
    <w:qFormat/>
    <w:uiPriority w:val="0"/>
    <w:pPr>
      <w:ind w:firstLine="200" w:firstLineChars="200"/>
    </w:pPr>
    <w:rPr>
      <w:rFonts w:ascii="宋体" w:hAnsi="Courier New"/>
      <w:szCs w:val="21"/>
    </w:rPr>
  </w:style>
  <w:style w:type="paragraph" w:customStyle="1" w:styleId="3">
    <w:name w:val="Default"/>
    <w:unhideWhenUsed/>
    <w:qFormat/>
    <w:uiPriority w:val="99"/>
    <w:pPr>
      <w:widowControl w:val="0"/>
      <w:autoSpaceDE w:val="0"/>
      <w:autoSpaceDN w:val="0"/>
      <w:adjustRightInd w:val="0"/>
    </w:pPr>
    <w:rPr>
      <w:rFonts w:hint="eastAsia" w:ascii="Arial Unicode MS" w:hAnsi="Arial Unicode MS" w:eastAsia="Arial Unicode MS" w:cs="Times New Roman"/>
      <w:color w:val="000000"/>
      <w:sz w:val="24"/>
      <w:lang w:val="en-US" w:eastAsia="zh-CN" w:bidi="ar-SA"/>
    </w:rPr>
  </w:style>
  <w:style w:type="paragraph" w:styleId="7">
    <w:name w:val="Normal Indent"/>
    <w:basedOn w:val="1"/>
    <w:qFormat/>
    <w:uiPriority w:val="0"/>
    <w:pPr>
      <w:spacing w:line="360" w:lineRule="auto"/>
      <w:ind w:firstLine="200" w:firstLineChars="200"/>
    </w:pPr>
    <w:rPr>
      <w:rFonts w:ascii="Times New Roman" w:hAnsi="Times New Roman" w:eastAsia="宋体" w:cs="Times New Roman"/>
      <w:sz w:val="24"/>
    </w:rPr>
  </w:style>
  <w:style w:type="paragraph" w:styleId="9">
    <w:name w:val="annotation text"/>
    <w:basedOn w:val="1"/>
    <w:qFormat/>
    <w:uiPriority w:val="0"/>
    <w:pPr>
      <w:adjustRightInd w:val="0"/>
      <w:spacing w:line="360" w:lineRule="atLeast"/>
      <w:jc w:val="left"/>
      <w:textAlignment w:val="baseline"/>
    </w:pPr>
    <w:rPr>
      <w:kern w:val="0"/>
    </w:rPr>
  </w:style>
  <w:style w:type="paragraph" w:styleId="10">
    <w:name w:val="Body Text"/>
    <w:basedOn w:val="1"/>
    <w:semiHidden/>
    <w:qFormat/>
    <w:uiPriority w:val="0"/>
    <w:rPr>
      <w:rFonts w:ascii="Arial" w:hAnsi="Arial" w:eastAsia="Arial" w:cs="Arial"/>
      <w:sz w:val="21"/>
      <w:szCs w:val="21"/>
      <w:lang w:val="en-US" w:eastAsia="en-US" w:bidi="ar-SA"/>
    </w:rPr>
  </w:style>
  <w:style w:type="paragraph" w:styleId="11">
    <w:name w:val="Body Text Indent"/>
    <w:basedOn w:val="1"/>
    <w:next w:val="12"/>
    <w:qFormat/>
    <w:uiPriority w:val="0"/>
    <w:pPr>
      <w:spacing w:after="120" w:afterLines="0"/>
      <w:ind w:left="420" w:leftChars="200"/>
    </w:pPr>
  </w:style>
  <w:style w:type="paragraph" w:styleId="12">
    <w:name w:val="envelope return"/>
    <w:basedOn w:val="1"/>
    <w:qFormat/>
    <w:uiPriority w:val="99"/>
    <w:pPr>
      <w:snapToGrid w:val="0"/>
    </w:pPr>
    <w:rPr>
      <w:rFonts w:ascii="Arial" w:hAnsi="Arial"/>
    </w:rPr>
  </w:style>
  <w:style w:type="paragraph" w:styleId="13">
    <w:name w:val="toc 3"/>
    <w:basedOn w:val="1"/>
    <w:next w:val="1"/>
    <w:qFormat/>
    <w:uiPriority w:val="0"/>
    <w:pPr>
      <w:ind w:left="840" w:leftChars="400"/>
    </w:pPr>
  </w:style>
  <w:style w:type="paragraph" w:styleId="14">
    <w:name w:val="Body Text Indent 2"/>
    <w:basedOn w:val="1"/>
    <w:qFormat/>
    <w:uiPriority w:val="0"/>
    <w:pPr>
      <w:spacing w:line="480" w:lineRule="auto"/>
      <w:ind w:firstLine="561"/>
    </w:pPr>
    <w:rPr>
      <w:rFonts w:ascii="宋体"/>
    </w:rPr>
  </w:style>
  <w:style w:type="paragraph" w:styleId="15">
    <w:name w:val="Balloon Text"/>
    <w:basedOn w:val="1"/>
    <w:link w:val="28"/>
    <w:qFormat/>
    <w:uiPriority w:val="0"/>
    <w:rPr>
      <w:sz w:val="18"/>
      <w:szCs w:val="18"/>
    </w:rPr>
  </w:style>
  <w:style w:type="paragraph" w:styleId="16">
    <w:name w:val="footer"/>
    <w:basedOn w:val="1"/>
    <w:qFormat/>
    <w:uiPriority w:val="0"/>
    <w:pPr>
      <w:tabs>
        <w:tab w:val="center" w:pos="4153"/>
        <w:tab w:val="right" w:pos="8306"/>
      </w:tabs>
      <w:snapToGrid w:val="0"/>
      <w:jc w:val="left"/>
    </w:pPr>
    <w:rPr>
      <w:sz w:val="18"/>
    </w:rPr>
  </w:style>
  <w:style w:type="paragraph" w:styleId="17">
    <w:name w:val="header"/>
    <w:basedOn w:val="1"/>
    <w:link w:val="29"/>
    <w:qFormat/>
    <w:uiPriority w:val="0"/>
    <w:pPr>
      <w:pBdr>
        <w:bottom w:val="single" w:color="auto" w:sz="6" w:space="1"/>
      </w:pBdr>
      <w:tabs>
        <w:tab w:val="center" w:pos="4153"/>
        <w:tab w:val="right" w:pos="8306"/>
      </w:tabs>
      <w:jc w:val="center"/>
    </w:pPr>
    <w:rPr>
      <w:sz w:val="18"/>
      <w:szCs w:val="18"/>
    </w:rPr>
  </w:style>
  <w:style w:type="paragraph" w:styleId="18">
    <w:name w:val="toc 1"/>
    <w:basedOn w:val="1"/>
    <w:next w:val="1"/>
    <w:qFormat/>
    <w:uiPriority w:val="0"/>
  </w:style>
  <w:style w:type="paragraph" w:styleId="19">
    <w:name w:val="toc 2"/>
    <w:basedOn w:val="1"/>
    <w:next w:val="1"/>
    <w:qFormat/>
    <w:uiPriority w:val="0"/>
    <w:pPr>
      <w:ind w:left="420" w:leftChars="200"/>
    </w:pPr>
  </w:style>
  <w:style w:type="paragraph" w:styleId="20">
    <w:name w:val="Body Text 2"/>
    <w:basedOn w:val="1"/>
    <w:next w:val="10"/>
    <w:qFormat/>
    <w:uiPriority w:val="0"/>
    <w:pPr>
      <w:spacing w:line="500" w:lineRule="exact"/>
    </w:pPr>
    <w:rPr>
      <w:rFonts w:hint="default"/>
    </w:rPr>
  </w:style>
  <w:style w:type="paragraph" w:styleId="21">
    <w:name w:val="Normal (Web)"/>
    <w:basedOn w:val="1"/>
    <w:qFormat/>
    <w:uiPriority w:val="0"/>
    <w:pPr>
      <w:spacing w:beforeAutospacing="1" w:afterAutospacing="1"/>
      <w:jc w:val="left"/>
    </w:pPr>
    <w:rPr>
      <w:rFonts w:cs="Times New Roman"/>
      <w:kern w:val="0"/>
      <w:sz w:val="24"/>
    </w:rPr>
  </w:style>
  <w:style w:type="paragraph" w:styleId="22">
    <w:name w:val="Body Text First Indent"/>
    <w:basedOn w:val="10"/>
    <w:qFormat/>
    <w:uiPriority w:val="99"/>
    <w:pPr>
      <w:spacing w:line="240" w:lineRule="auto"/>
      <w:ind w:firstLine="420" w:firstLineChars="100"/>
    </w:pPr>
    <w:rPr>
      <w:rFonts w:ascii="Times New Roman" w:cs="Times New Roman"/>
      <w:sz w:val="20"/>
      <w:szCs w:val="20"/>
    </w:rPr>
  </w:style>
  <w:style w:type="paragraph" w:styleId="23">
    <w:name w:val="Body Text First Indent 2"/>
    <w:basedOn w:val="7"/>
    <w:unhideWhenUsed/>
    <w:qFormat/>
    <w:uiPriority w:val="99"/>
    <w:pPr>
      <w:tabs>
        <w:tab w:val="left" w:pos="0"/>
        <w:tab w:val="left" w:pos="8130"/>
      </w:tabs>
      <w:ind w:firstLine="420"/>
    </w:p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qFormat/>
    <w:uiPriority w:val="0"/>
    <w:rPr>
      <w:color w:val="0000FF"/>
      <w:u w:val="single"/>
    </w:rPr>
  </w:style>
  <w:style w:type="character" w:customStyle="1" w:styleId="28">
    <w:name w:val="批注框文本 Char"/>
    <w:link w:val="15"/>
    <w:qFormat/>
    <w:uiPriority w:val="0"/>
    <w:rPr>
      <w:rFonts w:ascii="Arial" w:hAnsi="Arial" w:eastAsia="Arial" w:cs="Arial"/>
      <w:snapToGrid/>
      <w:color w:val="000000"/>
      <w:sz w:val="18"/>
      <w:szCs w:val="18"/>
      <w:lang w:eastAsia="en-US"/>
    </w:rPr>
  </w:style>
  <w:style w:type="character" w:customStyle="1" w:styleId="29">
    <w:name w:val="页眉 Char"/>
    <w:link w:val="17"/>
    <w:qFormat/>
    <w:uiPriority w:val="0"/>
    <w:rPr>
      <w:rFonts w:ascii="Arial" w:hAnsi="Arial" w:eastAsia="Arial" w:cs="Arial"/>
      <w:snapToGrid/>
      <w:color w:val="000000"/>
      <w:sz w:val="18"/>
      <w:szCs w:val="18"/>
      <w:lang w:eastAsia="en-US"/>
    </w:rPr>
  </w:style>
  <w:style w:type="paragraph" w:customStyle="1" w:styleId="30">
    <w:name w:val="章标题"/>
    <w:next w:val="1"/>
    <w:qFormat/>
    <w:uiPriority w:val="0"/>
    <w:pPr>
      <w:spacing w:before="50" w:after="50"/>
      <w:jc w:val="both"/>
      <w:outlineLvl w:val="1"/>
    </w:pPr>
    <w:rPr>
      <w:rFonts w:ascii="黑体" w:hAnsi="Calibri" w:eastAsia="黑体" w:cs="Times New Roman"/>
      <w:kern w:val="0"/>
      <w:sz w:val="21"/>
      <w:szCs w:val="20"/>
      <w:lang w:val="en-US" w:eastAsia="zh-CN" w:bidi="ar-SA"/>
    </w:rPr>
  </w:style>
  <w:style w:type="table" w:customStyle="1" w:styleId="31">
    <w:name w:val="Table Normal"/>
    <w:unhideWhenUsed/>
    <w:qFormat/>
    <w:uiPriority w:val="0"/>
    <w:rPr>
      <w:lang w:val="en-US" w:eastAsia="zh-CN" w:bidi="ar-SA"/>
    </w:rPr>
    <w:tblPr>
      <w:tblCellMar>
        <w:top w:w="0" w:type="dxa"/>
        <w:left w:w="0" w:type="dxa"/>
        <w:bottom w:w="0" w:type="dxa"/>
        <w:right w:w="0" w:type="dxa"/>
      </w:tblCellMar>
    </w:tblPr>
  </w:style>
  <w:style w:type="paragraph" w:customStyle="1" w:styleId="32">
    <w:name w:val="Table Text"/>
    <w:basedOn w:val="1"/>
    <w:semiHidden/>
    <w:qFormat/>
    <w:uiPriority w:val="0"/>
    <w:rPr>
      <w:rFonts w:ascii="Arial" w:hAnsi="Arial" w:eastAsia="Arial" w:cs="Arial"/>
      <w:sz w:val="21"/>
      <w:szCs w:val="21"/>
      <w:lang w:val="en-US" w:eastAsia="en-US" w:bidi="ar-SA"/>
    </w:rPr>
  </w:style>
  <w:style w:type="paragraph" w:customStyle="1" w:styleId="33">
    <w:name w:val="正文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4">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6">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37">
    <w:name w:val="文一"/>
    <w:basedOn w:val="1"/>
    <w:qFormat/>
    <w:uiPriority w:val="0"/>
    <w:pPr>
      <w:topLinePunct/>
      <w:adjustRightInd w:val="0"/>
      <w:snapToGrid w:val="0"/>
      <w:ind w:firstLine="200" w:firstLineChars="200"/>
    </w:pPr>
    <w:rPr>
      <w:rFonts w:ascii="Calibri" w:hAnsi="Calibri"/>
      <w:snapToGrid w:val="0"/>
      <w:spacing w:val="4"/>
      <w:kern w:val="0"/>
      <w:szCs w:val="22"/>
    </w:rPr>
  </w:style>
  <w:style w:type="paragraph" w:customStyle="1" w:styleId="38">
    <w:name w:val="WPSOffice手动目录 1"/>
    <w:qFormat/>
    <w:uiPriority w:val="0"/>
    <w:rPr>
      <w:rFonts w:ascii="Times New Roman" w:hAnsi="Times New Roman" w:eastAsia="宋体" w:cs="Times New Roman"/>
      <w:lang w:val="en-US" w:eastAsia="zh-CN" w:bidi="ar-SA"/>
    </w:rPr>
  </w:style>
  <w:style w:type="paragraph" w:customStyle="1" w:styleId="39">
    <w:name w:val="WPSOffice手动目录 2"/>
    <w:qFormat/>
    <w:uiPriority w:val="0"/>
    <w:pPr>
      <w:ind w:leftChars="200"/>
    </w:pPr>
    <w:rPr>
      <w:rFonts w:ascii="Times New Roman" w:hAnsi="Times New Roman" w:eastAsia="宋体" w:cs="Times New Roman"/>
      <w:lang w:val="en-US" w:eastAsia="zh-CN" w:bidi="ar-SA"/>
    </w:rPr>
  </w:style>
  <w:style w:type="paragraph" w:customStyle="1" w:styleId="40">
    <w:name w:val="WPSOffice手动目录 3"/>
    <w:qFormat/>
    <w:uiPriority w:val="0"/>
    <w:pPr>
      <w:ind w:leftChars="400"/>
    </w:pPr>
    <w:rPr>
      <w:rFonts w:ascii="Times New Roman" w:hAnsi="Times New Roman" w:eastAsia="宋体" w:cs="Times New Roman"/>
      <w:lang w:val="en-US" w:eastAsia="zh-CN" w:bidi="ar-SA"/>
    </w:rPr>
  </w:style>
  <w:style w:type="paragraph" w:customStyle="1" w:styleId="41">
    <w:name w:val="正文缩进1"/>
    <w:basedOn w:val="1"/>
    <w:qFormat/>
    <w:uiPriority w:val="0"/>
    <w:pPr>
      <w:widowControl/>
      <w:ind w:firstLine="420"/>
      <w:jc w:val="left"/>
    </w:pPr>
    <w:rPr>
      <w:kern w:val="0"/>
    </w:rPr>
  </w:style>
  <w:style w:type="paragraph" w:customStyle="1" w:styleId="42">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43">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44">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45">
    <w:name w:val="样式 宋体 行距: 1.5 倍行距"/>
    <w:basedOn w:val="46"/>
    <w:next w:val="1"/>
    <w:qFormat/>
    <w:uiPriority w:val="99"/>
    <w:pPr>
      <w:jc w:val="center"/>
    </w:pPr>
    <w:rPr>
      <w:b/>
    </w:rPr>
  </w:style>
  <w:style w:type="paragraph" w:customStyle="1" w:styleId="4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45"/>
    <w:qFormat/>
    <w:uiPriority w:val="0"/>
    <w:pPr>
      <w:widowControl w:val="0"/>
      <w:jc w:val="both"/>
    </w:pPr>
    <w:rPr>
      <w:rFonts w:ascii="Calibri" w:hAnsi="Calibri" w:eastAsia="宋体" w:cs="黑体"/>
      <w:kern w:val="2"/>
      <w:sz w:val="21"/>
      <w:szCs w:val="24"/>
      <w:lang w:val="en-US" w:eastAsia="zh-CN" w:bidi="ar-SA"/>
    </w:rPr>
  </w:style>
  <w:style w:type="paragraph" w:customStyle="1" w:styleId="47">
    <w:name w:val="UserStyle_43"/>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character" w:customStyle="1" w:styleId="48">
    <w:name w:val="NormalCharacter"/>
    <w:qFormat/>
    <w:uiPriority w:val="99"/>
  </w:style>
  <w:style w:type="paragraph" w:customStyle="1" w:styleId="49">
    <w:name w:val="普通(网站)1"/>
    <w:basedOn w:val="1"/>
    <w:qFormat/>
    <w:uiPriority w:val="0"/>
    <w:pPr>
      <w:spacing w:before="100" w:beforeAutospacing="1" w:after="100" w:afterAutospacing="1"/>
      <w:jc w:val="left"/>
    </w:pPr>
    <w:rPr>
      <w:rFonts w:ascii="宋体" w:hAnsi="宋体" w:eastAsia="宋体"/>
      <w:kern w:val="0"/>
      <w:sz w:val="24"/>
    </w:rPr>
  </w:style>
  <w:style w:type="paragraph" w:customStyle="1" w:styleId="50">
    <w:name w:val="Heading2"/>
    <w:basedOn w:val="1"/>
    <w:next w:val="1"/>
    <w:qFormat/>
    <w:uiPriority w:val="99"/>
    <w:pPr>
      <w:jc w:val="left"/>
    </w:pPr>
    <w:rPr>
      <w:kern w:val="0"/>
    </w:rPr>
  </w:style>
  <w:style w:type="paragraph" w:customStyle="1" w:styleId="51">
    <w:name w:val="AnnotationText"/>
    <w:basedOn w:val="1"/>
    <w:qFormat/>
    <w:uiPriority w:val="99"/>
    <w:pPr>
      <w:spacing w:line="360" w:lineRule="atLeast"/>
      <w:jc w:val="left"/>
    </w:pPr>
    <w:rPr>
      <w:kern w:val="0"/>
    </w:rPr>
  </w:style>
  <w:style w:type="paragraph" w:customStyle="1" w:styleId="52">
    <w:name w:val="UserStyle_44"/>
    <w:basedOn w:val="53"/>
    <w:qFormat/>
    <w:uiPriority w:val="99"/>
    <w:rPr>
      <w:sz w:val="24"/>
      <w:szCs w:val="24"/>
    </w:rPr>
  </w:style>
  <w:style w:type="paragraph" w:customStyle="1" w:styleId="53">
    <w:name w:val="UserStyle_33"/>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54">
    <w:name w:val="UserStyle_4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55">
    <w:name w:val="List Paragraph"/>
    <w:basedOn w:val="1"/>
    <w:qFormat/>
    <w:uiPriority w:val="0"/>
    <w:pPr>
      <w:keepNext w:val="0"/>
      <w:keepLines w:val="0"/>
      <w:widowControl w:val="0"/>
      <w:suppressLineNumbers w:val="0"/>
      <w:spacing w:before="0" w:beforeLines="0" w:beforeAutospacing="0" w:after="0" w:afterLines="0" w:afterAutospacing="0" w:line="240" w:lineRule="auto"/>
      <w:ind w:left="0" w:right="0" w:firstLine="420" w:firstLineChars="200"/>
      <w:jc w:val="both"/>
    </w:pPr>
    <w:rPr>
      <w:rFonts w:hint="default" w:ascii="Calibri" w:hAnsi="Calibri" w:eastAsia="宋体" w:cs="Times New Roman"/>
      <w:kern w:val="2"/>
      <w:sz w:val="21"/>
      <w:szCs w:val="22"/>
      <w:lang w:val="en-US" w:eastAsia="zh-CN" w:bidi="ar"/>
    </w:rPr>
  </w:style>
  <w:style w:type="paragraph" w:customStyle="1" w:styleId="56">
    <w:name w:val="Heading1"/>
    <w:basedOn w:val="1"/>
    <w:next w:val="1"/>
    <w:qFormat/>
    <w:uiPriority w:val="99"/>
    <w:pPr>
      <w:jc w:val="left"/>
    </w:pPr>
    <w:rPr>
      <w:kern w:val="0"/>
      <w:sz w:val="30"/>
      <w:szCs w:val="30"/>
    </w:rPr>
  </w:style>
  <w:style w:type="paragraph" w:customStyle="1" w:styleId="57">
    <w:name w:val="UserStyle_19"/>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58">
    <w:name w:val="正文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59">
    <w:name w:val="标题 3 New New"/>
    <w:basedOn w:val="60"/>
    <w:next w:val="60"/>
    <w:qFormat/>
    <w:uiPriority w:val="0"/>
    <w:pPr>
      <w:keepNext/>
      <w:keepLines/>
      <w:spacing w:before="120" w:beforeLines="0" w:beforeAutospacing="0" w:after="120" w:afterLines="0" w:afterAutospacing="0"/>
      <w:jc w:val="center"/>
      <w:outlineLvl w:val="2"/>
    </w:pPr>
    <w:rPr>
      <w:rFonts w:ascii="Times New Roman"/>
      <w:sz w:val="24"/>
    </w:rPr>
  </w:style>
  <w:style w:type="paragraph" w:customStyle="1" w:styleId="60">
    <w:name w:val="正文缩进 New"/>
    <w:basedOn w:val="61"/>
    <w:qFormat/>
    <w:uiPriority w:val="0"/>
    <w:pPr>
      <w:widowControl/>
      <w:ind w:firstLine="420"/>
      <w:jc w:val="left"/>
    </w:pPr>
    <w:rPr>
      <w:kern w:val="0"/>
      <w:sz w:val="20"/>
    </w:rPr>
  </w:style>
  <w:style w:type="paragraph" w:customStyle="1" w:styleId="61">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2">
    <w:name w:val="正文文本缩进 New"/>
    <w:basedOn w:val="61"/>
    <w:qFormat/>
    <w:uiPriority w:val="0"/>
    <w:pPr>
      <w:ind w:firstLine="560" w:firstLineChars="200"/>
    </w:pPr>
    <w:rPr>
      <w:rFonts w:ascii="宋体"/>
      <w:kern w:val="2"/>
      <w:sz w:val="24"/>
    </w:rPr>
  </w:style>
  <w:style w:type="paragraph" w:customStyle="1" w:styleId="63">
    <w:name w:val="正文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4">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5">
    <w:name w:val="正文文本1"/>
    <w:basedOn w:val="1"/>
    <w:qFormat/>
    <w:uiPriority w:val="0"/>
    <w:pPr>
      <w:spacing w:after="120"/>
    </w:pPr>
  </w:style>
  <w:style w:type="character" w:customStyle="1" w:styleId="66">
    <w:name w:val="正文文本 (2) + 间距 0 pt3"/>
    <w:basedOn w:val="26"/>
    <w:qFormat/>
    <w:uiPriority w:val="99"/>
    <w:rPr>
      <w:rFonts w:ascii="MingLiU" w:eastAsia="MingLiU" w:cs="MingLiU"/>
      <w:spacing w:val="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wmf"/><Relationship Id="rId8" Type="http://schemas.openxmlformats.org/officeDocument/2006/relationships/oleObject" Target="embeddings/oleObject1.bin"/><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6" Type="http://schemas.openxmlformats.org/officeDocument/2006/relationships/fontTable" Target="fontTable.xml"/><Relationship Id="rId35" Type="http://schemas.openxmlformats.org/officeDocument/2006/relationships/numbering" Target="numbering.xml"/><Relationship Id="rId34" Type="http://schemas.openxmlformats.org/officeDocument/2006/relationships/customXml" Target="../customXml/item1.xml"/><Relationship Id="rId33" Type="http://schemas.openxmlformats.org/officeDocument/2006/relationships/image" Target="media/image16.png"/><Relationship Id="rId32" Type="http://schemas.openxmlformats.org/officeDocument/2006/relationships/image" Target="media/image15.png"/><Relationship Id="rId31" Type="http://schemas.openxmlformats.org/officeDocument/2006/relationships/image" Target="media/image14.wmf"/><Relationship Id="rId30" Type="http://schemas.openxmlformats.org/officeDocument/2006/relationships/oleObject" Target="embeddings/oleObject12.bin"/><Relationship Id="rId3" Type="http://schemas.openxmlformats.org/officeDocument/2006/relationships/header" Target="header1.xml"/><Relationship Id="rId29" Type="http://schemas.openxmlformats.org/officeDocument/2006/relationships/image" Target="media/image13.wmf"/><Relationship Id="rId28" Type="http://schemas.openxmlformats.org/officeDocument/2006/relationships/oleObject" Target="embeddings/oleObject11.bin"/><Relationship Id="rId27" Type="http://schemas.openxmlformats.org/officeDocument/2006/relationships/image" Target="media/image12.wmf"/><Relationship Id="rId26" Type="http://schemas.openxmlformats.org/officeDocument/2006/relationships/oleObject" Target="embeddings/oleObject10.bin"/><Relationship Id="rId25" Type="http://schemas.openxmlformats.org/officeDocument/2006/relationships/image" Target="media/image11.wmf"/><Relationship Id="rId24" Type="http://schemas.openxmlformats.org/officeDocument/2006/relationships/oleObject" Target="embeddings/oleObject9.bin"/><Relationship Id="rId23" Type="http://schemas.openxmlformats.org/officeDocument/2006/relationships/image" Target="media/image10.wmf"/><Relationship Id="rId22" Type="http://schemas.openxmlformats.org/officeDocument/2006/relationships/oleObject" Target="embeddings/oleObject8.bin"/><Relationship Id="rId21" Type="http://schemas.openxmlformats.org/officeDocument/2006/relationships/image" Target="media/image9.wmf"/><Relationship Id="rId20" Type="http://schemas.openxmlformats.org/officeDocument/2006/relationships/oleObject" Target="embeddings/oleObject7.bin"/><Relationship Id="rId2" Type="http://schemas.openxmlformats.org/officeDocument/2006/relationships/settings" Target="settings.xml"/><Relationship Id="rId19" Type="http://schemas.openxmlformats.org/officeDocument/2006/relationships/image" Target="media/image8.wmf"/><Relationship Id="rId18" Type="http://schemas.openxmlformats.org/officeDocument/2006/relationships/oleObject" Target="embeddings/oleObject6.bin"/><Relationship Id="rId17" Type="http://schemas.openxmlformats.org/officeDocument/2006/relationships/image" Target="media/image7.wmf"/><Relationship Id="rId16" Type="http://schemas.openxmlformats.org/officeDocument/2006/relationships/oleObject" Target="embeddings/oleObject5.bin"/><Relationship Id="rId15" Type="http://schemas.openxmlformats.org/officeDocument/2006/relationships/image" Target="media/image6.wmf"/><Relationship Id="rId14" Type="http://schemas.openxmlformats.org/officeDocument/2006/relationships/oleObject" Target="embeddings/oleObject4.bin"/><Relationship Id="rId13" Type="http://schemas.openxmlformats.org/officeDocument/2006/relationships/image" Target="media/image5.wmf"/><Relationship Id="rId12" Type="http://schemas.openxmlformats.org/officeDocument/2006/relationships/oleObject" Target="embeddings/oleObject3.bin"/><Relationship Id="rId11" Type="http://schemas.openxmlformats.org/officeDocument/2006/relationships/image" Target="media/image4.wmf"/><Relationship Id="rId10" Type="http://schemas.openxmlformats.org/officeDocument/2006/relationships/oleObject" Target="embeddings/oleObject2.bin"/><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91</Pages>
  <Words>973</Words>
  <Characters>1101</Characters>
  <Lines>459</Lines>
  <Paragraphs>129</Paragraphs>
  <TotalTime>4</TotalTime>
  <ScaleCrop>false</ScaleCrop>
  <LinksUpToDate>false</LinksUpToDate>
  <CharactersWithSpaces>1280</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2024-07-04T19:08:00Z</dcterms:created>
  <dc:creator>Administrator</dc:creator>
  <cp:lastModifiedBy>明正</cp:lastModifiedBy>
  <cp:lastPrinted>2025-08-15T00:36:00Z</cp:lastPrinted>
  <dcterms:modified xsi:type="dcterms:W3CDTF">2025-08-18T03:35:04Z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2024-07-30T11:15:44Z</vt:filetime>
  </property>
  <property fmtid="{D5CDD505-2E9C-101B-9397-08002B2CF9AE}" pid="4" name="KSOProductBuildVer">
    <vt:lpwstr>2052-12.1.0.22089</vt:lpwstr>
  </property>
  <property fmtid="{D5CDD505-2E9C-101B-9397-08002B2CF9AE}" pid="5" name="ICV">
    <vt:lpwstr>F09DA96BDD044EFCBCBC0C58C041CD18_13</vt:lpwstr>
  </property>
  <property fmtid="{D5CDD505-2E9C-101B-9397-08002B2CF9AE}" pid="6" name="KSOTemplateDocerSaveRecord">
    <vt:lpwstr>eyJoZGlkIjoiY2ZiMzI0MGUwZmU4OTk2OGQwYTNlYmNmYzRlNTVkMmIiLCJ1c2VySWQiOiIzMjI4NDYzOTkifQ==</vt:lpwstr>
  </property>
</Properties>
</file>