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D0E0E">
      <w:pPr>
        <w:rPr>
          <w:rFonts w:hint="eastAsia" w:ascii="宋体" w:hAnsi="宋体" w:eastAsia="宋体" w:cs="宋体"/>
          <w:lang w:val="en-US" w:eastAsia="zh-CN"/>
        </w:rPr>
      </w:pPr>
    </w:p>
    <w:p w14:paraId="0AB36F2C">
      <w:pPr>
        <w:rPr>
          <w:rFonts w:hint="eastAsia" w:ascii="宋体" w:hAnsi="宋体" w:eastAsia="宋体" w:cs="宋体"/>
          <w:lang w:eastAsia="zh-CN"/>
        </w:rPr>
      </w:pPr>
      <w:bookmarkStart w:id="361" w:name="_GoBack"/>
      <w:r>
        <w:rPr>
          <w:rFonts w:hint="eastAsia" w:ascii="宋体" w:hAnsi="宋体" w:eastAsia="宋体" w:cs="宋体"/>
          <w:lang w:eastAsia="zh-CN"/>
        </w:rPr>
        <w:drawing>
          <wp:inline distT="0" distB="0" distL="114300" distR="114300">
            <wp:extent cx="6114415" cy="8651240"/>
            <wp:effectExtent l="0" t="0" r="635" b="16510"/>
            <wp:docPr id="6" name="图片 6" descr="招标文件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招标文件封面_00"/>
                    <pic:cNvPicPr>
                      <a:picLocks noChangeAspect="1"/>
                    </pic:cNvPicPr>
                  </pic:nvPicPr>
                  <pic:blipFill>
                    <a:blip r:embed="rId6"/>
                    <a:stretch>
                      <a:fillRect/>
                    </a:stretch>
                  </pic:blipFill>
                  <pic:spPr>
                    <a:xfrm>
                      <a:off x="0" y="0"/>
                      <a:ext cx="6114415" cy="8651240"/>
                    </a:xfrm>
                    <a:prstGeom prst="rect">
                      <a:avLst/>
                    </a:prstGeom>
                  </pic:spPr>
                </pic:pic>
              </a:graphicData>
            </a:graphic>
          </wp:inline>
        </w:drawing>
      </w:r>
      <w:bookmarkEnd w:id="361"/>
    </w:p>
    <w:p w14:paraId="3EE40CB2">
      <w:pPr>
        <w:rPr>
          <w:rFonts w:hint="eastAsia" w:ascii="宋体" w:hAnsi="宋体" w:eastAsia="宋体" w:cs="宋体"/>
        </w:rPr>
      </w:pPr>
    </w:p>
    <w:p w14:paraId="563F8F74">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30"/>
          <w:szCs w:val="30"/>
          <w:highlight w:val="none"/>
        </w:rPr>
        <w:sectPr>
          <w:headerReference r:id="rId3" w:type="default"/>
          <w:pgSz w:w="11906" w:h="16839"/>
          <w:pgMar w:top="1134" w:right="1134" w:bottom="1134" w:left="1134"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B0E3D45">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目</w:t>
      </w:r>
      <w:r>
        <w:rPr>
          <w:rFonts w:hint="eastAsia" w:ascii="宋体" w:hAnsi="宋体" w:eastAsia="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录</w:t>
      </w:r>
    </w:p>
    <w:p w14:paraId="10F49B93">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_Toc19261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第一章</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_Toc19261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0076475">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_Toc24466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第一节</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_Toc24466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BB77689">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_Toc18441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重要事项时间地点一览表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_Toc18441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7FEA640">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_Toc14940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投标人须知正文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_Toc14940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7564841">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_Toc28909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1</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4"/>
          <w:sz w:val="24"/>
          <w:szCs w:val="24"/>
          <w:highlight w:val="none"/>
        </w:rPr>
        <w:t>项目概况、招标范围和标段划分、投标费用等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_Toc28909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171937F">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_Toc11595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资质要求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_Toc11595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CE32396">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_Toc32239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3</w:t>
      </w:r>
      <w:r>
        <w:rPr>
          <w:rFonts w:hint="eastAsia" w:ascii="宋体" w:hAnsi="宋体" w:eastAsia="宋体" w:cs="宋体"/>
          <w:bCs/>
          <w:spacing w:val="-4"/>
          <w:sz w:val="24"/>
          <w:szCs w:val="24"/>
          <w:highlight w:val="none"/>
          <w:lang w:val="en-US" w:eastAsia="zh-CN"/>
        </w:rPr>
        <w:t>.</w:t>
      </w:r>
      <w:r>
        <w:rPr>
          <w:rFonts w:hint="eastAsia" w:ascii="宋体" w:hAnsi="宋体" w:eastAsia="宋体" w:cs="宋体"/>
          <w:bCs/>
          <w:spacing w:val="-4"/>
          <w:sz w:val="24"/>
          <w:szCs w:val="24"/>
          <w:highlight w:val="none"/>
        </w:rPr>
        <w:t>招标文件的获取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_Toc32239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F71FAF5">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_Toc18681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27"/>
          <w:sz w:val="24"/>
          <w:szCs w:val="24"/>
          <w:highlight w:val="none"/>
          <w:lang w:eastAsia="zh-CN"/>
        </w:rPr>
        <w:t>.</w:t>
      </w:r>
      <w:r>
        <w:rPr>
          <w:rFonts w:hint="eastAsia" w:ascii="宋体" w:hAnsi="宋体" w:eastAsia="宋体" w:cs="宋体"/>
          <w:bCs/>
          <w:spacing w:val="-8"/>
          <w:sz w:val="24"/>
          <w:szCs w:val="24"/>
          <w:highlight w:val="none"/>
        </w:rPr>
        <w:t>工期要求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_Toc18681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B17242A">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_Toc1639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5</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5"/>
          <w:sz w:val="24"/>
          <w:szCs w:val="24"/>
          <w:highlight w:val="none"/>
        </w:rPr>
        <w:t>质量标准和材料、机械要求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_Toc1639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D9CA461">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_Toc12840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6</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6"/>
          <w:sz w:val="24"/>
          <w:szCs w:val="24"/>
          <w:highlight w:val="none"/>
        </w:rPr>
        <w:t>施工条件及现场踏勘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_Toc12840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8F06365">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_Toc947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8</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1"/>
          <w:sz w:val="24"/>
          <w:szCs w:val="24"/>
          <w:highlight w:val="none"/>
        </w:rPr>
        <w:t>最高投标限价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_Toc947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6AAFE57">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_Toc19930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9</w:t>
      </w:r>
      <w:r>
        <w:rPr>
          <w:rFonts w:hint="eastAsia" w:ascii="宋体" w:hAnsi="宋体" w:eastAsia="宋体" w:cs="宋体"/>
          <w:bCs/>
          <w:spacing w:val="-29"/>
          <w:sz w:val="24"/>
          <w:szCs w:val="24"/>
          <w:highlight w:val="none"/>
          <w:lang w:eastAsia="zh-CN"/>
        </w:rPr>
        <w:t>.</w:t>
      </w:r>
      <w:r>
        <w:rPr>
          <w:rFonts w:hint="eastAsia" w:ascii="宋体" w:hAnsi="宋体" w:eastAsia="宋体" w:cs="宋体"/>
          <w:bCs/>
          <w:spacing w:val="-8"/>
          <w:sz w:val="24"/>
          <w:szCs w:val="24"/>
          <w:highlight w:val="none"/>
        </w:rPr>
        <w:t>投标报价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_Toc19930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0726211">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_Toc15232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10</w:t>
      </w:r>
      <w:r>
        <w:rPr>
          <w:rFonts w:hint="eastAsia" w:ascii="宋体" w:hAnsi="宋体" w:eastAsia="宋体" w:cs="宋体"/>
          <w:bCs/>
          <w:spacing w:val="-21"/>
          <w:sz w:val="24"/>
          <w:szCs w:val="24"/>
          <w:highlight w:val="none"/>
          <w:lang w:eastAsia="zh-CN"/>
        </w:rPr>
        <w:t>.</w:t>
      </w:r>
      <w:r>
        <w:rPr>
          <w:rFonts w:hint="eastAsia" w:ascii="宋体" w:hAnsi="宋体" w:eastAsia="宋体" w:cs="宋体"/>
          <w:bCs/>
          <w:spacing w:val="-6"/>
          <w:sz w:val="24"/>
          <w:szCs w:val="24"/>
          <w:highlight w:val="none"/>
        </w:rPr>
        <w:t>投标文件的编制要求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_Toc15232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2B65EEB">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_Toc13551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11.电子投标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_Toc13551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ECF40DD">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_Toc19819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lang w:val="en-US" w:eastAsia="zh-CN"/>
        </w:rPr>
        <w:t>12.</w:t>
      </w:r>
      <w:r>
        <w:rPr>
          <w:rFonts w:hint="eastAsia" w:ascii="宋体" w:hAnsi="宋体" w:eastAsia="宋体" w:cs="宋体"/>
          <w:bCs/>
          <w:spacing w:val="-9"/>
          <w:sz w:val="24"/>
          <w:szCs w:val="24"/>
          <w:highlight w:val="none"/>
        </w:rPr>
        <w:t>电子投标及投标解密失败及突发情况的补救方案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_Toc19819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7718D1C">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_Toc20940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13</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7"/>
          <w:sz w:val="24"/>
          <w:szCs w:val="24"/>
          <w:highlight w:val="none"/>
        </w:rPr>
        <w:t>投标文件的提交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_Toc20940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71ED5A5">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_Toc1693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14</w:t>
      </w:r>
      <w:r>
        <w:rPr>
          <w:rFonts w:hint="eastAsia" w:ascii="宋体" w:hAnsi="宋体" w:eastAsia="宋体" w:cs="宋体"/>
          <w:bCs/>
          <w:spacing w:val="-28"/>
          <w:sz w:val="24"/>
          <w:szCs w:val="24"/>
          <w:highlight w:val="none"/>
          <w:lang w:eastAsia="zh-CN"/>
        </w:rPr>
        <w:t>.</w:t>
      </w:r>
      <w:r>
        <w:rPr>
          <w:rFonts w:hint="eastAsia" w:ascii="宋体" w:hAnsi="宋体" w:eastAsia="宋体" w:cs="宋体"/>
          <w:bCs/>
          <w:spacing w:val="-11"/>
          <w:sz w:val="24"/>
          <w:szCs w:val="24"/>
          <w:highlight w:val="none"/>
        </w:rPr>
        <w:t>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_Toc1693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CF923C3">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_Toc24574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15</w:t>
      </w:r>
      <w:r>
        <w:rPr>
          <w:rFonts w:hint="eastAsia" w:ascii="宋体" w:hAnsi="宋体" w:eastAsia="宋体" w:cs="宋体"/>
          <w:bCs/>
          <w:spacing w:val="-11"/>
          <w:sz w:val="24"/>
          <w:szCs w:val="24"/>
          <w:highlight w:val="none"/>
          <w:lang w:val="en-US" w:eastAsia="zh-CN"/>
        </w:rPr>
        <w:t>.</w:t>
      </w:r>
      <w:r>
        <w:rPr>
          <w:rFonts w:hint="eastAsia" w:ascii="宋体" w:hAnsi="宋体" w:eastAsia="宋体" w:cs="宋体"/>
          <w:bCs/>
          <w:spacing w:val="-11"/>
          <w:sz w:val="24"/>
          <w:szCs w:val="24"/>
          <w:highlight w:val="none"/>
        </w:rPr>
        <w:t>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_Toc24574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299DB48">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_Toc29518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16</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7"/>
          <w:sz w:val="24"/>
          <w:szCs w:val="24"/>
          <w:highlight w:val="none"/>
        </w:rPr>
        <w:t>中标候选人公示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_Toc29518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33CDDE0">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_Toc1593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否决投标条件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_Toc1593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4C155EB">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_Toc9553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lang w:eastAsia="zh-CN"/>
        </w:rPr>
        <w:t>.</w:t>
      </w:r>
      <w:r>
        <w:rPr>
          <w:rFonts w:hint="eastAsia" w:ascii="宋体" w:hAnsi="宋体" w:eastAsia="宋体" w:cs="宋体"/>
          <w:bCs/>
          <w:spacing w:val="-8"/>
          <w:sz w:val="24"/>
          <w:szCs w:val="24"/>
          <w:highlight w:val="none"/>
        </w:rPr>
        <w:t>资格评审环节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_Toc9553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42F5032">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_Toc17711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lang w:eastAsia="zh-CN"/>
        </w:rPr>
        <w:t>.</w:t>
      </w:r>
      <w:r>
        <w:rPr>
          <w:rFonts w:hint="eastAsia" w:ascii="宋体" w:hAnsi="宋体" w:eastAsia="宋体" w:cs="宋体"/>
          <w:bCs/>
          <w:spacing w:val="-7"/>
          <w:sz w:val="24"/>
          <w:szCs w:val="24"/>
          <w:highlight w:val="none"/>
        </w:rPr>
        <w:t>形式评审环节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_Toc17711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11BF1F9">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_Toc8217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3</w:t>
      </w:r>
      <w:r>
        <w:rPr>
          <w:rFonts w:hint="eastAsia" w:ascii="宋体" w:hAnsi="宋体" w:eastAsia="宋体" w:cs="宋体"/>
          <w:bCs/>
          <w:spacing w:val="-24"/>
          <w:sz w:val="24"/>
          <w:szCs w:val="24"/>
          <w:highlight w:val="none"/>
          <w:lang w:eastAsia="zh-CN"/>
        </w:rPr>
        <w:t>.</w:t>
      </w:r>
      <w:r>
        <w:rPr>
          <w:rFonts w:hint="eastAsia" w:ascii="宋体" w:hAnsi="宋体" w:eastAsia="宋体" w:cs="宋体"/>
          <w:bCs/>
          <w:spacing w:val="-6"/>
          <w:sz w:val="24"/>
          <w:szCs w:val="24"/>
          <w:highlight w:val="none"/>
        </w:rPr>
        <w:t>响应性评审环节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_Toc8217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7100AA8">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_Toc2557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29"/>
          <w:sz w:val="24"/>
          <w:szCs w:val="24"/>
          <w:highlight w:val="none"/>
          <w:lang w:eastAsia="zh-CN"/>
        </w:rPr>
        <w:t>.</w:t>
      </w:r>
      <w:r>
        <w:rPr>
          <w:rFonts w:hint="eastAsia" w:ascii="宋体" w:hAnsi="宋体" w:eastAsia="宋体" w:cs="宋体"/>
          <w:bCs/>
          <w:spacing w:val="-11"/>
          <w:sz w:val="24"/>
          <w:szCs w:val="24"/>
          <w:highlight w:val="none"/>
        </w:rPr>
        <w:t>其他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_Toc2557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799AFBE">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_Toc7642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第二章</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中标人须知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_Toc7642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2F343AC">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_Toc26962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中标通知书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_Toc26962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D32EFC6">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_Toc16049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2</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中标结果公示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_Toc16049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EDE4010">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_Toc28790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3</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履约保证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_Toc28790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94D82EF">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_Toc31215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合同订立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_Toc31215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D119C74">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_Toc9178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5</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放弃中标的处理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_Toc9178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264CD67">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_Toc11017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6.</w:t>
      </w:r>
      <w:r>
        <w:rPr>
          <w:rFonts w:hint="eastAsia" w:ascii="宋体" w:hAnsi="宋体" w:eastAsia="宋体" w:cs="宋体"/>
          <w:bCs/>
          <w:spacing w:val="-11"/>
          <w:sz w:val="24"/>
          <w:szCs w:val="24"/>
          <w:highlight w:val="none"/>
        </w:rPr>
        <w:t>中标项目纳入百千万工程，按照市百千万工程关于配建定比例公益项目的政策落实相关工作，中标后在签订施工合同时明确捐建比例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_Toc11017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7A83641">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_Toc16090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7.违约责任条款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_Toc16090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90A80B7">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_Toc7865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第三章</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拟签订合同的主要条款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_Toc7865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80F3755">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_Toc9942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工程承包方式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_Toc9942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65277C0">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_Toc27206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2</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工程结算原则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_Toc27206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7EEFCBE">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_Toc21454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3. 工程付款办法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_Toc21454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80EACE7">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_Toc26143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其他专用合同条款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_Toc26143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435D3D3">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_Toc17187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5.</w:t>
      </w:r>
      <w:r>
        <w:rPr>
          <w:rFonts w:hint="eastAsia" w:ascii="宋体" w:hAnsi="宋体" w:eastAsia="宋体" w:cs="宋体"/>
          <w:bCs/>
          <w:spacing w:val="-11"/>
          <w:sz w:val="24"/>
          <w:szCs w:val="24"/>
          <w:highlight w:val="none"/>
        </w:rPr>
        <w:t>工期进度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_Toc17187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D5FE806">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_Toc11809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6.项目管理机构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_Toc11809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6716D0F">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_Toc27956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7.现场管理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_Toc27956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CC6AF1A">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_Toc23878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8.监督实施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_Toc23878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FDC2C75">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_Toc15584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9.主材的采购和使用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_Toc15584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B3BE983">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_Toc10125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10.竣工资料移交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_Toc10125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D368160">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_Toc16452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11.质量保证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_Toc16452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7E8DFB3">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_Toc19544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12.不良行为处理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_Toc19544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43FA59F">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_Toc17443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13.信用评价条款内容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_Toc17443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CAA99AB">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_Toc27802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14.其他事项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_Toc27802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8B4BDF7">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_Toc22494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15.违约及质量保证条款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_Toc22494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B2F5694">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_Toc27525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第四章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_Toc27525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3F8E46D">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_Toc26090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1.房屋建筑工程建设项目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_Toc26090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93270D4">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_Toc30106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2.市政基础设施工程建设项目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_Toc30106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D49CE73">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_Toc11550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3.备查要求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_Toc11550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2F95DB7">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_Toc26952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第五章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图纸和招标工程量清单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_Toc26952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258833A">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_Toc2389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1.图纸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_Toc2389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838804E">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_Toc30082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2.招标工程量清单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_Toc30082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44AEF16">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_Toc11826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第六章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_Toc11826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0D08625">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_Toc9708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格式一   封面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_Toc9708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F9D2130">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_Toc19730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格式二   投标函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_Toc19730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2CFE8A5">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_Toc4499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格式三   各项承诺一览表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_Toc4499 \h </w:instrText>
      </w:r>
      <w:r>
        <w:rPr>
          <w:rFonts w:hint="eastAsia" w:ascii="宋体" w:hAnsi="宋体" w:eastAsia="宋体" w:cs="宋体"/>
          <w:sz w:val="24"/>
          <w:szCs w:val="24"/>
        </w:rPr>
        <w:fldChar w:fldCharType="separate"/>
      </w:r>
      <w:r>
        <w:rPr>
          <w:rFonts w:hint="eastAsia" w:ascii="宋体" w:hAnsi="宋体" w:eastAsia="宋体" w:cs="宋体"/>
          <w:sz w:val="24"/>
          <w:szCs w:val="24"/>
        </w:rPr>
        <w:t>76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942AE88">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_Toc10088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格式四   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_Toc10088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0153A87">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_Toc18510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格式五   法定代表人身份证明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_Toc18510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FEF0268">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_Toc22808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格式六    投标人基本情况表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_Toc22808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26D6B92">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_Toc15417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格式七   项目经理简历表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_Toc15417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14734F9">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_Toc17035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格式八   项目经理任职声明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_Toc17035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2C3378C">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_Toc4068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格式九   项目技术负责人简历表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_Toc4068 \h </w:instrText>
      </w:r>
      <w:r>
        <w:rPr>
          <w:rFonts w:hint="eastAsia" w:ascii="宋体" w:hAnsi="宋体" w:eastAsia="宋体" w:cs="宋体"/>
          <w:sz w:val="24"/>
          <w:szCs w:val="24"/>
        </w:rPr>
        <w:fldChar w:fldCharType="separate"/>
      </w:r>
      <w:r>
        <w:rPr>
          <w:rFonts w:hint="eastAsia" w:ascii="宋体" w:hAnsi="宋体" w:eastAsia="宋体" w:cs="宋体"/>
          <w:sz w:val="24"/>
          <w:szCs w:val="24"/>
        </w:rPr>
        <w:t>83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E20A178">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_Toc30872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   项目管理机构组成表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_Toc30872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4A819F5">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_Toc14131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格式十一   建造师查询页（有效期+建造师签字）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_Toc14131 \h </w:instrText>
      </w:r>
      <w:r>
        <w:rPr>
          <w:rFonts w:hint="eastAsia" w:ascii="宋体" w:hAnsi="宋体" w:eastAsia="宋体" w:cs="宋体"/>
          <w:sz w:val="24"/>
          <w:szCs w:val="24"/>
        </w:rPr>
        <w:fldChar w:fldCharType="separate"/>
      </w:r>
      <w:r>
        <w:rPr>
          <w:rFonts w:hint="eastAsia" w:ascii="宋体" w:hAnsi="宋体" w:eastAsia="宋体" w:cs="宋体"/>
          <w:sz w:val="24"/>
          <w:szCs w:val="24"/>
        </w:rPr>
        <w:t>85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F063370">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_Toc4208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格式十二   危险性较大的分部分项工程清单及超过一定规模的危险性较大的分部分项工程清单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_Toc4208 \h </w:instrText>
      </w:r>
      <w:r>
        <w:rPr>
          <w:rFonts w:hint="eastAsia" w:ascii="宋体" w:hAnsi="宋体" w:eastAsia="宋体" w:cs="宋体"/>
          <w:sz w:val="24"/>
          <w:szCs w:val="24"/>
        </w:rPr>
        <w:fldChar w:fldCharType="separate"/>
      </w:r>
      <w:r>
        <w:rPr>
          <w:rFonts w:hint="eastAsia" w:ascii="宋体" w:hAnsi="宋体" w:eastAsia="宋体" w:cs="宋体"/>
          <w:sz w:val="24"/>
          <w:szCs w:val="24"/>
        </w:rPr>
        <w:t>87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D024E06">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_Toc2046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格式十三   投标保证金信用承诺函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_Toc2046 \h </w:instrText>
      </w:r>
      <w:r>
        <w:rPr>
          <w:rFonts w:hint="eastAsia" w:ascii="宋体" w:hAnsi="宋体" w:eastAsia="宋体" w:cs="宋体"/>
          <w:sz w:val="24"/>
          <w:szCs w:val="24"/>
        </w:rPr>
        <w:fldChar w:fldCharType="separate"/>
      </w:r>
      <w:r>
        <w:rPr>
          <w:rFonts w:hint="eastAsia" w:ascii="宋体" w:hAnsi="宋体" w:eastAsia="宋体" w:cs="宋体"/>
          <w:sz w:val="24"/>
          <w:szCs w:val="24"/>
        </w:rPr>
        <w:t>88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056DAA4">
      <w:pPr>
        <w:pStyle w:val="13"/>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_Toc4144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格式十四   原件一览表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_Toc4144 \h </w:instrText>
      </w:r>
      <w:r>
        <w:rPr>
          <w:rFonts w:hint="eastAsia" w:ascii="宋体" w:hAnsi="宋体" w:eastAsia="宋体" w:cs="宋体"/>
          <w:sz w:val="24"/>
          <w:szCs w:val="24"/>
        </w:rPr>
        <w:fldChar w:fldCharType="separate"/>
      </w:r>
      <w:r>
        <w:rPr>
          <w:rFonts w:hint="eastAsia" w:ascii="宋体" w:hAnsi="宋体" w:eastAsia="宋体" w:cs="宋体"/>
          <w:sz w:val="24"/>
          <w:szCs w:val="24"/>
        </w:rPr>
        <w:t>89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EEC2B1C">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第七章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建设工程施工合同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 \h </w:instrText>
      </w:r>
      <w:r>
        <w:rPr>
          <w:rFonts w:hint="eastAsia" w:ascii="宋体" w:hAnsi="宋体" w:eastAsia="宋体" w:cs="宋体"/>
          <w:sz w:val="24"/>
          <w:szCs w:val="24"/>
        </w:rPr>
        <w:fldChar w:fldCharType="separate"/>
      </w:r>
      <w:r>
        <w:rPr>
          <w:rFonts w:hint="eastAsia" w:ascii="宋体" w:hAnsi="宋体" w:eastAsia="宋体" w:cs="宋体"/>
          <w:sz w:val="24"/>
          <w:szCs w:val="24"/>
        </w:rPr>
        <w:t>90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4F9C4B2">
      <w:pPr>
        <w:spacing w:line="240" w:lineRule="auto"/>
        <w:rPr>
          <w:rFonts w:hint="eastAsia" w:ascii="宋体" w:hAnsi="宋体" w:eastAsia="宋体" w:cs="宋体"/>
        </w:rPr>
      </w:pPr>
      <w:r>
        <w:rPr>
          <w:rFonts w:hint="eastAsia" w:ascii="宋体" w:hAnsi="宋体" w:eastAsia="宋体" w:cs="宋体"/>
          <w:color w:val="auto"/>
          <w:sz w:val="24"/>
          <w:szCs w:val="24"/>
          <w:highlight w:val="none"/>
        </w:rPr>
        <w:fldChar w:fldCharType="end"/>
      </w:r>
    </w:p>
    <w:p w14:paraId="38EAEBA2">
      <w:pPr>
        <w:rPr>
          <w:rFonts w:hint="eastAsia" w:ascii="宋体" w:hAnsi="宋体" w:eastAsia="宋体" w:cs="宋体"/>
        </w:rPr>
      </w:pPr>
    </w:p>
    <w:p w14:paraId="4288CBFB">
      <w:pPr>
        <w:rPr>
          <w:rFonts w:hint="eastAsia" w:ascii="宋体" w:hAnsi="宋体" w:eastAsia="宋体" w:cs="宋体"/>
        </w:rPr>
      </w:pPr>
    </w:p>
    <w:p w14:paraId="1F4E4B74">
      <w:pPr>
        <w:rPr>
          <w:rFonts w:hint="eastAsia" w:ascii="宋体" w:hAnsi="宋体" w:eastAsia="宋体" w:cs="宋体"/>
        </w:rPr>
      </w:pPr>
    </w:p>
    <w:p w14:paraId="2737AC15">
      <w:pPr>
        <w:rPr>
          <w:rFonts w:hint="eastAsia" w:ascii="宋体" w:hAnsi="宋体" w:eastAsia="宋体" w:cs="宋体"/>
        </w:rPr>
      </w:pPr>
    </w:p>
    <w:p w14:paraId="0F5BFBC3">
      <w:pPr>
        <w:rPr>
          <w:rFonts w:hint="eastAsia" w:ascii="宋体" w:hAnsi="宋体" w:eastAsia="宋体" w:cs="宋体"/>
        </w:rPr>
      </w:pPr>
    </w:p>
    <w:p w14:paraId="685587E3">
      <w:pPr>
        <w:rPr>
          <w:rFonts w:hint="eastAsia" w:ascii="宋体" w:hAnsi="宋体" w:eastAsia="宋体" w:cs="宋体"/>
        </w:rPr>
      </w:pPr>
    </w:p>
    <w:p w14:paraId="0AE3EDFE">
      <w:pPr>
        <w:rPr>
          <w:rFonts w:hint="eastAsia" w:ascii="宋体" w:hAnsi="宋体" w:eastAsia="宋体" w:cs="宋体"/>
        </w:rPr>
      </w:pPr>
    </w:p>
    <w:p w14:paraId="47E1B3C6">
      <w:pPr>
        <w:rPr>
          <w:rFonts w:hint="eastAsia" w:ascii="宋体" w:hAnsi="宋体" w:eastAsia="宋体" w:cs="宋体"/>
        </w:rPr>
      </w:pPr>
    </w:p>
    <w:p w14:paraId="5AD090C2">
      <w:pPr>
        <w:rPr>
          <w:rFonts w:hint="eastAsia" w:ascii="宋体" w:hAnsi="宋体" w:eastAsia="宋体" w:cs="宋体"/>
        </w:rPr>
      </w:pPr>
    </w:p>
    <w:p w14:paraId="4B611946">
      <w:pPr>
        <w:rPr>
          <w:rFonts w:hint="eastAsia" w:ascii="宋体" w:hAnsi="宋体" w:eastAsia="宋体" w:cs="宋体"/>
        </w:rPr>
      </w:pPr>
    </w:p>
    <w:p w14:paraId="1812CF06">
      <w:pPr>
        <w:rPr>
          <w:rFonts w:hint="eastAsia" w:ascii="宋体" w:hAnsi="宋体" w:eastAsia="宋体" w:cs="宋体"/>
        </w:rPr>
      </w:pPr>
    </w:p>
    <w:p w14:paraId="0F865B08">
      <w:pPr>
        <w:rPr>
          <w:rFonts w:hint="eastAsia" w:ascii="宋体" w:hAnsi="宋体" w:eastAsia="宋体" w:cs="宋体"/>
        </w:rPr>
      </w:pPr>
    </w:p>
    <w:p w14:paraId="1D521498">
      <w:pPr>
        <w:rPr>
          <w:rFonts w:hint="eastAsia" w:ascii="宋体" w:hAnsi="宋体" w:eastAsia="宋体" w:cs="宋体"/>
        </w:rPr>
      </w:pPr>
    </w:p>
    <w:p w14:paraId="749C5641">
      <w:pPr>
        <w:rPr>
          <w:rFonts w:hint="eastAsia" w:ascii="宋体" w:hAnsi="宋体" w:eastAsia="宋体" w:cs="宋体"/>
        </w:rPr>
      </w:pPr>
    </w:p>
    <w:p w14:paraId="18E797F7">
      <w:pPr>
        <w:rPr>
          <w:rFonts w:hint="eastAsia" w:ascii="宋体" w:hAnsi="宋体" w:eastAsia="宋体" w:cs="宋体"/>
        </w:rPr>
      </w:pPr>
    </w:p>
    <w:p w14:paraId="111E9636">
      <w:pPr>
        <w:rPr>
          <w:rFonts w:hint="eastAsia" w:ascii="宋体" w:hAnsi="宋体" w:eastAsia="宋体" w:cs="宋体"/>
        </w:rPr>
      </w:pPr>
    </w:p>
    <w:p w14:paraId="220DACF8">
      <w:pPr>
        <w:rPr>
          <w:rFonts w:hint="eastAsia" w:ascii="宋体" w:hAnsi="宋体" w:eastAsia="宋体" w:cs="宋体"/>
        </w:rPr>
      </w:pPr>
    </w:p>
    <w:p w14:paraId="03E6E150">
      <w:pPr>
        <w:rPr>
          <w:rFonts w:hint="eastAsia" w:ascii="宋体" w:hAnsi="宋体" w:eastAsia="宋体" w:cs="宋体"/>
        </w:rPr>
      </w:pPr>
    </w:p>
    <w:p w14:paraId="1FF4BC8C">
      <w:pPr>
        <w:rPr>
          <w:rFonts w:hint="eastAsia" w:ascii="宋体" w:hAnsi="宋体" w:eastAsia="宋体" w:cs="宋体"/>
        </w:rPr>
      </w:pPr>
    </w:p>
    <w:p w14:paraId="659E5FA8">
      <w:pPr>
        <w:spacing w:before="78" w:line="360" w:lineRule="auto"/>
        <w:jc w:val="center"/>
        <w:outlineLvl w:val="0"/>
        <w:rPr>
          <w:rFonts w:hint="eastAsia" w:ascii="宋体" w:hAnsi="宋体" w:eastAsia="宋体" w:cs="宋体"/>
          <w:color w:val="auto"/>
          <w:sz w:val="24"/>
          <w:szCs w:val="24"/>
          <w:highlight w:val="none"/>
        </w:rPr>
      </w:pPr>
      <w:bookmarkStart w:id="0" w:name="bookmark1"/>
      <w:bookmarkEnd w:id="0"/>
      <w:bookmarkStart w:id="1" w:name="_Toc19872"/>
      <w:bookmarkStart w:id="2" w:name="_Toc19261"/>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w:t>
      </w:r>
      <w:bookmarkEnd w:id="1"/>
      <w:bookmarkEnd w:id="2"/>
    </w:p>
    <w:p w14:paraId="30EA1A18">
      <w:pPr>
        <w:spacing w:before="156" w:line="360" w:lineRule="auto"/>
        <w:ind w:left="17"/>
        <w:outlineLvl w:val="1"/>
        <w:rPr>
          <w:rFonts w:hint="eastAsia" w:ascii="宋体" w:hAnsi="宋体" w:eastAsia="宋体" w:cs="宋体"/>
          <w:b/>
          <w:bCs/>
          <w:color w:val="auto"/>
          <w:spacing w:val="-3"/>
          <w:sz w:val="24"/>
          <w:szCs w:val="24"/>
          <w:highlight w:val="none"/>
        </w:rPr>
      </w:pPr>
      <w:bookmarkStart w:id="3" w:name="bookmark3"/>
      <w:bookmarkEnd w:id="3"/>
      <w:bookmarkStart w:id="4" w:name="_Toc23115"/>
      <w:bookmarkStart w:id="5" w:name="_Toc24466"/>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投标人须知前附表</w:t>
      </w:r>
      <w:bookmarkEnd w:id="4"/>
      <w:bookmarkEnd w:id="5"/>
    </w:p>
    <w:tbl>
      <w:tblPr>
        <w:tblStyle w:val="25"/>
        <w:tblW w:w="10066"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433"/>
        <w:gridCol w:w="6900"/>
      </w:tblGrid>
      <w:tr w14:paraId="44D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top"/>
          </w:tcPr>
          <w:p w14:paraId="7B2D9F2A">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序号</w:t>
            </w:r>
          </w:p>
        </w:tc>
        <w:tc>
          <w:tcPr>
            <w:tcW w:w="2433" w:type="dxa"/>
            <w:shd w:val="clear" w:color="auto" w:fill="auto"/>
            <w:vAlign w:val="top"/>
          </w:tcPr>
          <w:p w14:paraId="59ADCDC3">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内容</w:t>
            </w:r>
          </w:p>
        </w:tc>
        <w:tc>
          <w:tcPr>
            <w:tcW w:w="6900" w:type="dxa"/>
            <w:shd w:val="clear" w:color="auto" w:fill="auto"/>
            <w:vAlign w:val="top"/>
          </w:tcPr>
          <w:p w14:paraId="0BF5224D">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说明与要求</w:t>
            </w:r>
          </w:p>
        </w:tc>
      </w:tr>
      <w:tr w14:paraId="5992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2F05F5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w:t>
            </w:r>
          </w:p>
        </w:tc>
        <w:tc>
          <w:tcPr>
            <w:tcW w:w="2433" w:type="dxa"/>
            <w:shd w:val="clear" w:color="auto" w:fill="auto"/>
            <w:vAlign w:val="center"/>
          </w:tcPr>
          <w:p w14:paraId="43BE10D1">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项目名称</w:t>
            </w:r>
          </w:p>
        </w:tc>
        <w:tc>
          <w:tcPr>
            <w:tcW w:w="6900" w:type="dxa"/>
            <w:shd w:val="clear" w:color="auto" w:fill="auto"/>
            <w:vAlign w:val="center"/>
          </w:tcPr>
          <w:p w14:paraId="105699CE">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武江区重阳镇水口及大夫前村农产业示范带配套基础设施提升项目施工</w:t>
            </w:r>
          </w:p>
        </w:tc>
      </w:tr>
      <w:tr w14:paraId="4F4E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321AAA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w:t>
            </w:r>
          </w:p>
        </w:tc>
        <w:tc>
          <w:tcPr>
            <w:tcW w:w="2433" w:type="dxa"/>
            <w:shd w:val="clear" w:color="auto" w:fill="auto"/>
            <w:vAlign w:val="center"/>
          </w:tcPr>
          <w:p w14:paraId="53876A3C">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项目业主</w:t>
            </w:r>
          </w:p>
        </w:tc>
        <w:tc>
          <w:tcPr>
            <w:tcW w:w="6900" w:type="dxa"/>
            <w:shd w:val="clear" w:color="auto" w:fill="auto"/>
            <w:vAlign w:val="center"/>
          </w:tcPr>
          <w:p w14:paraId="30040E99">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韶关市武江区重阳镇人民政府</w:t>
            </w:r>
          </w:p>
        </w:tc>
      </w:tr>
      <w:tr w14:paraId="6008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9F3CC81">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w:t>
            </w:r>
          </w:p>
        </w:tc>
        <w:tc>
          <w:tcPr>
            <w:tcW w:w="2433" w:type="dxa"/>
            <w:shd w:val="clear" w:color="auto" w:fill="auto"/>
            <w:vAlign w:val="center"/>
          </w:tcPr>
          <w:p w14:paraId="55EDB83D">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项目批准部门及项目批准文号</w:t>
            </w:r>
          </w:p>
        </w:tc>
        <w:tc>
          <w:tcPr>
            <w:tcW w:w="6900" w:type="dxa"/>
            <w:shd w:val="clear" w:color="auto" w:fill="auto"/>
            <w:vAlign w:val="center"/>
          </w:tcPr>
          <w:p w14:paraId="56FAEB61">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韶关市武江区发展和改革局、韶武发改投审[2023]79号、韶武发改投审[2024]22号</w:t>
            </w:r>
          </w:p>
        </w:tc>
      </w:tr>
      <w:tr w14:paraId="5491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DF3EAE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4</w:t>
            </w:r>
          </w:p>
        </w:tc>
        <w:tc>
          <w:tcPr>
            <w:tcW w:w="2433" w:type="dxa"/>
            <w:shd w:val="clear" w:color="auto" w:fill="auto"/>
            <w:vAlign w:val="center"/>
          </w:tcPr>
          <w:p w14:paraId="3642BB67">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建设地点</w:t>
            </w:r>
          </w:p>
        </w:tc>
        <w:tc>
          <w:tcPr>
            <w:tcW w:w="6900" w:type="dxa"/>
            <w:shd w:val="clear" w:color="auto" w:fill="auto"/>
            <w:vAlign w:val="center"/>
          </w:tcPr>
          <w:p w14:paraId="365D85B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韶关市武江区重阳镇</w:t>
            </w:r>
          </w:p>
        </w:tc>
      </w:tr>
      <w:tr w14:paraId="31E5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4D2BDBA">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5</w:t>
            </w:r>
          </w:p>
        </w:tc>
        <w:tc>
          <w:tcPr>
            <w:tcW w:w="2433" w:type="dxa"/>
            <w:shd w:val="clear" w:color="auto" w:fill="auto"/>
            <w:vAlign w:val="center"/>
          </w:tcPr>
          <w:p w14:paraId="4B1C4E29">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项目代码</w:t>
            </w:r>
          </w:p>
        </w:tc>
        <w:tc>
          <w:tcPr>
            <w:tcW w:w="6900" w:type="dxa"/>
            <w:shd w:val="clear" w:color="auto" w:fill="auto"/>
            <w:vAlign w:val="center"/>
          </w:tcPr>
          <w:p w14:paraId="4122AAF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2309-440203-20-01-828782</w:t>
            </w:r>
          </w:p>
        </w:tc>
      </w:tr>
      <w:tr w14:paraId="0CBE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3F1187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6</w:t>
            </w:r>
          </w:p>
        </w:tc>
        <w:tc>
          <w:tcPr>
            <w:tcW w:w="2433" w:type="dxa"/>
            <w:shd w:val="clear" w:color="auto" w:fill="auto"/>
            <w:vAlign w:val="center"/>
          </w:tcPr>
          <w:p w14:paraId="4887C5D7">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资金来源及落实情况</w:t>
            </w:r>
          </w:p>
        </w:tc>
        <w:tc>
          <w:tcPr>
            <w:tcW w:w="6900" w:type="dxa"/>
            <w:shd w:val="clear" w:color="auto" w:fill="auto"/>
            <w:vAlign w:val="center"/>
          </w:tcPr>
          <w:p w14:paraId="4EF660A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区财政统筹，100%</w:t>
            </w:r>
          </w:p>
        </w:tc>
      </w:tr>
      <w:tr w14:paraId="2AE0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9A6BBB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7</w:t>
            </w:r>
          </w:p>
        </w:tc>
        <w:tc>
          <w:tcPr>
            <w:tcW w:w="2433" w:type="dxa"/>
            <w:shd w:val="clear" w:color="auto" w:fill="auto"/>
            <w:vAlign w:val="center"/>
          </w:tcPr>
          <w:p w14:paraId="3BA0B4CA">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招标人</w:t>
            </w:r>
          </w:p>
        </w:tc>
        <w:tc>
          <w:tcPr>
            <w:tcW w:w="6900" w:type="dxa"/>
            <w:shd w:val="clear" w:color="auto" w:fill="auto"/>
            <w:vAlign w:val="center"/>
          </w:tcPr>
          <w:p w14:paraId="5FD8D3F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韶关市武江区重阳镇人民政府</w:t>
            </w:r>
          </w:p>
        </w:tc>
      </w:tr>
      <w:tr w14:paraId="044E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B4C612A">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8</w:t>
            </w:r>
          </w:p>
        </w:tc>
        <w:tc>
          <w:tcPr>
            <w:tcW w:w="2433" w:type="dxa"/>
            <w:shd w:val="clear" w:color="auto" w:fill="auto"/>
            <w:vAlign w:val="center"/>
          </w:tcPr>
          <w:p w14:paraId="69DA39D6">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招标代理机构</w:t>
            </w:r>
          </w:p>
        </w:tc>
        <w:tc>
          <w:tcPr>
            <w:tcW w:w="6900" w:type="dxa"/>
            <w:shd w:val="clear" w:color="auto" w:fill="auto"/>
            <w:vAlign w:val="center"/>
          </w:tcPr>
          <w:p w14:paraId="3F43251B">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广东宝骏工程咨询有限公司</w:t>
            </w:r>
          </w:p>
        </w:tc>
      </w:tr>
      <w:tr w14:paraId="6AD4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EBA041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9</w:t>
            </w:r>
          </w:p>
        </w:tc>
        <w:tc>
          <w:tcPr>
            <w:tcW w:w="2433" w:type="dxa"/>
            <w:shd w:val="clear" w:color="auto" w:fill="auto"/>
            <w:vAlign w:val="center"/>
          </w:tcPr>
          <w:p w14:paraId="335E9460">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设计单位</w:t>
            </w:r>
          </w:p>
        </w:tc>
        <w:tc>
          <w:tcPr>
            <w:tcW w:w="6900" w:type="dxa"/>
            <w:shd w:val="clear" w:color="auto" w:fill="auto"/>
            <w:vAlign w:val="center"/>
          </w:tcPr>
          <w:p w14:paraId="49CDB5E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中誉恒信工程咨询有限公司</w:t>
            </w:r>
          </w:p>
        </w:tc>
      </w:tr>
      <w:tr w14:paraId="68BA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844D270">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10</w:t>
            </w:r>
          </w:p>
        </w:tc>
        <w:tc>
          <w:tcPr>
            <w:tcW w:w="2433" w:type="dxa"/>
            <w:shd w:val="clear" w:color="auto" w:fill="auto"/>
            <w:vAlign w:val="center"/>
          </w:tcPr>
          <w:p w14:paraId="1CC1852F">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造价咨询单位</w:t>
            </w:r>
          </w:p>
        </w:tc>
        <w:tc>
          <w:tcPr>
            <w:tcW w:w="6900" w:type="dxa"/>
            <w:shd w:val="clear" w:color="auto" w:fill="auto"/>
            <w:vAlign w:val="center"/>
          </w:tcPr>
          <w:p w14:paraId="06D44FB9">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□全过程造价咨询  ☑非全过程造价咨询</w:t>
            </w:r>
          </w:p>
        </w:tc>
      </w:tr>
      <w:tr w14:paraId="27B4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FF800B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11</w:t>
            </w:r>
          </w:p>
        </w:tc>
        <w:tc>
          <w:tcPr>
            <w:tcW w:w="2433" w:type="dxa"/>
            <w:shd w:val="clear" w:color="auto" w:fill="auto"/>
            <w:vAlign w:val="center"/>
          </w:tcPr>
          <w:p w14:paraId="3EDCB645">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监理单位</w:t>
            </w:r>
          </w:p>
        </w:tc>
        <w:tc>
          <w:tcPr>
            <w:tcW w:w="6900" w:type="dxa"/>
            <w:shd w:val="clear" w:color="auto" w:fill="auto"/>
            <w:vAlign w:val="center"/>
          </w:tcPr>
          <w:p w14:paraId="3ECA6F11">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rPr>
              <w:t>已确定监理单位</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☑未</w:t>
            </w:r>
            <w:r>
              <w:rPr>
                <w:rFonts w:hint="eastAsia" w:ascii="宋体" w:hAnsi="宋体" w:eastAsia="宋体" w:cs="宋体"/>
                <w:sz w:val="24"/>
                <w:szCs w:val="24"/>
              </w:rPr>
              <w:t>确定监理单位</w:t>
            </w:r>
          </w:p>
        </w:tc>
      </w:tr>
      <w:tr w14:paraId="390E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B1FB57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lang w:eastAsia="zh-CN"/>
              </w:rPr>
              <w:t>1</w:t>
            </w:r>
            <w:r>
              <w:rPr>
                <w:rFonts w:hint="eastAsia" w:ascii="宋体" w:hAnsi="宋体" w:eastAsia="宋体" w:cs="宋体"/>
                <w:sz w:val="24"/>
                <w:szCs w:val="24"/>
              </w:rPr>
              <w:t>2</w:t>
            </w:r>
          </w:p>
        </w:tc>
        <w:tc>
          <w:tcPr>
            <w:tcW w:w="2433" w:type="dxa"/>
            <w:shd w:val="clear" w:color="auto" w:fill="auto"/>
            <w:vAlign w:val="center"/>
          </w:tcPr>
          <w:p w14:paraId="52356A5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建设内容和规模</w:t>
            </w:r>
          </w:p>
        </w:tc>
        <w:tc>
          <w:tcPr>
            <w:tcW w:w="6900" w:type="dxa"/>
            <w:shd w:val="clear" w:color="auto" w:fill="auto"/>
            <w:vAlign w:val="center"/>
          </w:tcPr>
          <w:p w14:paraId="33F48A8B">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w:t>
            </w:r>
            <w:r>
              <w:rPr>
                <w:rFonts w:hint="eastAsia" w:ascii="宋体" w:hAnsi="宋体" w:eastAsia="宋体" w:cs="宋体"/>
                <w:sz w:val="24"/>
                <w:szCs w:val="24"/>
              </w:rPr>
              <w:t>建设内容</w:t>
            </w:r>
            <w:r>
              <w:rPr>
                <w:rFonts w:hint="eastAsia" w:ascii="宋体" w:hAnsi="宋体" w:eastAsia="宋体" w:cs="宋体"/>
                <w:sz w:val="24"/>
                <w:szCs w:val="24"/>
                <w:lang w:eastAsia="zh-CN"/>
              </w:rPr>
              <w:t>及</w:t>
            </w:r>
            <w:r>
              <w:rPr>
                <w:rFonts w:hint="eastAsia" w:ascii="宋体" w:hAnsi="宋体" w:eastAsia="宋体" w:cs="宋体"/>
                <w:sz w:val="24"/>
                <w:szCs w:val="24"/>
              </w:rPr>
              <w:t>建设规模：</w:t>
            </w:r>
            <w:r>
              <w:rPr>
                <w:rFonts w:hint="eastAsia" w:ascii="宋体" w:hAnsi="宋体" w:eastAsia="宋体" w:cs="宋体"/>
                <w:sz w:val="24"/>
                <w:szCs w:val="24"/>
                <w:lang w:val="en-US" w:eastAsia="zh-CN"/>
              </w:rPr>
              <w:t>项目建设为武江区重阳镇水口及大夫前村农产业示范带配套基础设施提升项目工程，建设农耕便道、农业科普园、道路、停车场、公厕等。</w:t>
            </w:r>
          </w:p>
        </w:tc>
      </w:tr>
      <w:tr w14:paraId="62A5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C2FF3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13</w:t>
            </w:r>
          </w:p>
        </w:tc>
        <w:tc>
          <w:tcPr>
            <w:tcW w:w="2433" w:type="dxa"/>
            <w:shd w:val="clear" w:color="auto" w:fill="auto"/>
            <w:vAlign w:val="center"/>
          </w:tcPr>
          <w:p w14:paraId="2640CAF1">
            <w:pPr>
              <w:widowControl w:val="0"/>
              <w:spacing w:line="360" w:lineRule="auto"/>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项目总投资</w:t>
            </w:r>
          </w:p>
        </w:tc>
        <w:tc>
          <w:tcPr>
            <w:tcW w:w="6900" w:type="dxa"/>
            <w:shd w:val="clear" w:color="auto" w:fill="auto"/>
            <w:vAlign w:val="center"/>
          </w:tcPr>
          <w:p w14:paraId="05F12A89">
            <w:pPr>
              <w:widowControl w:val="0"/>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项目初步设计概算总投资942.22万元,其中建安工程费860.42万元,工程建设其他费用81.80万元,基本预备费0万元。</w:t>
            </w:r>
          </w:p>
        </w:tc>
      </w:tr>
      <w:tr w14:paraId="4469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5183B32">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14</w:t>
            </w:r>
          </w:p>
        </w:tc>
        <w:tc>
          <w:tcPr>
            <w:tcW w:w="2433" w:type="dxa"/>
            <w:shd w:val="clear" w:color="auto" w:fill="auto"/>
            <w:vAlign w:val="top"/>
          </w:tcPr>
          <w:p w14:paraId="4B99760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招标范围</w:t>
            </w:r>
          </w:p>
        </w:tc>
        <w:tc>
          <w:tcPr>
            <w:tcW w:w="6900" w:type="dxa"/>
            <w:shd w:val="clear" w:color="auto" w:fill="auto"/>
            <w:vAlign w:val="top"/>
          </w:tcPr>
          <w:p w14:paraId="55D2EF94">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按审查合格的施工图纸及工程量清单内容施工</w:t>
            </w:r>
            <w:r>
              <w:rPr>
                <w:rFonts w:hint="eastAsia" w:ascii="宋体" w:hAnsi="宋体" w:eastAsia="宋体" w:cs="宋体"/>
                <w:sz w:val="24"/>
                <w:szCs w:val="24"/>
                <w:lang w:eastAsia="zh-CN"/>
              </w:rPr>
              <w:t>。</w:t>
            </w:r>
          </w:p>
        </w:tc>
      </w:tr>
      <w:tr w14:paraId="6D93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E9C444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15</w:t>
            </w:r>
          </w:p>
        </w:tc>
        <w:tc>
          <w:tcPr>
            <w:tcW w:w="2433" w:type="dxa"/>
            <w:shd w:val="clear" w:color="auto" w:fill="auto"/>
            <w:vAlign w:val="center"/>
          </w:tcPr>
          <w:p w14:paraId="5ECF0E2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标段划分</w:t>
            </w:r>
          </w:p>
        </w:tc>
        <w:tc>
          <w:tcPr>
            <w:tcW w:w="6900" w:type="dxa"/>
            <w:shd w:val="clear" w:color="auto" w:fill="auto"/>
            <w:vAlign w:val="center"/>
          </w:tcPr>
          <w:p w14:paraId="334CEEF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本招标项目不划分标段。</w:t>
            </w:r>
          </w:p>
        </w:tc>
      </w:tr>
      <w:tr w14:paraId="36A9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09B7E70">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16</w:t>
            </w:r>
          </w:p>
        </w:tc>
        <w:tc>
          <w:tcPr>
            <w:tcW w:w="2433" w:type="dxa"/>
            <w:shd w:val="clear" w:color="auto" w:fill="auto"/>
            <w:vAlign w:val="center"/>
          </w:tcPr>
          <w:p w14:paraId="7F21C96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工期</w:t>
            </w:r>
          </w:p>
        </w:tc>
        <w:tc>
          <w:tcPr>
            <w:tcW w:w="6900" w:type="dxa"/>
            <w:shd w:val="clear" w:color="auto" w:fill="auto"/>
            <w:vAlign w:val="top"/>
          </w:tcPr>
          <w:p w14:paraId="5B72EFA7">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本招标项目招标工期为个日历天。具体如下：</w:t>
            </w:r>
          </w:p>
          <w:p w14:paraId="0BE99AF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总工期：</w:t>
            </w:r>
            <w:r>
              <w:rPr>
                <w:rFonts w:hint="eastAsia" w:ascii="宋体" w:hAnsi="宋体" w:eastAsia="宋体" w:cs="宋体"/>
                <w:color w:val="auto"/>
                <w:sz w:val="24"/>
                <w:szCs w:val="24"/>
                <w:lang w:val="en-US" w:eastAsia="zh-CN"/>
              </w:rPr>
              <w:t>120天</w:t>
            </w:r>
            <w:r>
              <w:rPr>
                <w:rFonts w:hint="eastAsia" w:ascii="宋体" w:hAnsi="宋体" w:eastAsia="宋体" w:cs="宋体"/>
                <w:color w:val="auto"/>
                <w:sz w:val="24"/>
                <w:szCs w:val="24"/>
              </w:rPr>
              <w:t>（日历天）。</w:t>
            </w:r>
          </w:p>
          <w:p w14:paraId="03B5A72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计划开工日期</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日（具体开工日期以合同为准）</w:t>
            </w:r>
          </w:p>
          <w:p w14:paraId="603B74A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计划竣工日期：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14:paraId="54FEDF04">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□除上述总工期外，发包人还要求以下阶段工期：</w:t>
            </w:r>
          </w:p>
        </w:tc>
      </w:tr>
      <w:tr w14:paraId="1F67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155CB24">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17</w:t>
            </w:r>
          </w:p>
        </w:tc>
        <w:tc>
          <w:tcPr>
            <w:tcW w:w="2433" w:type="dxa"/>
            <w:shd w:val="clear" w:color="auto" w:fill="auto"/>
            <w:vAlign w:val="center"/>
          </w:tcPr>
          <w:p w14:paraId="428AB34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质量标准</w:t>
            </w:r>
          </w:p>
        </w:tc>
        <w:tc>
          <w:tcPr>
            <w:tcW w:w="6900" w:type="dxa"/>
            <w:shd w:val="clear" w:color="auto" w:fill="auto"/>
            <w:vAlign w:val="top"/>
          </w:tcPr>
          <w:p w14:paraId="0EFDB54D">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☑质量目标：合格</w:t>
            </w:r>
          </w:p>
          <w:p w14:paraId="4DF09D0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☑质量标准：工程质量标准须达到《建筑工程施工质量验收统一标准》(GB50300-2013)合格。</w:t>
            </w:r>
          </w:p>
          <w:p w14:paraId="2773185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□优质工程要求：无/市优/省优/.....</w:t>
            </w:r>
          </w:p>
          <w:p w14:paraId="0F033577">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工程优质费：☑无     □有：</w:t>
            </w:r>
          </w:p>
        </w:tc>
      </w:tr>
      <w:tr w14:paraId="4266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BBF24D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18</w:t>
            </w:r>
          </w:p>
        </w:tc>
        <w:tc>
          <w:tcPr>
            <w:tcW w:w="2433" w:type="dxa"/>
            <w:shd w:val="clear" w:color="auto" w:fill="auto"/>
            <w:vAlign w:val="center"/>
          </w:tcPr>
          <w:p w14:paraId="49A3AEE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合同类型</w:t>
            </w:r>
          </w:p>
        </w:tc>
        <w:tc>
          <w:tcPr>
            <w:tcW w:w="6900" w:type="dxa"/>
            <w:shd w:val="clear" w:color="auto" w:fill="auto"/>
            <w:vAlign w:val="top"/>
          </w:tcPr>
          <w:p w14:paraId="3C5B102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单价合同：发承包双方约定以工程量清单及其综合单价进行合同价款计算、调整和确认的建设工程施工合同。</w:t>
            </w:r>
          </w:p>
          <w:p w14:paraId="7EDC46A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p w14:paraId="2452E025">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□总价合同：发承包双方约定以施工图及其预算和有关条件进行合同价款计算、调整和确认的建设工程施工合同。</w:t>
            </w:r>
          </w:p>
          <w:p w14:paraId="6CC7D6B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4BB3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55AB5E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19</w:t>
            </w:r>
          </w:p>
        </w:tc>
        <w:tc>
          <w:tcPr>
            <w:tcW w:w="2433" w:type="dxa"/>
            <w:shd w:val="clear" w:color="auto" w:fill="auto"/>
            <w:vAlign w:val="top"/>
          </w:tcPr>
          <w:p w14:paraId="1B27397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房屋建筑工程绿色建筑标准</w:t>
            </w:r>
          </w:p>
        </w:tc>
        <w:tc>
          <w:tcPr>
            <w:tcW w:w="6900" w:type="dxa"/>
            <w:shd w:val="clear" w:color="auto" w:fill="auto"/>
            <w:vAlign w:val="center"/>
          </w:tcPr>
          <w:p w14:paraId="11172871">
            <w:pPr>
              <w:widowControl w:val="0"/>
              <w:spacing w:line="360" w:lineRule="auto"/>
              <w:jc w:val="left"/>
              <w:rPr>
                <w:rFonts w:hint="eastAsia" w:ascii="宋体" w:hAnsi="宋体" w:eastAsia="宋体" w:cs="宋体"/>
                <w:sz w:val="24"/>
                <w:szCs w:val="24"/>
                <w:lang w:val="en-US" w:eastAsia="en-US"/>
              </w:rPr>
            </w:pPr>
            <w:r>
              <w:rPr>
                <w:rFonts w:hint="eastAsia" w:ascii="宋体" w:hAnsi="宋体" w:eastAsia="宋体" w:cs="宋体"/>
                <w:sz w:val="24"/>
                <w:szCs w:val="24"/>
              </w:rPr>
              <w:t>本招标项目</w:t>
            </w:r>
            <w:r>
              <w:rPr>
                <w:rFonts w:hint="eastAsia" w:ascii="宋体" w:hAnsi="宋体" w:eastAsia="宋体" w:cs="宋体"/>
                <w:sz w:val="24"/>
                <w:szCs w:val="24"/>
                <w:lang w:eastAsia="zh-CN"/>
              </w:rPr>
              <w:t>不</w:t>
            </w:r>
            <w:r>
              <w:rPr>
                <w:rFonts w:hint="eastAsia" w:ascii="宋体" w:hAnsi="宋体" w:eastAsia="宋体" w:cs="宋体"/>
                <w:sz w:val="24"/>
                <w:szCs w:val="24"/>
              </w:rPr>
              <w:t>纳入绿色建设实施范围</w:t>
            </w:r>
            <w:r>
              <w:rPr>
                <w:rFonts w:hint="eastAsia" w:ascii="宋体" w:hAnsi="宋体" w:eastAsia="宋体" w:cs="宋体"/>
                <w:sz w:val="24"/>
                <w:szCs w:val="24"/>
                <w:lang w:eastAsia="zh-CN"/>
              </w:rPr>
              <w:t>。</w:t>
            </w:r>
          </w:p>
        </w:tc>
      </w:tr>
      <w:tr w14:paraId="669B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4E1189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19.1</w:t>
            </w:r>
          </w:p>
        </w:tc>
        <w:tc>
          <w:tcPr>
            <w:tcW w:w="2433" w:type="dxa"/>
            <w:shd w:val="clear" w:color="auto" w:fill="auto"/>
            <w:vAlign w:val="center"/>
          </w:tcPr>
          <w:p w14:paraId="309D3E2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装配式建筑标准</w:t>
            </w:r>
          </w:p>
        </w:tc>
        <w:tc>
          <w:tcPr>
            <w:tcW w:w="6900" w:type="dxa"/>
            <w:shd w:val="clear" w:color="auto" w:fill="auto"/>
            <w:vAlign w:val="center"/>
          </w:tcPr>
          <w:p w14:paraId="77AC63B3">
            <w:pPr>
              <w:widowControl w:val="0"/>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rPr>
              <w:t>本招标项目</w:t>
            </w:r>
            <w:r>
              <w:rPr>
                <w:rFonts w:hint="eastAsia" w:ascii="宋体" w:hAnsi="宋体" w:eastAsia="宋体" w:cs="宋体"/>
                <w:sz w:val="24"/>
                <w:szCs w:val="24"/>
                <w:lang w:eastAsia="zh-CN"/>
              </w:rPr>
              <w:t>不</w:t>
            </w:r>
            <w:r>
              <w:rPr>
                <w:rFonts w:hint="eastAsia" w:ascii="宋体" w:hAnsi="宋体" w:eastAsia="宋体" w:cs="宋体"/>
                <w:sz w:val="24"/>
                <w:szCs w:val="24"/>
              </w:rPr>
              <w:t>纳入装配式建造建设实施范围</w:t>
            </w:r>
            <w:r>
              <w:rPr>
                <w:rFonts w:hint="eastAsia" w:ascii="宋体" w:hAnsi="宋体" w:eastAsia="宋体" w:cs="宋体"/>
                <w:sz w:val="24"/>
                <w:szCs w:val="24"/>
                <w:lang w:eastAsia="zh-CN"/>
              </w:rPr>
              <w:t>。</w:t>
            </w:r>
          </w:p>
        </w:tc>
      </w:tr>
      <w:tr w14:paraId="036D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E3E83E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20</w:t>
            </w:r>
          </w:p>
        </w:tc>
        <w:tc>
          <w:tcPr>
            <w:tcW w:w="2433" w:type="dxa"/>
            <w:shd w:val="clear" w:color="auto" w:fill="auto"/>
            <w:vAlign w:val="center"/>
          </w:tcPr>
          <w:p w14:paraId="51326562">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发包人提供材料和工程设备</w:t>
            </w:r>
          </w:p>
        </w:tc>
        <w:tc>
          <w:tcPr>
            <w:tcW w:w="6900" w:type="dxa"/>
            <w:shd w:val="clear" w:color="auto" w:fill="auto"/>
            <w:vAlign w:val="top"/>
          </w:tcPr>
          <w:p w14:paraId="0E9A7FE9">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 xml:space="preserve">发包人提供材料和工程设备： </w:t>
            </w:r>
            <w:r>
              <w:rPr>
                <w:rFonts w:hint="eastAsia" w:ascii="宋体" w:hAnsi="宋体" w:eastAsia="宋体" w:cs="宋体"/>
                <w:sz w:val="24"/>
                <w:szCs w:val="24"/>
                <w:lang w:eastAsia="zh-CN"/>
              </w:rPr>
              <w:t>☑</w:t>
            </w:r>
            <w:r>
              <w:rPr>
                <w:rFonts w:hint="eastAsia" w:ascii="宋体" w:hAnsi="宋体" w:eastAsia="宋体" w:cs="宋体"/>
                <w:sz w:val="24"/>
                <w:szCs w:val="24"/>
              </w:rPr>
              <w:t xml:space="preserve">无     □有：  </w:t>
            </w:r>
            <w:r>
              <w:rPr>
                <w:rFonts w:hint="eastAsia" w:ascii="宋体" w:hAnsi="宋体" w:eastAsia="宋体" w:cs="宋体"/>
                <w:sz w:val="24"/>
                <w:szCs w:val="24"/>
                <w:lang w:val="en-US" w:eastAsia="zh-CN"/>
              </w:rPr>
              <w:t xml:space="preserve">  /  </w:t>
            </w:r>
            <w:r>
              <w:rPr>
                <w:rFonts w:hint="eastAsia" w:ascii="宋体" w:hAnsi="宋体" w:eastAsia="宋体" w:cs="宋体"/>
                <w:sz w:val="24"/>
                <w:szCs w:val="24"/>
              </w:rPr>
              <w:t xml:space="preserve">   </w:t>
            </w:r>
          </w:p>
        </w:tc>
      </w:tr>
      <w:tr w14:paraId="0AEF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9886C5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21</w:t>
            </w:r>
          </w:p>
        </w:tc>
        <w:tc>
          <w:tcPr>
            <w:tcW w:w="2433" w:type="dxa"/>
            <w:shd w:val="clear" w:color="auto" w:fill="auto"/>
            <w:vAlign w:val="center"/>
          </w:tcPr>
          <w:p w14:paraId="6F7E02A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承包人提供材料和工程设备</w:t>
            </w:r>
          </w:p>
        </w:tc>
        <w:tc>
          <w:tcPr>
            <w:tcW w:w="6900" w:type="dxa"/>
            <w:shd w:val="clear" w:color="auto" w:fill="auto"/>
            <w:vAlign w:val="top"/>
          </w:tcPr>
          <w:p w14:paraId="57BC61FA">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6E2CD8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□其它说明：鼓励承包人积极采购环保产品进行施工。</w:t>
            </w:r>
          </w:p>
        </w:tc>
      </w:tr>
      <w:tr w14:paraId="1B6F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733" w:type="dxa"/>
            <w:shd w:val="clear" w:color="auto" w:fill="auto"/>
            <w:vAlign w:val="center"/>
          </w:tcPr>
          <w:p w14:paraId="55F0A89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22</w:t>
            </w:r>
          </w:p>
        </w:tc>
        <w:tc>
          <w:tcPr>
            <w:tcW w:w="2433" w:type="dxa"/>
            <w:shd w:val="clear" w:color="auto" w:fill="auto"/>
            <w:vAlign w:val="center"/>
          </w:tcPr>
          <w:p w14:paraId="0040D2F1">
            <w:pPr>
              <w:widowControl w:val="0"/>
              <w:spacing w:line="360" w:lineRule="auto"/>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最高投标限价</w:t>
            </w:r>
          </w:p>
        </w:tc>
        <w:tc>
          <w:tcPr>
            <w:tcW w:w="6900" w:type="dxa"/>
            <w:shd w:val="clear" w:color="auto" w:fill="auto"/>
            <w:vAlign w:val="center"/>
          </w:tcPr>
          <w:p w14:paraId="12F4D4DA">
            <w:pPr>
              <w:widowControl w:val="0"/>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本项目</w:t>
            </w:r>
            <w:r>
              <w:rPr>
                <w:rFonts w:hint="eastAsia" w:ascii="宋体" w:hAnsi="宋体" w:eastAsia="宋体" w:cs="宋体"/>
                <w:color w:val="auto"/>
                <w:sz w:val="24"/>
                <w:szCs w:val="24"/>
                <w:lang w:val="en-US" w:eastAsia="zh-CN"/>
              </w:rPr>
              <w:t>最高投标限价</w:t>
            </w:r>
            <w:r>
              <w:rPr>
                <w:rFonts w:hint="eastAsia" w:ascii="宋体" w:hAnsi="宋体" w:eastAsia="宋体" w:cs="宋体"/>
                <w:sz w:val="24"/>
                <w:szCs w:val="24"/>
                <w:lang w:val="en-US" w:eastAsia="zh-CN"/>
              </w:rPr>
              <w:t>为人民币（大写）：陆佰伍拾柒万叁仟壹佰壹拾肆元壹角叁分（¥6,573,114.13元）。其中绿色施工安全防护措施费不低于：¥250,504.66元，暂估价（统一报价）为¥37,700.00元。</w:t>
            </w:r>
          </w:p>
        </w:tc>
      </w:tr>
      <w:tr w14:paraId="52F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29D38D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23</w:t>
            </w:r>
          </w:p>
        </w:tc>
        <w:tc>
          <w:tcPr>
            <w:tcW w:w="2433" w:type="dxa"/>
            <w:shd w:val="clear" w:color="auto" w:fill="auto"/>
            <w:vAlign w:val="center"/>
          </w:tcPr>
          <w:p w14:paraId="527E680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投标人的投标报价</w:t>
            </w:r>
          </w:p>
        </w:tc>
        <w:tc>
          <w:tcPr>
            <w:tcW w:w="6900" w:type="dxa"/>
            <w:shd w:val="clear" w:color="auto" w:fill="auto"/>
            <w:vAlign w:val="center"/>
          </w:tcPr>
          <w:p w14:paraId="16167333">
            <w:pPr>
              <w:widowControl w:val="0"/>
              <w:spacing w:before="117" w:line="360" w:lineRule="auto"/>
              <w:ind w:right="4" w:firstLine="238"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投标人投标时响应招标文件要求所报出的对已标价工程量清单</w:t>
            </w:r>
            <w:r>
              <w:rPr>
                <w:rFonts w:hint="eastAsia" w:ascii="宋体" w:hAnsi="宋体" w:eastAsia="宋体" w:cs="宋体"/>
                <w:color w:val="auto"/>
                <w:sz w:val="24"/>
                <w:szCs w:val="24"/>
                <w:highlight w:val="none"/>
              </w:rPr>
              <w:t>汇总后标明的总价。投标人在投标报价填写</w:t>
            </w:r>
            <w:r>
              <w:rPr>
                <w:rFonts w:hint="eastAsia" w:ascii="宋体" w:hAnsi="宋体" w:eastAsia="宋体" w:cs="宋体"/>
                <w:color w:val="auto"/>
                <w:spacing w:val="-1"/>
                <w:sz w:val="24"/>
                <w:szCs w:val="24"/>
                <w:highlight w:val="none"/>
              </w:rPr>
              <w:t>的工程量清单的项目编</w:t>
            </w:r>
            <w:r>
              <w:rPr>
                <w:rFonts w:hint="eastAsia" w:ascii="宋体" w:hAnsi="宋体" w:eastAsia="宋体" w:cs="宋体"/>
                <w:color w:val="auto"/>
                <w:spacing w:val="-3"/>
                <w:sz w:val="24"/>
                <w:szCs w:val="24"/>
                <w:highlight w:val="none"/>
              </w:rPr>
              <w:t>码、项目名称、项目特征、计量单位、工程数量必须与招标人招标文</w:t>
            </w:r>
            <w:r>
              <w:rPr>
                <w:rFonts w:hint="eastAsia" w:ascii="宋体" w:hAnsi="宋体" w:eastAsia="宋体" w:cs="宋体"/>
                <w:color w:val="auto"/>
                <w:sz w:val="24"/>
                <w:szCs w:val="24"/>
                <w:highlight w:val="none"/>
              </w:rPr>
              <w:t>件中提供的一致，投标价不能低于工程成本</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3"/>
                <w:sz w:val="24"/>
                <w:szCs w:val="24"/>
                <w:highlight w:val="none"/>
              </w:rPr>
              <w:t>高于最高投标限价。</w:t>
            </w:r>
          </w:p>
          <w:p w14:paraId="57CB68D4">
            <w:pPr>
              <w:keepNext w:val="0"/>
              <w:keepLines w:val="0"/>
              <w:pageBreakBefore w:val="0"/>
              <w:widowControl/>
              <w:kinsoku/>
              <w:wordWrap/>
              <w:overflowPunct/>
              <w:topLinePunct w:val="0"/>
              <w:autoSpaceDE/>
              <w:autoSpaceDN/>
              <w:bidi w:val="0"/>
              <w:snapToGrid w:val="0"/>
              <w:spacing w:line="360" w:lineRule="auto"/>
              <w:ind w:firstLine="236" w:firstLineChars="100"/>
              <w:jc w:val="both"/>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rPr>
              <w:t>投标报价方式：</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工程量清单报</w:t>
            </w:r>
            <w:r>
              <w:rPr>
                <w:rFonts w:hint="eastAsia" w:ascii="宋体" w:hAnsi="宋体" w:eastAsia="宋体" w:cs="宋体"/>
                <w:color w:val="auto"/>
                <w:spacing w:val="-2"/>
                <w:sz w:val="24"/>
                <w:szCs w:val="24"/>
                <w:highlight w:val="none"/>
                <w:lang w:val="en-US" w:eastAsia="zh-CN"/>
              </w:rPr>
              <w:t>价</w:t>
            </w:r>
          </w:p>
          <w:p w14:paraId="6921948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color w:val="auto"/>
                <w:spacing w:val="-4"/>
                <w:sz w:val="24"/>
                <w:szCs w:val="24"/>
                <w:highlight w:val="none"/>
                <w:lang w:val="en-US" w:eastAsia="zh-CN"/>
              </w:rPr>
              <w:t>投标报价时，应按《广东省建设工程计价依据（2018）》规定的费率报价，若招标工程量清单明确说明不计算预算包干费或另外确定预算包干费费率的，则按招标工程量清单报价。</w:t>
            </w:r>
          </w:p>
        </w:tc>
      </w:tr>
      <w:tr w14:paraId="2068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B7A0E0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24</w:t>
            </w:r>
          </w:p>
        </w:tc>
        <w:tc>
          <w:tcPr>
            <w:tcW w:w="2433" w:type="dxa"/>
            <w:shd w:val="clear" w:color="auto" w:fill="auto"/>
            <w:vAlign w:val="center"/>
          </w:tcPr>
          <w:p w14:paraId="03F6EBC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投标报价风险</w:t>
            </w:r>
          </w:p>
        </w:tc>
        <w:tc>
          <w:tcPr>
            <w:tcW w:w="6900" w:type="dxa"/>
            <w:shd w:val="clear" w:color="auto" w:fill="auto"/>
            <w:vAlign w:val="center"/>
          </w:tcPr>
          <w:p w14:paraId="7B7150D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投标人依据招标文件约定自行考虑风险因素，一旦中标，投标报价（合同价）除合同另有约定外将不因市场变化而调整。</w:t>
            </w:r>
          </w:p>
          <w:p w14:paraId="0F92DFF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投标报价中应包括工程量清单项目所发生的人工费、材料费、机具费、管理费、利润、措施项目费、其它项目费、税金、暂列金额、暂估价以及所有风险、责任等各项费用。</w:t>
            </w:r>
          </w:p>
          <w:p w14:paraId="13528EC9">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人工费、材料费、机具费、管理费、利润、措施项目费（不含绿色施工安全防护措施费）投标人漏报或不报，招标人视为有关费用已包括在工程量清单项目的其它单价及合价中不予另外增加。</w:t>
            </w:r>
          </w:p>
          <w:p w14:paraId="4DB3662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措施项目中的绿色施工安全防护措施费，必须按国家、省级、市级（即工程所在地）行业建设主管部门的规定计算，不得作为竞争性费用。</w:t>
            </w:r>
          </w:p>
          <w:p w14:paraId="3EE6FF8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投标人应按照招标文件提供的工程量清单逐项填写单价和合价，投标人未填写的项目，招标人将视为此项费用已包括在工程量清单项目的其它单价及合价中不予另外增加。</w:t>
            </w:r>
          </w:p>
          <w:p w14:paraId="6DDEAE0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402BD009">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招标人向投标人提供的有关施工现场资料及数据，是招标人现有的能使投标人利用的资料，招标人对投标人据此作出的推论及理解概不负责。</w:t>
            </w:r>
          </w:p>
          <w:p w14:paraId="7CCE333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投标人应依据招标人提供的所有资料和自己对现场查勘来编 制投标文件，并对招标人提供的所有资料的理解、推断和应用负责。在投标人提交其投标文件之前，视为已经考虑了现场及其周围环境的影响，中标后</w:t>
            </w:r>
            <w:r>
              <w:rPr>
                <w:rFonts w:hint="eastAsia" w:ascii="宋体" w:hAnsi="宋体" w:eastAsia="宋体" w:cs="宋体"/>
                <w:sz w:val="24"/>
                <w:szCs w:val="24"/>
                <w:lang w:eastAsia="zh-CN"/>
              </w:rPr>
              <w:t>，</w:t>
            </w:r>
            <w:r>
              <w:rPr>
                <w:rFonts w:hint="eastAsia" w:ascii="宋体" w:hAnsi="宋体" w:eastAsia="宋体" w:cs="宋体"/>
                <w:sz w:val="24"/>
                <w:szCs w:val="24"/>
              </w:rPr>
              <w:t>不得以不完全了解现场情况为理由提出追加款项或者延长工期等索赔的要求。</w:t>
            </w:r>
          </w:p>
          <w:p w14:paraId="45FEF91A">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w:t>
            </w:r>
            <w:r>
              <w:rPr>
                <w:rFonts w:hint="eastAsia" w:ascii="宋体" w:hAnsi="宋体" w:eastAsia="宋体" w:cs="宋体"/>
                <w:sz w:val="24"/>
                <w:szCs w:val="24"/>
              </w:rPr>
              <w:t>错漏项的认定。中标人已标价工程量清单中，任一清单项目未填报价格或价格为零的，招标人将视为此项费用已包括在工程量清单项目的其它单价及合价中不予另外增加。</w:t>
            </w:r>
          </w:p>
        </w:tc>
      </w:tr>
      <w:tr w14:paraId="709F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C233C0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25</w:t>
            </w:r>
          </w:p>
        </w:tc>
        <w:tc>
          <w:tcPr>
            <w:tcW w:w="2433" w:type="dxa"/>
            <w:shd w:val="clear" w:color="auto" w:fill="auto"/>
            <w:vAlign w:val="top"/>
          </w:tcPr>
          <w:p w14:paraId="2D1B82A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投标费用</w:t>
            </w:r>
          </w:p>
        </w:tc>
        <w:tc>
          <w:tcPr>
            <w:tcW w:w="6900" w:type="dxa"/>
            <w:shd w:val="clear" w:color="auto" w:fill="auto"/>
            <w:vAlign w:val="top"/>
          </w:tcPr>
          <w:p w14:paraId="7CDA748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投标人自行承担编制与递交投标文件的一切费用。</w:t>
            </w:r>
          </w:p>
        </w:tc>
      </w:tr>
      <w:tr w14:paraId="58AF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1CB935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26</w:t>
            </w:r>
          </w:p>
        </w:tc>
        <w:tc>
          <w:tcPr>
            <w:tcW w:w="2433" w:type="dxa"/>
            <w:shd w:val="clear" w:color="auto" w:fill="auto"/>
            <w:vAlign w:val="center"/>
          </w:tcPr>
          <w:p w14:paraId="149F19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投标人资格要求</w:t>
            </w:r>
          </w:p>
        </w:tc>
        <w:tc>
          <w:tcPr>
            <w:tcW w:w="6900" w:type="dxa"/>
            <w:shd w:val="clear" w:color="auto" w:fill="auto"/>
            <w:vAlign w:val="center"/>
          </w:tcPr>
          <w:p w14:paraId="6F4A32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1.本工程不接受联合体投标。</w:t>
            </w:r>
          </w:p>
          <w:p w14:paraId="4510D3D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资质要求</w:t>
            </w:r>
          </w:p>
          <w:p w14:paraId="2B169A4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2.1投标人须具备独立法人资格，按国家法律经营。</w:t>
            </w:r>
          </w:p>
          <w:p w14:paraId="77FFCE2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2.2投标人须持有建设行政主管部门颁发的企业资质证书及安全生产许可证。</w:t>
            </w:r>
          </w:p>
          <w:p w14:paraId="4BED6B5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2.3投标人须具备以下资质：市政公用工程施工总承包叁级以上（含叁级）资质。</w:t>
            </w:r>
          </w:p>
          <w:p w14:paraId="693E621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相关人员要求</w:t>
            </w:r>
          </w:p>
          <w:p w14:paraId="1719950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3.1拟派项目经理为市政公用工程专业一级或二级注册建造师，应持有住建部门印发的在使用有效期内的有效电子注册证书（根据广东省住房和城乡建设厅（粤建市函〔2023〕469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号）文件精神，二级注册建造师可随注册企业在全国范围内执业）。同时均须具备有效安全生产考核合格证明（B证），且未担任其他在施（包括已中标未开工、已开工未竣工）建设工程项目的项目经理。</w:t>
            </w:r>
          </w:p>
          <w:p w14:paraId="2D5CF81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3.2拟派项目技术负责人须具备</w:t>
            </w:r>
            <w:r>
              <w:rPr>
                <w:rFonts w:hint="eastAsia" w:ascii="宋体" w:hAnsi="宋体" w:eastAsia="宋体" w:cs="宋体"/>
                <w:sz w:val="24"/>
                <w:szCs w:val="24"/>
                <w:lang w:eastAsia="zh-CN"/>
              </w:rPr>
              <w:t>市政工程</w:t>
            </w:r>
            <w:r>
              <w:rPr>
                <w:rFonts w:hint="eastAsia" w:ascii="宋体" w:hAnsi="宋体" w:eastAsia="宋体" w:cs="宋体"/>
                <w:sz w:val="24"/>
                <w:szCs w:val="24"/>
              </w:rPr>
              <w:t>相关专业中级或以上技术职称。</w:t>
            </w:r>
          </w:p>
          <w:p w14:paraId="6ADA233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3.3投标人拟派专职安全生产管理人员须具备有效安全生产考核合格证明（C证，安全生产考核合格证书或“广东省建筑施工企业管理人员安全生产考核系统”考核合格信息打印页），且不少于1人。</w:t>
            </w:r>
          </w:p>
          <w:p w14:paraId="4D98773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3.4投标人与其拟派往本项目管理机构的所有人员之间必须具备合法、唯一的劳动聘用关系。拟派人员中具备注册执业资格的，其注册单位须与投标人保持一致。</w:t>
            </w:r>
          </w:p>
          <w:p w14:paraId="76FD9CE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禁止投标条款：</w:t>
            </w:r>
          </w:p>
          <w:p w14:paraId="46BB98F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4.1投标人不得存在下列情形之一：</w:t>
            </w:r>
          </w:p>
          <w:p w14:paraId="4D3F079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（1）为招标人不具有独立法人资格的附属机构（单位）；</w:t>
            </w:r>
          </w:p>
          <w:p w14:paraId="080C983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（2）为本招标项目前期准备提供设计或咨询服务的；</w:t>
            </w:r>
          </w:p>
          <w:p w14:paraId="65CE113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（3）与本招标项目的其他投标人为同一个单位负责人；</w:t>
            </w:r>
          </w:p>
          <w:p w14:paraId="0D422C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（4）与本招标项目的其他投标人存在控股、管理关系；</w:t>
            </w:r>
          </w:p>
          <w:p w14:paraId="78B892B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（5）为本招标项目的监理人；</w:t>
            </w:r>
          </w:p>
          <w:p w14:paraId="00FB888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（6）为本招标项目的代建人；</w:t>
            </w:r>
          </w:p>
          <w:p w14:paraId="411AE4A6">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（7）为本招标项目的招标代理机构；</w:t>
            </w:r>
          </w:p>
          <w:p w14:paraId="71B8800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（8）与本招标项目的监理人或代建人或招标代理机构同为一个法定代表人；</w:t>
            </w:r>
          </w:p>
          <w:p w14:paraId="63E618F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（9）与本招标项目的监理人或代建人或招标代理机构存在控股或参股关系；</w:t>
            </w:r>
          </w:p>
          <w:p w14:paraId="0758463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（10）与本招标项目的监理人或代建人或招标代理机构存在相互任职或工作关系；</w:t>
            </w:r>
          </w:p>
          <w:p w14:paraId="6520524D">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（11）被依法暂停或者取消投标资格；</w:t>
            </w:r>
          </w:p>
          <w:p w14:paraId="028733A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（12）被责令停产停业、暂扣或者吊销许可证、暂扣或者吊销执照；</w:t>
            </w:r>
          </w:p>
          <w:p w14:paraId="088AE537">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（13）进入清算程序，或被宣告破产，或其他丧失履约能力的情形；</w:t>
            </w:r>
          </w:p>
          <w:p w14:paraId="0563E14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（14）在最近三年内发生重大工程质量或安全问题（以相关行业主管部门的行政处罚决定或司法机关出具的有关法律文书为准）；</w:t>
            </w:r>
          </w:p>
          <w:p w14:paraId="68C2655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（15）被“信用中国”网站（https://www.creditchina.gov.cn）发布的《法人和非法人组织公共信用信息报告》列为严重失信主体名单的。</w:t>
            </w:r>
          </w:p>
          <w:p w14:paraId="13EF03F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4.2招标人拒绝以下名单中的单位参加本次投标：</w:t>
            </w:r>
          </w:p>
          <w:tbl>
            <w:tblPr>
              <w:tblStyle w:val="24"/>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3367"/>
              <w:gridCol w:w="2581"/>
            </w:tblGrid>
            <w:tr w14:paraId="146E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6" w:type="dxa"/>
                  <w:noWrap w:val="0"/>
                  <w:vAlign w:val="center"/>
                </w:tcPr>
                <w:p w14:paraId="4BB06581">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3367" w:type="dxa"/>
                  <w:noWrap w:val="0"/>
                  <w:vAlign w:val="center"/>
                </w:tcPr>
                <w:p w14:paraId="7E5B0103">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单位名称</w:t>
                  </w:r>
                </w:p>
              </w:tc>
              <w:tc>
                <w:tcPr>
                  <w:tcW w:w="2581" w:type="dxa"/>
                  <w:noWrap w:val="0"/>
                  <w:vAlign w:val="center"/>
                </w:tcPr>
                <w:p w14:paraId="7DDD6B2B">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拒绝原因</w:t>
                  </w:r>
                </w:p>
              </w:tc>
            </w:tr>
            <w:tr w14:paraId="4CAA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16" w:type="dxa"/>
                  <w:noWrap w:val="0"/>
                  <w:vAlign w:val="center"/>
                </w:tcPr>
                <w:p w14:paraId="6344DF3A">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367" w:type="dxa"/>
                  <w:noWrap w:val="0"/>
                  <w:vAlign w:val="center"/>
                </w:tcPr>
                <w:p w14:paraId="4AA45830">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韶关市武江区重阳镇人民政府</w:t>
                  </w:r>
                </w:p>
              </w:tc>
              <w:tc>
                <w:tcPr>
                  <w:tcW w:w="2581" w:type="dxa"/>
                  <w:noWrap w:val="0"/>
                  <w:vAlign w:val="center"/>
                </w:tcPr>
                <w:p w14:paraId="3B7C97B4">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en-US"/>
                    </w:rPr>
                    <w:t>为本招标项目的业主</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招标人</w:t>
                  </w:r>
                </w:p>
              </w:tc>
            </w:tr>
            <w:tr w14:paraId="5BD9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716" w:type="dxa"/>
                  <w:noWrap w:val="0"/>
                  <w:vAlign w:val="center"/>
                </w:tcPr>
                <w:p w14:paraId="3AC364B1">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3367" w:type="dxa"/>
                  <w:shd w:val="clear" w:color="auto" w:fill="auto"/>
                  <w:noWrap w:val="0"/>
                  <w:vAlign w:val="center"/>
                </w:tcPr>
                <w:p w14:paraId="3AA962D6">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广东宝骏工程咨询有限公司</w:t>
                  </w:r>
                </w:p>
              </w:tc>
              <w:tc>
                <w:tcPr>
                  <w:tcW w:w="2581" w:type="dxa"/>
                  <w:shd w:val="clear" w:color="auto" w:fill="auto"/>
                  <w:noWrap w:val="0"/>
                  <w:vAlign w:val="center"/>
                </w:tcPr>
                <w:p w14:paraId="64DEBD20">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为本招标项目的招标代理机构</w:t>
                  </w:r>
                </w:p>
              </w:tc>
            </w:tr>
            <w:tr w14:paraId="34F4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16" w:type="dxa"/>
                  <w:noWrap w:val="0"/>
                  <w:vAlign w:val="center"/>
                </w:tcPr>
                <w:p w14:paraId="101F92F6">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3367" w:type="dxa"/>
                  <w:shd w:val="clear" w:color="auto" w:fill="auto"/>
                  <w:noWrap w:val="0"/>
                  <w:vAlign w:val="center"/>
                </w:tcPr>
                <w:p w14:paraId="17D2AB23">
                  <w:pPr>
                    <w:spacing w:line="240" w:lineRule="auto"/>
                    <w:jc w:val="center"/>
                    <w:rPr>
                      <w:rFonts w:hint="eastAsia" w:ascii="宋体" w:hAnsi="宋体" w:eastAsia="宋体" w:cs="宋体"/>
                      <w:snapToGrid w:val="0"/>
                      <w:color w:val="auto"/>
                      <w:sz w:val="24"/>
                      <w:szCs w:val="24"/>
                      <w:lang w:val="en-US" w:eastAsia="zh-CN" w:bidi="ar-SA"/>
                    </w:rPr>
                  </w:pPr>
                  <w:r>
                    <w:rPr>
                      <w:rFonts w:hint="eastAsia" w:ascii="宋体" w:hAnsi="宋体" w:eastAsia="宋体" w:cs="宋体"/>
                      <w:color w:val="auto"/>
                      <w:sz w:val="24"/>
                      <w:szCs w:val="24"/>
                      <w:lang w:val="en-US" w:eastAsia="zh-CN"/>
                    </w:rPr>
                    <w:t>深圳市建星项目管理顾问有限公司</w:t>
                  </w:r>
                </w:p>
              </w:tc>
              <w:tc>
                <w:tcPr>
                  <w:tcW w:w="2581" w:type="dxa"/>
                  <w:shd w:val="clear" w:color="auto" w:fill="auto"/>
                  <w:noWrap w:val="0"/>
                  <w:vAlign w:val="center"/>
                </w:tcPr>
                <w:p w14:paraId="059548B1">
                  <w:pPr>
                    <w:spacing w:line="240" w:lineRule="auto"/>
                    <w:jc w:val="center"/>
                    <w:rPr>
                      <w:rFonts w:hint="eastAsia" w:ascii="宋体" w:hAnsi="宋体" w:eastAsia="宋体" w:cs="宋体"/>
                      <w:snapToGrid w:val="0"/>
                      <w:color w:val="auto"/>
                      <w:sz w:val="24"/>
                      <w:szCs w:val="24"/>
                      <w:lang w:val="en-US" w:eastAsia="en-US" w:bidi="ar-SA"/>
                    </w:rPr>
                  </w:pPr>
                  <w:r>
                    <w:rPr>
                      <w:rFonts w:hint="eastAsia" w:ascii="宋体" w:hAnsi="宋体" w:eastAsia="宋体" w:cs="宋体"/>
                      <w:color w:val="auto"/>
                      <w:sz w:val="24"/>
                      <w:szCs w:val="24"/>
                      <w:lang w:val="en-US" w:eastAsia="en-US"/>
                    </w:rPr>
                    <w:t>为本招标项目的可研编制单位</w:t>
                  </w:r>
                </w:p>
              </w:tc>
            </w:tr>
            <w:tr w14:paraId="6C25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16" w:type="dxa"/>
                  <w:noWrap w:val="0"/>
                  <w:vAlign w:val="center"/>
                </w:tcPr>
                <w:p w14:paraId="2A04E636">
                  <w:pPr>
                    <w:spacing w:line="24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3367" w:type="dxa"/>
                  <w:shd w:val="clear" w:color="auto" w:fill="auto"/>
                  <w:noWrap w:val="0"/>
                  <w:vAlign w:val="center"/>
                </w:tcPr>
                <w:p w14:paraId="58C5707C">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napToGrid w:val="0"/>
                      <w:color w:val="000000"/>
                      <w:sz w:val="24"/>
                      <w:szCs w:val="24"/>
                      <w:lang w:val="en-US" w:eastAsia="zh-CN" w:bidi="ar-SA"/>
                    </w:rPr>
                    <w:t>广东明正项目管理有限公司</w:t>
                  </w:r>
                </w:p>
              </w:tc>
              <w:tc>
                <w:tcPr>
                  <w:tcW w:w="2581" w:type="dxa"/>
                  <w:shd w:val="clear" w:color="auto" w:fill="auto"/>
                  <w:noWrap w:val="0"/>
                  <w:vAlign w:val="center"/>
                </w:tcPr>
                <w:p w14:paraId="3F40428E">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预算编制</w:t>
                  </w:r>
                  <w:r>
                    <w:rPr>
                      <w:rFonts w:hint="eastAsia" w:ascii="宋体" w:hAnsi="宋体" w:eastAsia="宋体" w:cs="宋体"/>
                      <w:sz w:val="24"/>
                      <w:szCs w:val="24"/>
                      <w:lang w:val="en-US" w:eastAsia="en-US"/>
                    </w:rPr>
                    <w:t>单位</w:t>
                  </w:r>
                </w:p>
              </w:tc>
            </w:tr>
            <w:tr w14:paraId="2C5F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16" w:type="dxa"/>
                  <w:noWrap w:val="0"/>
                  <w:vAlign w:val="center"/>
                </w:tcPr>
                <w:p w14:paraId="7A22C078">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367" w:type="dxa"/>
                  <w:shd w:val="clear" w:color="auto" w:fill="auto"/>
                  <w:noWrap w:val="0"/>
                  <w:vAlign w:val="center"/>
                </w:tcPr>
                <w:p w14:paraId="7FB2D2E1">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napToGrid w:val="0"/>
                      <w:color w:val="000000"/>
                      <w:sz w:val="24"/>
                      <w:szCs w:val="24"/>
                      <w:lang w:val="en-US" w:eastAsia="zh-CN" w:bidi="ar-SA"/>
                    </w:rPr>
                    <w:t>广东泰通伟业工程咨询有限公司</w:t>
                  </w:r>
                </w:p>
              </w:tc>
              <w:tc>
                <w:tcPr>
                  <w:tcW w:w="2581" w:type="dxa"/>
                  <w:shd w:val="clear" w:color="auto" w:fill="auto"/>
                  <w:noWrap w:val="0"/>
                  <w:vAlign w:val="center"/>
                </w:tcPr>
                <w:p w14:paraId="1843D1EA">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预算审核</w:t>
                  </w:r>
                  <w:r>
                    <w:rPr>
                      <w:rFonts w:hint="eastAsia" w:ascii="宋体" w:hAnsi="宋体" w:eastAsia="宋体" w:cs="宋体"/>
                      <w:sz w:val="24"/>
                      <w:szCs w:val="24"/>
                      <w:lang w:val="en-US" w:eastAsia="en-US"/>
                    </w:rPr>
                    <w:t>单位</w:t>
                  </w:r>
                </w:p>
              </w:tc>
            </w:tr>
            <w:tr w14:paraId="5481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16" w:type="dxa"/>
                  <w:shd w:val="clear" w:color="auto" w:fill="auto"/>
                  <w:noWrap w:val="0"/>
                  <w:vAlign w:val="center"/>
                </w:tcPr>
                <w:p w14:paraId="360BD2AA">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6</w:t>
                  </w:r>
                </w:p>
              </w:tc>
              <w:tc>
                <w:tcPr>
                  <w:tcW w:w="3367" w:type="dxa"/>
                  <w:shd w:val="clear" w:color="auto" w:fill="auto"/>
                  <w:noWrap w:val="0"/>
                  <w:vAlign w:val="center"/>
                </w:tcPr>
                <w:p w14:paraId="1C8EB9B7">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中誉恒信工程咨询有限公司</w:t>
                  </w:r>
                </w:p>
              </w:tc>
              <w:tc>
                <w:tcPr>
                  <w:tcW w:w="2581" w:type="dxa"/>
                  <w:shd w:val="clear" w:color="auto" w:fill="auto"/>
                  <w:noWrap w:val="0"/>
                  <w:vAlign w:val="center"/>
                </w:tcPr>
                <w:p w14:paraId="676CEB2A">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设计单位</w:t>
                  </w:r>
                </w:p>
              </w:tc>
            </w:tr>
          </w:tbl>
          <w:p w14:paraId="3ECF328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其他要求</w:t>
            </w:r>
          </w:p>
          <w:p w14:paraId="03177DF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5450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599E045">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27</w:t>
            </w:r>
          </w:p>
        </w:tc>
        <w:tc>
          <w:tcPr>
            <w:tcW w:w="2433" w:type="dxa"/>
            <w:shd w:val="clear" w:color="auto" w:fill="auto"/>
            <w:vAlign w:val="top"/>
          </w:tcPr>
          <w:p w14:paraId="1996812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投标有效期</w:t>
            </w:r>
          </w:p>
        </w:tc>
        <w:tc>
          <w:tcPr>
            <w:tcW w:w="6900" w:type="dxa"/>
            <w:shd w:val="clear" w:color="auto" w:fill="auto"/>
            <w:vAlign w:val="top"/>
          </w:tcPr>
          <w:p w14:paraId="3CCC57B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本次招标的投标有效期为</w:t>
            </w:r>
            <w:r>
              <w:rPr>
                <w:rFonts w:hint="eastAsia" w:ascii="宋体" w:hAnsi="宋体" w:eastAsia="宋体" w:cs="宋体"/>
                <w:sz w:val="24"/>
                <w:szCs w:val="24"/>
                <w:lang w:eastAsia="zh-CN"/>
              </w:rPr>
              <w:t>90</w:t>
            </w:r>
            <w:r>
              <w:rPr>
                <w:rFonts w:hint="eastAsia" w:ascii="宋体" w:hAnsi="宋体" w:eastAsia="宋体" w:cs="宋体"/>
                <w:sz w:val="24"/>
                <w:szCs w:val="24"/>
              </w:rPr>
              <w:t>个日历天。</w:t>
            </w:r>
          </w:p>
        </w:tc>
      </w:tr>
      <w:tr w14:paraId="55C2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1A2D2C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28</w:t>
            </w:r>
          </w:p>
        </w:tc>
        <w:tc>
          <w:tcPr>
            <w:tcW w:w="2433" w:type="dxa"/>
            <w:shd w:val="clear" w:color="auto" w:fill="auto"/>
            <w:vAlign w:val="center"/>
          </w:tcPr>
          <w:p w14:paraId="726C8184">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投标文件</w:t>
            </w:r>
            <w:r>
              <w:rPr>
                <w:rFonts w:hint="eastAsia" w:ascii="宋体" w:hAnsi="宋体" w:eastAsia="宋体" w:cs="宋体"/>
                <w:sz w:val="24"/>
                <w:szCs w:val="24"/>
                <w:lang w:eastAsia="zh-CN"/>
              </w:rPr>
              <w:t>组成</w:t>
            </w:r>
          </w:p>
        </w:tc>
        <w:tc>
          <w:tcPr>
            <w:tcW w:w="6900" w:type="dxa"/>
            <w:shd w:val="clear" w:color="auto" w:fill="auto"/>
            <w:vAlign w:val="top"/>
          </w:tcPr>
          <w:p w14:paraId="47A6D59A">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投标文件包括商务标书、经济标书、施工组织设计三个分册。</w:t>
            </w:r>
          </w:p>
        </w:tc>
      </w:tr>
      <w:tr w14:paraId="6427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33" w:type="dxa"/>
            <w:shd w:val="clear" w:color="auto" w:fill="auto"/>
            <w:vAlign w:val="center"/>
          </w:tcPr>
          <w:p w14:paraId="310ECC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29</w:t>
            </w:r>
          </w:p>
        </w:tc>
        <w:tc>
          <w:tcPr>
            <w:tcW w:w="2433" w:type="dxa"/>
            <w:shd w:val="clear" w:color="auto" w:fill="auto"/>
            <w:vAlign w:val="center"/>
          </w:tcPr>
          <w:p w14:paraId="14C92DF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施工组织设计评审方式</w:t>
            </w:r>
          </w:p>
        </w:tc>
        <w:tc>
          <w:tcPr>
            <w:tcW w:w="6900" w:type="dxa"/>
            <w:shd w:val="clear" w:color="auto" w:fill="auto"/>
            <w:vAlign w:val="top"/>
          </w:tcPr>
          <w:p w14:paraId="0A751A8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本次招标施工组织设计不采用“暗标”方式进行评审。</w:t>
            </w:r>
          </w:p>
        </w:tc>
      </w:tr>
      <w:tr w14:paraId="736B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3B0A8D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30</w:t>
            </w:r>
          </w:p>
        </w:tc>
        <w:tc>
          <w:tcPr>
            <w:tcW w:w="2433" w:type="dxa"/>
            <w:shd w:val="clear" w:color="auto" w:fill="auto"/>
            <w:vAlign w:val="center"/>
          </w:tcPr>
          <w:p w14:paraId="2455FFE5">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评标委员会</w:t>
            </w:r>
          </w:p>
        </w:tc>
        <w:tc>
          <w:tcPr>
            <w:tcW w:w="6900" w:type="dxa"/>
            <w:shd w:val="clear" w:color="auto" w:fill="auto"/>
            <w:vAlign w:val="top"/>
          </w:tcPr>
          <w:p w14:paraId="5A2AA78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评标委员会由5人组成，其中招标人代表0人，专家5人。专家从广东省综合评标评审专家库-韶关区域中随机抽取，其中技术类专家3人，经济类专家2人。</w:t>
            </w:r>
          </w:p>
        </w:tc>
      </w:tr>
      <w:tr w14:paraId="3A89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65D23A1">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31</w:t>
            </w:r>
          </w:p>
        </w:tc>
        <w:tc>
          <w:tcPr>
            <w:tcW w:w="2433" w:type="dxa"/>
            <w:shd w:val="clear" w:color="auto" w:fill="auto"/>
            <w:vAlign w:val="center"/>
          </w:tcPr>
          <w:p w14:paraId="594609B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评标方法</w:t>
            </w:r>
          </w:p>
        </w:tc>
        <w:tc>
          <w:tcPr>
            <w:tcW w:w="6900" w:type="dxa"/>
            <w:shd w:val="clear" w:color="auto" w:fill="auto"/>
            <w:vAlign w:val="top"/>
          </w:tcPr>
          <w:p w14:paraId="1779EDB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 xml:space="preserve">□A＋B值评标法   □经评审的最低投标价法    </w:t>
            </w:r>
            <w:r>
              <w:rPr>
                <w:rFonts w:hint="eastAsia" w:ascii="宋体" w:hAnsi="宋体" w:eastAsia="宋体" w:cs="宋体"/>
                <w:sz w:val="24"/>
                <w:szCs w:val="24"/>
                <w:lang w:eastAsia="zh-CN"/>
              </w:rPr>
              <w:t>☑</w:t>
            </w:r>
            <w:r>
              <w:rPr>
                <w:rFonts w:hint="eastAsia" w:ascii="宋体" w:hAnsi="宋体" w:eastAsia="宋体" w:cs="宋体"/>
                <w:sz w:val="24"/>
                <w:szCs w:val="24"/>
              </w:rPr>
              <w:t>综合评估法</w:t>
            </w:r>
          </w:p>
        </w:tc>
      </w:tr>
      <w:tr w14:paraId="09C9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698880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32</w:t>
            </w:r>
          </w:p>
        </w:tc>
        <w:tc>
          <w:tcPr>
            <w:tcW w:w="2433" w:type="dxa"/>
            <w:shd w:val="clear" w:color="auto" w:fill="auto"/>
            <w:vAlign w:val="center"/>
          </w:tcPr>
          <w:p w14:paraId="0616331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招标文件要求提交的用于评审的证书、证件、证明原件</w:t>
            </w:r>
          </w:p>
        </w:tc>
        <w:tc>
          <w:tcPr>
            <w:tcW w:w="6900" w:type="dxa"/>
            <w:shd w:val="clear" w:color="auto" w:fill="auto"/>
            <w:vAlign w:val="top"/>
          </w:tcPr>
          <w:p w14:paraId="34CDEF87">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投标人在提交用于评审的证书、证件、证明原件的，投标人应自行将所需原件密封于文件袋（箱）中，并自行准备两张“原件一览表”(详见格式</w:t>
            </w:r>
            <w:r>
              <w:rPr>
                <w:rFonts w:hint="eastAsia" w:ascii="宋体" w:hAnsi="宋体" w:eastAsia="宋体" w:cs="宋体"/>
                <w:sz w:val="24"/>
                <w:szCs w:val="24"/>
                <w:lang w:eastAsia="zh-CN"/>
              </w:rPr>
              <w:t>十四</w:t>
            </w:r>
            <w:r>
              <w:rPr>
                <w:rFonts w:hint="eastAsia" w:ascii="宋体" w:hAnsi="宋体" w:eastAsia="宋体" w:cs="宋体"/>
                <w:sz w:val="24"/>
                <w:szCs w:val="24"/>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1B25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7E0A92C">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p>
        </w:tc>
        <w:tc>
          <w:tcPr>
            <w:tcW w:w="2433" w:type="dxa"/>
            <w:shd w:val="clear" w:color="auto" w:fill="auto"/>
            <w:vAlign w:val="center"/>
          </w:tcPr>
          <w:p w14:paraId="28EA2522">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招标人</w:t>
            </w:r>
          </w:p>
          <w:p w14:paraId="69D92E9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联系方式</w:t>
            </w:r>
          </w:p>
        </w:tc>
        <w:tc>
          <w:tcPr>
            <w:tcW w:w="6900" w:type="dxa"/>
            <w:shd w:val="clear" w:color="auto" w:fill="auto"/>
            <w:vAlign w:val="center"/>
          </w:tcPr>
          <w:p w14:paraId="22C8375A">
            <w:pPr>
              <w:widowControl w:val="0"/>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单位名称：韶关市武江区重阳镇人民政府</w:t>
            </w:r>
          </w:p>
          <w:p w14:paraId="57EE7C2F">
            <w:pPr>
              <w:widowControl w:val="0"/>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办公地址：韶关市武江区重阳镇河北街1号</w:t>
            </w:r>
          </w:p>
          <w:p w14:paraId="1B6235D2">
            <w:pPr>
              <w:widowControl w:val="0"/>
              <w:spacing w:line="360" w:lineRule="auto"/>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联系人：刘工</w:t>
            </w:r>
          </w:p>
          <w:p w14:paraId="34AAD0E0">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联系电话：0751-6546013</w:t>
            </w:r>
          </w:p>
        </w:tc>
      </w:tr>
      <w:tr w14:paraId="483B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3FB5766">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4</w:t>
            </w:r>
          </w:p>
        </w:tc>
        <w:tc>
          <w:tcPr>
            <w:tcW w:w="2433" w:type="dxa"/>
            <w:shd w:val="clear" w:color="auto" w:fill="auto"/>
            <w:vAlign w:val="center"/>
          </w:tcPr>
          <w:p w14:paraId="2F48F80F">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招标代理机构</w:t>
            </w:r>
          </w:p>
          <w:p w14:paraId="3818F3A0">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联系方式</w:t>
            </w:r>
          </w:p>
        </w:tc>
        <w:tc>
          <w:tcPr>
            <w:tcW w:w="6900" w:type="dxa"/>
            <w:shd w:val="clear" w:color="auto" w:fill="auto"/>
            <w:vAlign w:val="center"/>
          </w:tcPr>
          <w:p w14:paraId="5ED6A83F">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单位名称：广东宝骏工程咨询有限公司</w:t>
            </w:r>
          </w:p>
          <w:p w14:paraId="50A090AE">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办公地址：韶关市武江区工业东路23号核工业二九〇研究所院内</w:t>
            </w:r>
          </w:p>
          <w:p w14:paraId="2726A17A">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联系人：杨工</w:t>
            </w:r>
          </w:p>
          <w:p w14:paraId="4CC0E68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联系电话：0751-8167696</w:t>
            </w:r>
          </w:p>
        </w:tc>
      </w:tr>
      <w:tr w14:paraId="569D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DA0C3A1">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5</w:t>
            </w:r>
          </w:p>
        </w:tc>
        <w:tc>
          <w:tcPr>
            <w:tcW w:w="2433" w:type="dxa"/>
            <w:shd w:val="clear" w:color="auto" w:fill="auto"/>
            <w:vAlign w:val="center"/>
          </w:tcPr>
          <w:p w14:paraId="564881A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交易场所联系方式</w:t>
            </w:r>
          </w:p>
        </w:tc>
        <w:tc>
          <w:tcPr>
            <w:tcW w:w="6900" w:type="dxa"/>
            <w:shd w:val="clear" w:color="auto" w:fill="auto"/>
            <w:vAlign w:val="center"/>
          </w:tcPr>
          <w:p w14:paraId="22007D5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单位名称：韶关市公共资源交易中心</w:t>
            </w:r>
          </w:p>
          <w:p w14:paraId="5D20F9A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 xml:space="preserve">办公地址：广东省韶关市武江区西联镇 </w:t>
            </w:r>
          </w:p>
          <w:p w14:paraId="189A43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联系人（部门）：工程交易部</w:t>
            </w:r>
          </w:p>
          <w:p w14:paraId="360E3C3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联系电话：0751-8633071、0751-8633211</w:t>
            </w:r>
          </w:p>
        </w:tc>
      </w:tr>
      <w:tr w14:paraId="5203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97DD533">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2433" w:type="dxa"/>
            <w:shd w:val="clear" w:color="auto" w:fill="auto"/>
            <w:vAlign w:val="center"/>
          </w:tcPr>
          <w:p w14:paraId="7E9323A7">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行政监督部</w:t>
            </w:r>
          </w:p>
          <w:p w14:paraId="28EC7F5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门联系方式</w:t>
            </w:r>
          </w:p>
        </w:tc>
        <w:tc>
          <w:tcPr>
            <w:tcW w:w="6900" w:type="dxa"/>
            <w:shd w:val="clear" w:color="auto" w:fill="auto"/>
            <w:vAlign w:val="center"/>
          </w:tcPr>
          <w:p w14:paraId="74AAC66E">
            <w:pPr>
              <w:widowControl w:val="0"/>
              <w:spacing w:line="360" w:lineRule="auto"/>
              <w:jc w:val="both"/>
              <w:rPr>
                <w:rFonts w:hint="eastAsia" w:ascii="宋体" w:hAnsi="宋体" w:eastAsia="宋体" w:cs="宋体"/>
                <w:sz w:val="24"/>
                <w:szCs w:val="24"/>
                <w:lang w:val="zh-CN"/>
              </w:rPr>
            </w:pPr>
            <w:r>
              <w:rPr>
                <w:rFonts w:hint="eastAsia" w:ascii="宋体" w:hAnsi="宋体" w:eastAsia="宋体" w:cs="宋体"/>
                <w:sz w:val="24"/>
                <w:szCs w:val="24"/>
                <w:lang w:val="zh-CN"/>
              </w:rPr>
              <w:t>单位名称：韶关市武江区农业农村局</w:t>
            </w:r>
          </w:p>
          <w:p w14:paraId="14F86DD6">
            <w:pPr>
              <w:widowControl w:val="0"/>
              <w:spacing w:line="360" w:lineRule="auto"/>
              <w:jc w:val="both"/>
              <w:rPr>
                <w:rFonts w:hint="eastAsia" w:ascii="宋体" w:hAnsi="宋体" w:eastAsia="宋体" w:cs="宋体"/>
                <w:sz w:val="24"/>
                <w:szCs w:val="24"/>
                <w:lang w:val="zh-CN"/>
              </w:rPr>
            </w:pPr>
            <w:r>
              <w:rPr>
                <w:rFonts w:hint="eastAsia" w:ascii="宋体" w:hAnsi="宋体" w:eastAsia="宋体" w:cs="宋体"/>
                <w:sz w:val="24"/>
                <w:szCs w:val="24"/>
                <w:lang w:val="zh-CN"/>
              </w:rPr>
              <w:t>办公地址：广东省韶关市武江区惠民南路128号</w:t>
            </w:r>
          </w:p>
          <w:p w14:paraId="3319B04C">
            <w:pPr>
              <w:widowControl w:val="0"/>
              <w:spacing w:line="360" w:lineRule="auto"/>
              <w:jc w:val="both"/>
              <w:rPr>
                <w:rFonts w:hint="eastAsia" w:ascii="宋体" w:hAnsi="宋体" w:eastAsia="宋体" w:cs="宋体"/>
                <w:sz w:val="24"/>
                <w:szCs w:val="24"/>
                <w:lang w:val="zh-CN"/>
              </w:rPr>
            </w:pPr>
            <w:r>
              <w:rPr>
                <w:rFonts w:hint="eastAsia" w:ascii="宋体" w:hAnsi="宋体" w:eastAsia="宋体" w:cs="宋体"/>
                <w:sz w:val="24"/>
                <w:szCs w:val="24"/>
                <w:lang w:val="zh-CN"/>
              </w:rPr>
              <w:t>联系人（部门）：梁工</w:t>
            </w:r>
          </w:p>
          <w:p w14:paraId="7AFD4420">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zh-CN"/>
              </w:rPr>
              <w:t>联系电话：0751-8623830</w:t>
            </w:r>
          </w:p>
        </w:tc>
      </w:tr>
    </w:tbl>
    <w:p w14:paraId="3633BE88">
      <w:pPr>
        <w:rPr>
          <w:rFonts w:hint="eastAsia" w:ascii="宋体" w:hAnsi="宋体" w:eastAsia="宋体" w:cs="宋体"/>
        </w:rPr>
      </w:pPr>
    </w:p>
    <w:p w14:paraId="202FDF33">
      <w:pPr>
        <w:rPr>
          <w:rFonts w:hint="eastAsia" w:ascii="宋体" w:hAnsi="宋体" w:eastAsia="宋体" w:cs="宋体"/>
        </w:rPr>
      </w:pPr>
    </w:p>
    <w:p w14:paraId="6FFDB034">
      <w:pPr>
        <w:rPr>
          <w:rFonts w:hint="eastAsia" w:ascii="宋体" w:hAnsi="宋体" w:eastAsia="宋体" w:cs="宋体"/>
        </w:rPr>
      </w:pPr>
    </w:p>
    <w:p w14:paraId="23F190A9">
      <w:pPr>
        <w:rPr>
          <w:rFonts w:hint="eastAsia" w:ascii="宋体" w:hAnsi="宋体" w:eastAsia="宋体" w:cs="宋体"/>
        </w:rPr>
      </w:pPr>
    </w:p>
    <w:p w14:paraId="63CC66DC">
      <w:pPr>
        <w:rPr>
          <w:rFonts w:hint="eastAsia" w:ascii="宋体" w:hAnsi="宋体" w:eastAsia="宋体" w:cs="宋体"/>
        </w:rPr>
      </w:pPr>
      <w:bookmarkStart w:id="6" w:name="bookmark115"/>
      <w:bookmarkEnd w:id="6"/>
      <w:bookmarkStart w:id="7" w:name="_Toc10868"/>
    </w:p>
    <w:p w14:paraId="185FA4A9">
      <w:pPr>
        <w:spacing w:before="156" w:line="360" w:lineRule="auto"/>
        <w:ind w:left="17"/>
        <w:outlineLvl w:val="1"/>
        <w:rPr>
          <w:rFonts w:hint="eastAsia" w:ascii="宋体" w:hAnsi="宋体" w:eastAsia="宋体" w:cs="宋体"/>
          <w:b/>
          <w:bCs/>
          <w:color w:val="auto"/>
          <w:spacing w:val="-3"/>
          <w:sz w:val="24"/>
          <w:szCs w:val="24"/>
          <w:highlight w:val="none"/>
        </w:rPr>
      </w:pPr>
      <w:bookmarkStart w:id="8" w:name="_Toc18441"/>
      <w:r>
        <w:rPr>
          <w:rFonts w:hint="eastAsia" w:ascii="宋体" w:hAnsi="宋体" w:eastAsia="宋体" w:cs="宋体"/>
          <w:b/>
          <w:bCs/>
          <w:color w:val="auto"/>
          <w:spacing w:val="-3"/>
          <w:sz w:val="24"/>
          <w:szCs w:val="24"/>
          <w:highlight w:val="none"/>
        </w:rPr>
        <w:t>第二节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重要事项时间地点一览表</w:t>
      </w:r>
      <w:bookmarkEnd w:id="7"/>
      <w:bookmarkEnd w:id="8"/>
    </w:p>
    <w:tbl>
      <w:tblPr>
        <w:tblStyle w:val="24"/>
        <w:tblW w:w="985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527"/>
        <w:gridCol w:w="7726"/>
      </w:tblGrid>
      <w:tr w14:paraId="71599B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0"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74F5C4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A4F2023">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4F7CFA9B">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发布时间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0F68EC28">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08</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18</w:t>
            </w:r>
            <w:r>
              <w:rPr>
                <w:rFonts w:hint="eastAsia" w:ascii="宋体" w:hAnsi="宋体" w:eastAsia="宋体" w:cs="宋体"/>
                <w:snapToGrid w:val="0"/>
                <w:color w:val="auto"/>
                <w:kern w:val="0"/>
                <w:sz w:val="24"/>
                <w:highlight w:val="none"/>
                <w:lang w:val="en-US" w:eastAsia="zh-CN"/>
              </w:rPr>
              <w:t>日</w:t>
            </w:r>
            <w:r>
              <w:rPr>
                <w:rFonts w:hint="eastAsia" w:ascii="宋体" w:hAnsi="宋体" w:cs="宋体"/>
                <w:snapToGrid w:val="0"/>
                <w:color w:val="auto"/>
                <w:kern w:val="0"/>
                <w:sz w:val="24"/>
                <w:highlight w:val="none"/>
                <w:lang w:val="en-US" w:eastAsia="zh-CN"/>
              </w:rPr>
              <w:t>16</w:t>
            </w:r>
            <w:r>
              <w:rPr>
                <w:rFonts w:hint="eastAsia" w:ascii="宋体" w:hAnsi="宋体" w:eastAsia="宋体" w:cs="宋体"/>
                <w:snapToGrid w:val="0"/>
                <w:color w:val="auto"/>
                <w:kern w:val="0"/>
                <w:sz w:val="24"/>
                <w:highlight w:val="none"/>
                <w:lang w:val="en-US" w:eastAsia="zh-CN"/>
              </w:rPr>
              <w:t>时</w:t>
            </w:r>
            <w:r>
              <w:rPr>
                <w:rFonts w:hint="eastAsia" w:ascii="宋体" w:hAnsi="宋体" w:cs="宋体"/>
                <w:snapToGrid w:val="0"/>
                <w:color w:val="auto"/>
                <w:kern w:val="0"/>
                <w:sz w:val="24"/>
                <w:highlight w:val="none"/>
                <w:lang w:val="en-US" w:eastAsia="zh-CN"/>
              </w:rPr>
              <w:t>00</w:t>
            </w:r>
            <w:r>
              <w:rPr>
                <w:rFonts w:hint="eastAsia" w:ascii="宋体" w:hAnsi="宋体" w:eastAsia="宋体" w:cs="宋体"/>
                <w:snapToGrid w:val="0"/>
                <w:color w:val="auto"/>
                <w:kern w:val="0"/>
                <w:sz w:val="24"/>
                <w:highlight w:val="none"/>
                <w:lang w:val="en-US" w:eastAsia="zh-CN"/>
              </w:rPr>
              <w:t>分</w:t>
            </w:r>
          </w:p>
        </w:tc>
      </w:tr>
      <w:tr w14:paraId="201827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8"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5E66AA9F">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7AB2F580">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w:t>
            </w:r>
          </w:p>
          <w:p w14:paraId="0394C5DD">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773B1D0A">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日09时30分</w:t>
            </w:r>
          </w:p>
        </w:tc>
      </w:tr>
      <w:tr w14:paraId="25C28D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152C94F6">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962995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45B8CAE5">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EE57C6A">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08</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30</w:t>
            </w:r>
            <w:r>
              <w:rPr>
                <w:rFonts w:hint="eastAsia" w:ascii="宋体" w:hAnsi="宋体" w:eastAsia="宋体" w:cs="宋体"/>
                <w:snapToGrid w:val="0"/>
                <w:color w:val="auto"/>
                <w:kern w:val="0"/>
                <w:sz w:val="24"/>
                <w:highlight w:val="none"/>
                <w:lang w:val="en-US" w:eastAsia="zh-CN"/>
              </w:rPr>
              <w:t>日16时00分</w:t>
            </w:r>
          </w:p>
        </w:tc>
      </w:tr>
      <w:tr w14:paraId="4DF328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0"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473A734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6ADEFF61">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7BD92372">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5C2D5569">
            <w:pPr>
              <w:pStyle w:val="34"/>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rPr>
            </w:pP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08</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30</w:t>
            </w:r>
            <w:r>
              <w:rPr>
                <w:rFonts w:hint="eastAsia" w:ascii="宋体" w:hAnsi="宋体" w:eastAsia="宋体" w:cs="宋体"/>
                <w:snapToGrid w:val="0"/>
                <w:color w:val="auto"/>
                <w:kern w:val="0"/>
                <w:sz w:val="24"/>
                <w:highlight w:val="none"/>
                <w:lang w:val="en-US" w:eastAsia="zh-CN"/>
              </w:rPr>
              <w:t>日16时30分</w:t>
            </w:r>
            <w:r>
              <w:rPr>
                <w:rFonts w:hint="eastAsia" w:ascii="宋体" w:hAnsi="宋体" w:eastAsia="宋体" w:cs="宋体"/>
                <w:snapToGrid w:val="0"/>
                <w:color w:val="auto"/>
                <w:kern w:val="0"/>
                <w:sz w:val="24"/>
                <w:szCs w:val="24"/>
                <w:highlight w:val="none"/>
                <w:u w:val="none"/>
              </w:rPr>
              <w:t>至</w:t>
            </w:r>
            <w:r>
              <w:rPr>
                <w:rFonts w:hint="eastAsia" w:ascii="宋体" w:hAnsi="宋体" w:cs="宋体"/>
                <w:snapToGrid w:val="0"/>
                <w:color w:val="auto"/>
                <w:kern w:val="0"/>
                <w:sz w:val="24"/>
                <w:szCs w:val="24"/>
                <w:highlight w:val="none"/>
                <w:u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02</w:t>
            </w:r>
            <w:r>
              <w:rPr>
                <w:rFonts w:hint="eastAsia" w:ascii="宋体" w:hAnsi="宋体" w:eastAsia="宋体" w:cs="宋体"/>
                <w:snapToGrid w:val="0"/>
                <w:color w:val="auto"/>
                <w:kern w:val="0"/>
                <w:sz w:val="24"/>
                <w:highlight w:val="none"/>
                <w:lang w:val="en-US" w:eastAsia="zh-CN"/>
              </w:rPr>
              <w:t>日16时00分</w:t>
            </w:r>
          </w:p>
        </w:tc>
      </w:tr>
      <w:tr w14:paraId="4CEC3A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17"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1730499">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5B21FAAC">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61124B54">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1ADC98A9">
            <w:pPr>
              <w:pStyle w:val="34"/>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投标保证金到账截止时间：</w:t>
            </w: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08</w:t>
            </w:r>
            <w:r>
              <w:rPr>
                <w:rFonts w:hint="eastAsia" w:ascii="宋体" w:hAnsi="宋体" w:eastAsia="宋体" w:cs="宋体"/>
                <w:snapToGrid w:val="0"/>
                <w:color w:val="auto"/>
                <w:kern w:val="0"/>
                <w:sz w:val="24"/>
                <w:highlight w:val="none"/>
                <w:lang w:val="en-US" w:eastAsia="zh-CN"/>
              </w:rPr>
              <w:t>日09时30分</w:t>
            </w:r>
          </w:p>
          <w:p w14:paraId="461BA50F">
            <w:pPr>
              <w:pStyle w:val="34"/>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投标保证担保上传截止时间：</w:t>
            </w: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08</w:t>
            </w:r>
            <w:r>
              <w:rPr>
                <w:rFonts w:hint="eastAsia" w:ascii="宋体" w:hAnsi="宋体" w:eastAsia="宋体" w:cs="宋体"/>
                <w:snapToGrid w:val="0"/>
                <w:color w:val="auto"/>
                <w:kern w:val="0"/>
                <w:sz w:val="24"/>
                <w:highlight w:val="none"/>
                <w:lang w:val="en-US" w:eastAsia="zh-CN"/>
              </w:rPr>
              <w:t>日09时30分</w:t>
            </w:r>
          </w:p>
          <w:p w14:paraId="1DEB2FA3">
            <w:pPr>
              <w:pStyle w:val="34"/>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投标保证保险投保截止时间：</w:t>
            </w: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08</w:t>
            </w:r>
            <w:r>
              <w:rPr>
                <w:rFonts w:hint="eastAsia" w:ascii="宋体" w:hAnsi="宋体" w:eastAsia="宋体" w:cs="宋体"/>
                <w:snapToGrid w:val="0"/>
                <w:color w:val="auto"/>
                <w:kern w:val="0"/>
                <w:sz w:val="24"/>
                <w:highlight w:val="none"/>
                <w:lang w:val="en-US" w:eastAsia="zh-CN"/>
              </w:rPr>
              <w:t>日09时30分</w:t>
            </w:r>
          </w:p>
        </w:tc>
      </w:tr>
      <w:tr w14:paraId="012438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78"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94AC2B7">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6E2A5C91">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电子投标</w:t>
            </w:r>
          </w:p>
          <w:p w14:paraId="260E1535">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0C0C367C">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日09时30分</w:t>
            </w:r>
          </w:p>
        </w:tc>
      </w:tr>
      <w:tr w14:paraId="390BB3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4"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61F09BB2">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226F03A7">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投标相关资料（如有）递交时间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28FBCF9">
            <w:pPr>
              <w:pStyle w:val="34"/>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rPr>
            </w:pP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日09时00分</w:t>
            </w:r>
            <w:r>
              <w:rPr>
                <w:rFonts w:hint="eastAsia" w:ascii="宋体" w:hAnsi="宋体" w:eastAsia="宋体" w:cs="宋体"/>
                <w:snapToGrid w:val="0"/>
                <w:color w:val="auto"/>
                <w:kern w:val="0"/>
                <w:sz w:val="24"/>
                <w:szCs w:val="24"/>
                <w:highlight w:val="none"/>
                <w:u w:val="none"/>
              </w:rPr>
              <w:t>至</w:t>
            </w: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日09时30分</w:t>
            </w:r>
          </w:p>
        </w:tc>
      </w:tr>
      <w:tr w14:paraId="2D1D25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72BCF6AA">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2D65EBA6">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投标相关资料（如有）递交地点</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4D932D98">
            <w:pPr>
              <w:pStyle w:val="20"/>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lang w:eastAsia="zh-CN"/>
              </w:rPr>
            </w:pPr>
            <w:r>
              <w:rPr>
                <w:rFonts w:hint="eastAsia" w:ascii="宋体" w:hAnsi="宋体" w:eastAsia="宋体" w:cs="宋体"/>
                <w:snapToGrid w:val="0"/>
                <w:color w:val="auto"/>
                <w:kern w:val="0"/>
                <w:sz w:val="24"/>
                <w:szCs w:val="24"/>
                <w:highlight w:val="none"/>
                <w:u w:val="none"/>
                <w:lang w:eastAsia="zh-CN"/>
              </w:rPr>
              <w:t>递交</w:t>
            </w:r>
            <w:r>
              <w:rPr>
                <w:rFonts w:hint="eastAsia" w:ascii="宋体" w:hAnsi="宋体" w:eastAsia="宋体" w:cs="宋体"/>
                <w:snapToGrid w:val="0"/>
                <w:color w:val="auto"/>
                <w:kern w:val="0"/>
                <w:sz w:val="24"/>
                <w:szCs w:val="24"/>
                <w:highlight w:val="none"/>
                <w:u w:val="none"/>
              </w:rPr>
              <w:t>场所：</w:t>
            </w:r>
            <w:r>
              <w:rPr>
                <w:rFonts w:hint="eastAsia" w:ascii="宋体" w:hAnsi="宋体" w:eastAsia="宋体" w:cs="宋体"/>
                <w:snapToGrid w:val="0"/>
                <w:color w:val="auto"/>
                <w:kern w:val="0"/>
                <w:sz w:val="24"/>
                <w:szCs w:val="24"/>
                <w:highlight w:val="none"/>
                <w:u w:val="none"/>
                <w:lang w:val="en-US" w:eastAsia="zh-CN"/>
              </w:rPr>
              <w:t>韶关市公共资源交易中心</w:t>
            </w:r>
          </w:p>
          <w:p w14:paraId="6164DD43">
            <w:pPr>
              <w:pStyle w:val="49"/>
              <w:widowControl w:val="0"/>
              <w:wordWrap w:val="0"/>
              <w:snapToGrid w:val="0"/>
              <w:spacing w:before="0" w:beforeAutospacing="0" w:after="0" w:afterAutospacing="0" w:line="360" w:lineRule="auto"/>
              <w:ind w:firstLine="240" w:firstLineChars="100"/>
              <w:rPr>
                <w:rFonts w:hint="eastAsia" w:ascii="宋体" w:hAnsi="宋体" w:eastAsia="宋体" w:cs="宋体"/>
                <w:snapToGrid w:val="0"/>
                <w:color w:val="auto"/>
                <w:kern w:val="0"/>
                <w:sz w:val="24"/>
                <w:szCs w:val="24"/>
                <w:highlight w:val="none"/>
                <w:u w:val="none"/>
                <w:lang w:eastAsia="zh-CN"/>
              </w:rPr>
            </w:pPr>
            <w:r>
              <w:rPr>
                <w:rFonts w:hint="eastAsia" w:ascii="宋体" w:hAnsi="宋体" w:eastAsia="宋体" w:cs="宋体"/>
                <w:snapToGrid w:val="0"/>
                <w:color w:val="auto"/>
                <w:kern w:val="0"/>
                <w:sz w:val="24"/>
                <w:szCs w:val="24"/>
                <w:highlight w:val="none"/>
                <w:u w:val="none"/>
              </w:rPr>
              <w:t>地址：</w:t>
            </w:r>
            <w:r>
              <w:rPr>
                <w:rFonts w:hint="eastAsia" w:ascii="宋体" w:hAnsi="宋体" w:eastAsia="宋体" w:cs="宋体"/>
                <w:snapToGrid w:val="0"/>
                <w:color w:val="auto"/>
                <w:kern w:val="0"/>
                <w:sz w:val="24"/>
                <w:szCs w:val="24"/>
                <w:highlight w:val="none"/>
              </w:rPr>
              <w:t>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r>
              <w:rPr>
                <w:rFonts w:hint="eastAsia" w:ascii="宋体" w:hAnsi="宋体" w:eastAsia="宋体" w:cs="宋体"/>
                <w:snapToGrid w:val="0"/>
                <w:color w:val="auto"/>
                <w:kern w:val="0"/>
                <w:sz w:val="24"/>
                <w:szCs w:val="24"/>
                <w:highlight w:val="none"/>
                <w:lang w:eastAsia="zh-CN"/>
              </w:rPr>
              <w:t>。</w:t>
            </w:r>
          </w:p>
        </w:tc>
      </w:tr>
      <w:tr w14:paraId="1C05BF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9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1CD38B72">
            <w:pPr>
              <w:pStyle w:val="34"/>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9</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097BBC34">
            <w:pPr>
              <w:pStyle w:val="34"/>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开标时间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B807D9F">
            <w:pPr>
              <w:pStyle w:val="34"/>
              <w:wordWrap w:val="0"/>
              <w:adjustRightInd w:val="0"/>
              <w:snapToGrid w:val="0"/>
              <w:spacing w:line="360" w:lineRule="auto"/>
              <w:jc w:val="both"/>
              <w:rPr>
                <w:rFonts w:hint="eastAsia" w:ascii="宋体" w:hAnsi="宋体" w:eastAsia="宋体" w:cs="宋体"/>
                <w:snapToGrid w:val="0"/>
                <w:color w:val="auto"/>
                <w:kern w:val="0"/>
                <w:sz w:val="24"/>
                <w:highlight w:val="none"/>
              </w:rPr>
            </w:pPr>
            <w:r>
              <w:rPr>
                <w:rFonts w:hint="eastAsia" w:ascii="宋体" w:hAnsi="宋体" w:cs="宋体"/>
                <w:snapToGrid w:val="0"/>
                <w:color w:val="auto"/>
                <w:kern w:val="0"/>
                <w:sz w:val="24"/>
                <w:szCs w:val="24"/>
                <w:highlight w:val="none"/>
                <w:u w:val="none"/>
                <w:lang w:val="en-US" w:eastAsia="zh-CN"/>
              </w:rPr>
              <w:t xml:space="preserve">  </w:t>
            </w:r>
            <w:r>
              <w:rPr>
                <w:rFonts w:hint="eastAsia" w:ascii="宋体" w:hAnsi="宋体" w:cs="宋体"/>
                <w:snapToGrid w:val="0"/>
                <w:color w:val="auto"/>
                <w:kern w:val="0"/>
                <w:sz w:val="24"/>
                <w:highlight w:val="none"/>
                <w:lang w:val="en-US" w:eastAsia="zh-CN"/>
              </w:rPr>
              <w:t>2025</w:t>
            </w:r>
            <w:r>
              <w:rPr>
                <w:rFonts w:hint="eastAsia" w:ascii="宋体" w:hAnsi="宋体" w:eastAsia="宋体" w:cs="宋体"/>
                <w:snapToGrid w:val="0"/>
                <w:color w:val="auto"/>
                <w:kern w:val="0"/>
                <w:sz w:val="24"/>
                <w:highlight w:val="none"/>
                <w:lang w:val="en-US" w:eastAsia="zh-CN"/>
              </w:rPr>
              <w:t>年</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月</w:t>
            </w:r>
            <w:r>
              <w:rPr>
                <w:rFonts w:hint="eastAsia" w:ascii="宋体" w:hAnsi="宋体" w:cs="宋体"/>
                <w:snapToGrid w:val="0"/>
                <w:color w:val="auto"/>
                <w:kern w:val="0"/>
                <w:sz w:val="24"/>
                <w:highlight w:val="none"/>
                <w:lang w:val="en-US" w:eastAsia="zh-CN"/>
              </w:rPr>
              <w:t>09</w:t>
            </w:r>
            <w:r>
              <w:rPr>
                <w:rFonts w:hint="eastAsia" w:ascii="宋体" w:hAnsi="宋体" w:eastAsia="宋体" w:cs="宋体"/>
                <w:snapToGrid w:val="0"/>
                <w:color w:val="auto"/>
                <w:kern w:val="0"/>
                <w:sz w:val="24"/>
                <w:highlight w:val="none"/>
                <w:lang w:val="en-US" w:eastAsia="zh-CN"/>
              </w:rPr>
              <w:t>日09时30分</w:t>
            </w:r>
          </w:p>
        </w:tc>
      </w:tr>
      <w:tr w14:paraId="5BB941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2"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E6761C9">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06ACC4E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开标地点</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50EB6ACD">
            <w:pPr>
              <w:pStyle w:val="20"/>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开标场所：</w:t>
            </w:r>
            <w:r>
              <w:rPr>
                <w:rFonts w:hint="eastAsia" w:ascii="宋体" w:hAnsi="宋体" w:eastAsia="宋体" w:cs="宋体"/>
                <w:snapToGrid w:val="0"/>
                <w:color w:val="auto"/>
                <w:kern w:val="0"/>
                <w:sz w:val="24"/>
                <w:szCs w:val="24"/>
                <w:highlight w:val="none"/>
                <w:lang w:val="en-US" w:eastAsia="zh-CN"/>
              </w:rPr>
              <w:t>韶关市公共资源交易中心</w:t>
            </w:r>
          </w:p>
          <w:p w14:paraId="59F1C8C1">
            <w:pPr>
              <w:pStyle w:val="49"/>
              <w:widowControl w:val="0"/>
              <w:wordWrap w:val="0"/>
              <w:snapToGrid w:val="0"/>
              <w:spacing w:before="0" w:beforeAutospacing="0" w:after="0" w:afterAutospacing="0" w:line="360" w:lineRule="auto"/>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地址：广东省韶关市武江区西联镇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p>
        </w:tc>
      </w:tr>
      <w:tr w14:paraId="5D5E8F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83"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4B2B6B00">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FFA4335">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其他</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2484FFA">
            <w:pPr>
              <w:pStyle w:val="20"/>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shd w:val="clear" w:color="auto" w:fill="FFFFFF"/>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783CCCE4">
      <w:pPr>
        <w:rPr>
          <w:rFonts w:hint="eastAsia" w:ascii="宋体" w:hAnsi="宋体" w:eastAsia="宋体" w:cs="宋体"/>
        </w:rPr>
      </w:pPr>
    </w:p>
    <w:p w14:paraId="0C391831">
      <w:pPr>
        <w:rPr>
          <w:rFonts w:hint="eastAsia" w:ascii="宋体" w:hAnsi="宋体" w:eastAsia="宋体" w:cs="宋体"/>
        </w:rPr>
      </w:pPr>
    </w:p>
    <w:p w14:paraId="06F3CE5A">
      <w:pPr>
        <w:rPr>
          <w:rFonts w:hint="eastAsia" w:ascii="宋体" w:hAnsi="宋体" w:eastAsia="宋体" w:cs="宋体"/>
        </w:rPr>
      </w:pPr>
    </w:p>
    <w:p w14:paraId="10FF82C7">
      <w:pPr>
        <w:rPr>
          <w:rFonts w:hint="eastAsia" w:ascii="宋体" w:hAnsi="宋体" w:eastAsia="宋体" w:cs="宋体"/>
        </w:rPr>
      </w:pPr>
    </w:p>
    <w:p w14:paraId="4740C1D3">
      <w:pPr>
        <w:rPr>
          <w:rFonts w:hint="eastAsia" w:ascii="宋体" w:hAnsi="宋体" w:eastAsia="宋体" w:cs="宋体"/>
        </w:rPr>
      </w:pPr>
    </w:p>
    <w:p w14:paraId="4E3F0761">
      <w:pPr>
        <w:rPr>
          <w:rFonts w:hint="eastAsia" w:ascii="宋体" w:hAnsi="宋体" w:eastAsia="宋体" w:cs="宋体"/>
        </w:rPr>
      </w:pPr>
    </w:p>
    <w:p w14:paraId="11E1D095">
      <w:pPr>
        <w:rPr>
          <w:rFonts w:hint="eastAsia" w:ascii="宋体" w:hAnsi="宋体" w:eastAsia="宋体" w:cs="宋体"/>
        </w:rPr>
      </w:pPr>
    </w:p>
    <w:p w14:paraId="6187EEB5">
      <w:pPr>
        <w:rPr>
          <w:rFonts w:hint="eastAsia" w:ascii="宋体" w:hAnsi="宋体" w:eastAsia="宋体" w:cs="宋体"/>
        </w:rPr>
      </w:pPr>
    </w:p>
    <w:p w14:paraId="73C561D0">
      <w:pPr>
        <w:rPr>
          <w:rFonts w:hint="eastAsia" w:ascii="宋体" w:hAnsi="宋体" w:eastAsia="宋体" w:cs="宋体"/>
        </w:rPr>
      </w:pPr>
      <w:bookmarkStart w:id="9" w:name="_Toc29292"/>
    </w:p>
    <w:p w14:paraId="12CA5012">
      <w:pPr>
        <w:spacing w:before="156" w:line="360" w:lineRule="auto"/>
        <w:ind w:left="17"/>
        <w:outlineLvl w:val="1"/>
        <w:rPr>
          <w:rFonts w:hint="eastAsia" w:ascii="宋体" w:hAnsi="宋体" w:eastAsia="宋体" w:cs="宋体"/>
          <w:b/>
          <w:bCs/>
          <w:color w:val="auto"/>
          <w:spacing w:val="-3"/>
          <w:sz w:val="24"/>
          <w:szCs w:val="24"/>
          <w:highlight w:val="none"/>
        </w:rPr>
      </w:pPr>
      <w:bookmarkStart w:id="10" w:name="_Toc14940"/>
      <w:r>
        <w:rPr>
          <w:rFonts w:hint="eastAsia" w:ascii="宋体" w:hAnsi="宋体" w:eastAsia="宋体" w:cs="宋体"/>
          <w:b/>
          <w:bCs/>
          <w:color w:val="auto"/>
          <w:spacing w:val="-3"/>
          <w:sz w:val="24"/>
          <w:szCs w:val="24"/>
          <w:highlight w:val="none"/>
        </w:rPr>
        <w:t>第三节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投标人须知正文</w:t>
      </w:r>
      <w:bookmarkEnd w:id="9"/>
      <w:bookmarkEnd w:id="10"/>
    </w:p>
    <w:p w14:paraId="4094FC0C">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snapToGrid w:val="0"/>
          <w:color w:val="auto"/>
          <w:sz w:val="24"/>
          <w:szCs w:val="24"/>
          <w:highlight w:val="none"/>
        </w:rPr>
      </w:pPr>
      <w:bookmarkStart w:id="11" w:name="_Toc24668"/>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武江区重阳镇水口及大夫前村农产业示范带配套基础设施提升项目</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经</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武江区发展和改革局以《韶关市武江区发展和改革局关于武江区重阳镇水口及大夫前村农产业示范带配套基础设施提升项目可行性研究报告的批复》（韶武发改投审[2023]79号）；韶关市武江区发展和改革局以《韶关市武江区发展和改革局关于武江区重阳镇水口及大夫前村农产业示范带配套基础设施提升项目初步设计概算的批复》（韶武发改投审[2024]22号 ）</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，项目代码为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2309-440203-20-01-828782</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。批准建设本项目业主</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为韶关市武江区重阳镇人民政府</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，建设资金来自为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区财政统筹</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，出资比例为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100%</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，招标人为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韶关市武江区重阳镇人民政府</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，招标代理机构为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广东宝骏工程咨询有限公司</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。项目已具备招标条件，现对该项目的</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施工</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进行</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公开招标。</w:t>
      </w:r>
    </w:p>
    <w:p w14:paraId="55C36900">
      <w:pPr>
        <w:spacing w:before="78" w:line="360" w:lineRule="auto"/>
        <w:ind w:left="496"/>
        <w:outlineLvl w:val="2"/>
        <w:rPr>
          <w:rFonts w:hint="eastAsia" w:ascii="宋体" w:hAnsi="宋体" w:eastAsia="宋体" w:cs="宋体"/>
          <w:color w:val="auto"/>
          <w:sz w:val="24"/>
          <w:szCs w:val="24"/>
          <w:highlight w:val="none"/>
        </w:rPr>
      </w:pPr>
      <w:bookmarkStart w:id="12" w:name="_Toc28909"/>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6512D44E">
      <w:pPr>
        <w:numPr>
          <w:ilvl w:val="1"/>
          <w:numId w:val="0"/>
        </w:numPr>
        <w:spacing w:before="151" w:line="360" w:lineRule="auto"/>
        <w:ind w:left="496" w:leftChars="0" w:firstLine="0" w:firstLineChars="0"/>
        <w:rPr>
          <w:rFonts w:hint="eastAsia" w:ascii="宋体" w:hAnsi="宋体" w:eastAsia="宋体" w:cs="宋体"/>
          <w:color w:val="auto"/>
          <w:spacing w:val="-5"/>
          <w:sz w:val="24"/>
          <w:szCs w:val="24"/>
          <w:highlight w:val="none"/>
        </w:rPr>
      </w:pPr>
      <w:r>
        <w:rPr>
          <w:rFonts w:hint="eastAsia" w:ascii="宋体" w:hAnsi="宋体" w:eastAsia="宋体" w:cs="宋体"/>
          <w:b/>
          <w:bCs/>
          <w:snapToGrid w:val="0"/>
          <w:color w:val="auto"/>
          <w:spacing w:val="-5"/>
          <w:sz w:val="24"/>
          <w:szCs w:val="24"/>
          <w:lang w:val="en-US" w:eastAsia="en-US" w:bidi="ar-SA"/>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b/>
          <w:bCs/>
          <w:color w:val="auto"/>
          <w:spacing w:val="9"/>
          <w:sz w:val="24"/>
          <w:szCs w:val="24"/>
          <w:highlight w:val="none"/>
          <w:lang w:val="en-US" w:eastAsia="zh-CN"/>
        </w:rPr>
        <w:t xml:space="preserve"> </w:t>
      </w:r>
      <w:r>
        <w:rPr>
          <w:rFonts w:hint="eastAsia" w:ascii="宋体" w:hAnsi="宋体" w:eastAsia="宋体" w:cs="宋体"/>
          <w:color w:val="auto"/>
          <w:spacing w:val="-5"/>
          <w:sz w:val="24"/>
          <w:szCs w:val="24"/>
          <w:highlight w:val="none"/>
        </w:rPr>
        <w:t>项目概况</w:t>
      </w:r>
    </w:p>
    <w:p w14:paraId="6C0E213B">
      <w:pPr>
        <w:numPr>
          <w:ilvl w:val="0"/>
          <w:numId w:val="0"/>
        </w:numPr>
        <w:spacing w:before="151" w:line="360" w:lineRule="auto"/>
        <w:ind w:left="496" w:leftChars="0"/>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韶关市武江区重阳镇</w:t>
      </w:r>
      <w:r>
        <w:rPr>
          <w:rFonts w:hint="eastAsia" w:ascii="宋体" w:hAnsi="宋体" w:eastAsia="宋体" w:cs="宋体"/>
          <w:color w:val="auto"/>
          <w:sz w:val="24"/>
          <w:szCs w:val="24"/>
          <w:highlight w:val="none"/>
          <w:u w:val="none"/>
          <w:lang w:val="en-US" w:eastAsia="zh-CN"/>
        </w:rPr>
        <w:t>。</w:t>
      </w:r>
    </w:p>
    <w:p w14:paraId="4FB7DEF3">
      <w:pPr>
        <w:pStyle w:val="58"/>
        <w:tabs>
          <w:tab w:val="left" w:pos="7020"/>
        </w:tabs>
        <w:spacing w:line="360" w:lineRule="auto"/>
        <w:ind w:firstLine="524" w:firstLineChars="221"/>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hAnsi="宋体" w:cs="宋体"/>
          <w:color w:val="auto"/>
          <w:spacing w:val="-2"/>
          <w:sz w:val="24"/>
          <w:szCs w:val="24"/>
          <w:highlight w:val="none"/>
          <w:u w:val="single"/>
          <w:lang w:val="en-US" w:eastAsia="zh-CN"/>
        </w:rPr>
        <w:t>项目建设为武江区重阳镇水口及大夫前村农产业示范带配套基础设施提升项目工程，建设农耕便道、农业科普园、道路、停车场、公厕等。</w:t>
      </w:r>
    </w:p>
    <w:p w14:paraId="0402EAEE">
      <w:pPr>
        <w:keepNext w:val="0"/>
        <w:keepLines w:val="0"/>
        <w:widowControl/>
        <w:suppressLineNumbers w:val="0"/>
        <w:spacing w:line="360" w:lineRule="auto"/>
        <w:ind w:firstLine="474" w:firstLineChars="200"/>
        <w:jc w:val="left"/>
        <w:rPr>
          <w:rFonts w:hint="eastAsia" w:ascii="宋体" w:hAnsi="宋体" w:eastAsia="宋体" w:cs="宋体"/>
          <w:sz w:val="24"/>
          <w:szCs w:val="24"/>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sz w:val="24"/>
          <w:szCs w:val="24"/>
        </w:rPr>
        <w:t>项目总投资</w:t>
      </w:r>
      <w:r>
        <w:rPr>
          <w:rFonts w:hint="eastAsia" w:ascii="宋体" w:hAnsi="宋体" w:eastAsia="宋体" w:cs="宋体"/>
          <w:sz w:val="24"/>
          <w:szCs w:val="24"/>
          <w:lang w:val="en-US" w:eastAsia="zh-CN"/>
        </w:rPr>
        <w:t>：项目初步设计概算总投资942.22万元,其中建安工程费860.42万元，工程建设其他费用81.80万元,基本预备费0万元。</w:t>
      </w:r>
    </w:p>
    <w:p w14:paraId="5F1DBCD4">
      <w:pPr>
        <w:spacing w:before="152"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  </w:t>
      </w:r>
      <w:r>
        <w:rPr>
          <w:rFonts w:hint="eastAsia" w:ascii="宋体" w:hAnsi="宋体" w:eastAsia="宋体" w:cs="宋体"/>
          <w:color w:val="auto"/>
          <w:spacing w:val="-2"/>
          <w:sz w:val="24"/>
          <w:szCs w:val="24"/>
          <w:highlight w:val="none"/>
        </w:rPr>
        <w:t>招标范围和标段划分</w:t>
      </w:r>
    </w:p>
    <w:p w14:paraId="3AAF1533">
      <w:pPr>
        <w:spacing w:before="152" w:line="360" w:lineRule="auto"/>
        <w:ind w:left="496"/>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E6C1E53">
      <w:pPr>
        <w:spacing w:before="151" w:line="360" w:lineRule="auto"/>
        <w:ind w:left="13" w:right="65" w:firstLine="533"/>
        <w:rPr>
          <w:rFonts w:hint="eastAsia" w:ascii="宋体" w:hAnsi="宋体" w:eastAsia="宋体" w:cs="宋体"/>
          <w:b w:val="0"/>
          <w:bCs w:val="0"/>
          <w:color w:val="auto"/>
          <w:spacing w:val="-1"/>
          <w:sz w:val="24"/>
          <w:szCs w:val="24"/>
          <w:highlight w:val="none"/>
        </w:rPr>
      </w:pPr>
      <w:bookmarkStart w:id="13" w:name="_Toc20855"/>
      <w:bookmarkStart w:id="14" w:name="_Toc28202"/>
      <w:bookmarkStart w:id="15" w:name="_Toc30251"/>
      <w:bookmarkStart w:id="16" w:name="_Toc14190"/>
      <w:r>
        <w:rPr>
          <w:rFonts w:hint="eastAsia" w:ascii="宋体" w:hAnsi="宋体" w:eastAsia="宋体" w:cs="宋体"/>
          <w:b/>
          <w:bCs/>
          <w:color w:val="auto"/>
          <w:spacing w:val="-1"/>
          <w:sz w:val="24"/>
          <w:szCs w:val="24"/>
          <w:highlight w:val="none"/>
        </w:rPr>
        <w:t xml:space="preserve">1.2.2  </w:t>
      </w:r>
      <w:r>
        <w:rPr>
          <w:rFonts w:hint="eastAsia" w:ascii="宋体" w:hAnsi="宋体" w:eastAsia="宋体" w:cs="宋体"/>
          <w:b w:val="0"/>
          <w:bCs w:val="0"/>
          <w:color w:val="auto"/>
          <w:spacing w:val="-1"/>
          <w:sz w:val="24"/>
          <w:szCs w:val="24"/>
          <w:highlight w:val="none"/>
        </w:rPr>
        <w:t>标段划分：本招标项目不划分标段。</w:t>
      </w:r>
      <w:bookmarkEnd w:id="13"/>
      <w:bookmarkEnd w:id="14"/>
      <w:bookmarkEnd w:id="15"/>
      <w:bookmarkEnd w:id="16"/>
    </w:p>
    <w:p w14:paraId="3E431764">
      <w:pPr>
        <w:spacing w:before="151" w:line="360" w:lineRule="auto"/>
        <w:ind w:left="13" w:right="65" w:firstLine="53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712CC623">
      <w:pPr>
        <w:spacing w:before="22"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531FCE6E">
      <w:pPr>
        <w:wordWrap w:val="0"/>
        <w:adjustRightInd w:val="0"/>
        <w:snapToGrid w:val="0"/>
        <w:spacing w:line="360" w:lineRule="auto"/>
        <w:ind w:firstLine="482" w:firstLineChars="200"/>
        <w:jc w:val="left"/>
        <w:outlineLvl w:val="2"/>
        <w:rPr>
          <w:rFonts w:hint="eastAsia" w:ascii="宋体" w:hAnsi="宋体" w:eastAsia="宋体" w:cs="宋体"/>
          <w:b/>
          <w:bCs/>
          <w:color w:val="auto"/>
          <w:sz w:val="24"/>
          <w:szCs w:val="24"/>
          <w:highlight w:val="none"/>
        </w:rPr>
      </w:pPr>
      <w:bookmarkStart w:id="17" w:name="_Toc11595"/>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资质要求</w:t>
      </w:r>
      <w:bookmarkEnd w:id="17"/>
    </w:p>
    <w:p w14:paraId="2C1CD63E">
      <w:pPr>
        <w:pStyle w:val="57"/>
        <w:pageBreakBefore w:val="0"/>
        <w:kinsoku/>
        <w:overflowPunct/>
        <w:topLinePunct w:val="0"/>
        <w:autoSpaceDE/>
        <w:autoSpaceDN/>
        <w:bidi w:val="0"/>
        <w:snapToGrid w:val="0"/>
        <w:spacing w:line="360" w:lineRule="auto"/>
        <w:ind w:firstLine="482" w:firstLineChars="200"/>
        <w:jc w:val="left"/>
        <w:rPr>
          <w:rStyle w:val="48"/>
          <w:rFonts w:hint="eastAsia" w:ascii="宋体" w:hAnsi="宋体" w:eastAsia="宋体" w:cs="宋体"/>
          <w:color w:val="auto"/>
          <w:kern w:val="0"/>
          <w:sz w:val="24"/>
          <w:szCs w:val="24"/>
          <w:highlight w:val="none"/>
          <w:lang w:eastAsia="zh-CN"/>
        </w:rPr>
      </w:pPr>
      <w:r>
        <w:rPr>
          <w:rStyle w:val="48"/>
          <w:rFonts w:hint="eastAsia" w:ascii="宋体" w:hAnsi="宋体" w:eastAsia="宋体" w:cs="宋体"/>
          <w:b/>
          <w:bCs/>
          <w:color w:val="auto"/>
          <w:kern w:val="0"/>
          <w:sz w:val="24"/>
          <w:szCs w:val="24"/>
          <w:highlight w:val="none"/>
          <w:lang w:val="en-US" w:eastAsia="zh-CN"/>
        </w:rPr>
        <w:t>2.</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lang w:eastAsia="zh-CN"/>
        </w:rPr>
        <w:t>本次招标</w:t>
      </w:r>
      <w:r>
        <w:rPr>
          <w:rStyle w:val="48"/>
          <w:rFonts w:hint="eastAsia" w:ascii="宋体" w:hAnsi="宋体" w:eastAsia="宋体" w:cs="宋体"/>
          <w:color w:val="auto"/>
          <w:kern w:val="0"/>
          <w:sz w:val="24"/>
          <w:szCs w:val="24"/>
          <w:highlight w:val="none"/>
          <w:u w:val="single"/>
          <w:lang w:eastAsia="zh-CN"/>
        </w:rPr>
        <w:t>不接受</w:t>
      </w:r>
      <w:r>
        <w:rPr>
          <w:rStyle w:val="48"/>
          <w:rFonts w:hint="eastAsia" w:ascii="宋体" w:hAnsi="宋体" w:eastAsia="宋体" w:cs="宋体"/>
          <w:color w:val="auto"/>
          <w:kern w:val="0"/>
          <w:sz w:val="24"/>
          <w:szCs w:val="24"/>
          <w:highlight w:val="none"/>
          <w:lang w:eastAsia="zh-CN"/>
        </w:rPr>
        <w:t>联合体投标。</w:t>
      </w:r>
    </w:p>
    <w:p w14:paraId="522C5F58">
      <w:pPr>
        <w:pStyle w:val="57"/>
        <w:pageBreakBefore w:val="0"/>
        <w:kinsoku/>
        <w:overflowPunct/>
        <w:topLinePunct w:val="0"/>
        <w:autoSpaceDE/>
        <w:autoSpaceDN/>
        <w:bidi w:val="0"/>
        <w:snapToGrid w:val="0"/>
        <w:spacing w:line="360" w:lineRule="auto"/>
        <w:ind w:firstLine="482" w:firstLineChars="200"/>
        <w:jc w:val="left"/>
        <w:rPr>
          <w:rStyle w:val="48"/>
          <w:rFonts w:hint="eastAsia" w:ascii="宋体" w:hAnsi="宋体" w:eastAsia="宋体" w:cs="宋体"/>
          <w:color w:val="auto"/>
          <w:kern w:val="0"/>
          <w:sz w:val="24"/>
          <w:szCs w:val="24"/>
          <w:highlight w:val="none"/>
          <w:lang w:val="en-US" w:eastAsia="zh-CN"/>
        </w:rPr>
      </w:pPr>
      <w:r>
        <w:rPr>
          <w:rStyle w:val="48"/>
          <w:rFonts w:hint="eastAsia" w:ascii="宋体" w:hAnsi="宋体" w:eastAsia="宋体" w:cs="宋体"/>
          <w:b/>
          <w:bCs/>
          <w:color w:val="auto"/>
          <w:kern w:val="0"/>
          <w:sz w:val="24"/>
          <w:szCs w:val="24"/>
          <w:highlight w:val="none"/>
          <w:lang w:val="en-US" w:eastAsia="zh-CN"/>
        </w:rPr>
        <w:t>2.2</w:t>
      </w:r>
      <w:r>
        <w:rPr>
          <w:rStyle w:val="48"/>
          <w:rFonts w:hint="eastAsia" w:ascii="宋体" w:hAnsi="宋体" w:eastAsia="宋体" w:cs="宋体"/>
          <w:color w:val="auto"/>
          <w:kern w:val="0"/>
          <w:sz w:val="24"/>
          <w:szCs w:val="24"/>
          <w:highlight w:val="none"/>
          <w:lang w:val="en-US" w:eastAsia="zh-CN"/>
        </w:rPr>
        <w:t>资格资质要求</w:t>
      </w:r>
    </w:p>
    <w:p w14:paraId="7F8C533F">
      <w:pPr>
        <w:pStyle w:val="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 xml:space="preserve"> 投标人须具备独立法人资格，按国家法律经营。</w:t>
      </w:r>
    </w:p>
    <w:p w14:paraId="3D9D6AF2">
      <w:pPr>
        <w:pStyle w:val="9"/>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2.2</w:t>
      </w:r>
      <w:r>
        <w:rPr>
          <w:rFonts w:hint="eastAsia" w:ascii="宋体" w:hAnsi="宋体" w:eastAsia="宋体" w:cs="宋体"/>
          <w:color w:val="auto"/>
          <w:sz w:val="24"/>
          <w:szCs w:val="24"/>
          <w:highlight w:val="none"/>
        </w:rPr>
        <w:t xml:space="preserve"> 投标人须持有建设行政主管部门颁发的企业资质证书及安全生产许可证。</w:t>
      </w:r>
    </w:p>
    <w:p w14:paraId="31719858">
      <w:pPr>
        <w:pStyle w:val="9"/>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2.3</w:t>
      </w:r>
      <w:r>
        <w:rPr>
          <w:rFonts w:hint="eastAsia" w:ascii="宋体" w:hAnsi="宋体" w:eastAsia="宋体" w:cs="宋体"/>
          <w:color w:val="auto"/>
          <w:sz w:val="24"/>
          <w:szCs w:val="24"/>
          <w:highlight w:val="none"/>
        </w:rPr>
        <w:t xml:space="preserve"> 投标人须具备以下资质：</w:t>
      </w:r>
      <w:r>
        <w:rPr>
          <w:rFonts w:hint="eastAsia" w:ascii="宋体" w:hAnsi="宋体" w:eastAsia="宋体" w:cs="宋体"/>
          <w:color w:val="auto"/>
          <w:sz w:val="24"/>
          <w:szCs w:val="24"/>
          <w:highlight w:val="none"/>
          <w:u w:val="single"/>
        </w:rPr>
        <w:t>市政公用工程施工总承包叁级以上（含叁级）资质</w:t>
      </w:r>
      <w:r>
        <w:rPr>
          <w:rFonts w:hint="eastAsia" w:ascii="宋体" w:hAnsi="宋体" w:eastAsia="宋体" w:cs="宋体"/>
          <w:color w:val="auto"/>
          <w:sz w:val="24"/>
          <w:szCs w:val="24"/>
          <w:highlight w:val="none"/>
        </w:rPr>
        <w:t>。</w:t>
      </w:r>
    </w:p>
    <w:p w14:paraId="1DE6637B">
      <w:pPr>
        <w:spacing w:before="78" w:line="360" w:lineRule="auto"/>
        <w:ind w:left="489"/>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3</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val="0"/>
          <w:bCs w:val="0"/>
          <w:color w:val="auto"/>
          <w:spacing w:val="-1"/>
          <w:sz w:val="24"/>
          <w:szCs w:val="24"/>
          <w:highlight w:val="none"/>
        </w:rPr>
        <w:t>相关人员要求</w:t>
      </w:r>
    </w:p>
    <w:p w14:paraId="51E60F3F">
      <w:pPr>
        <w:widowControl/>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0"/>
          <w:sz w:val="24"/>
          <w:szCs w:val="24"/>
          <w:highlight w:val="none"/>
          <w:lang w:bidi="ar"/>
        </w:rPr>
        <w:t>拟派项目经理为</w:t>
      </w:r>
      <w:r>
        <w:rPr>
          <w:rFonts w:hint="eastAsia" w:ascii="宋体" w:hAnsi="宋体" w:eastAsia="宋体" w:cs="宋体"/>
          <w:color w:val="auto"/>
          <w:kern w:val="0"/>
          <w:sz w:val="24"/>
          <w:szCs w:val="24"/>
          <w:highlight w:val="none"/>
          <w:u w:val="single"/>
          <w:lang w:bidi="ar"/>
        </w:rPr>
        <w:t>市政公用工程</w:t>
      </w:r>
      <w:r>
        <w:rPr>
          <w:rFonts w:hint="eastAsia" w:ascii="宋体" w:hAnsi="宋体" w:eastAsia="宋体" w:cs="宋体"/>
          <w:color w:val="auto"/>
          <w:kern w:val="0"/>
          <w:sz w:val="24"/>
          <w:szCs w:val="24"/>
          <w:highlight w:val="none"/>
          <w:lang w:bidi="ar"/>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且未担任其他在施（包括已中标未开工、已开工未竣工）建设工程项目的项目经理。</w:t>
      </w:r>
    </w:p>
    <w:p w14:paraId="16B50FA1">
      <w:pPr>
        <w:widowControl/>
        <w:spacing w:line="360" w:lineRule="auto"/>
        <w:ind w:firstLine="482"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bidi="ar"/>
        </w:rPr>
        <w:t>3.2</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bidi="ar"/>
        </w:rPr>
        <w:t>拟派项目技术负责人须具备</w:t>
      </w:r>
      <w:r>
        <w:rPr>
          <w:rFonts w:hint="eastAsia" w:ascii="宋体" w:hAnsi="宋体" w:eastAsia="宋体" w:cs="宋体"/>
          <w:color w:val="auto"/>
          <w:kern w:val="0"/>
          <w:sz w:val="24"/>
          <w:szCs w:val="24"/>
          <w:highlight w:val="none"/>
          <w:u w:val="single"/>
          <w:lang w:eastAsia="zh-CN" w:bidi="ar"/>
        </w:rPr>
        <w:t>市政工程</w:t>
      </w:r>
      <w:r>
        <w:rPr>
          <w:rFonts w:hint="eastAsia" w:ascii="宋体" w:hAnsi="宋体" w:eastAsia="宋体" w:cs="宋体"/>
          <w:color w:val="auto"/>
          <w:kern w:val="0"/>
          <w:sz w:val="24"/>
          <w:szCs w:val="24"/>
          <w:highlight w:val="none"/>
          <w:lang w:bidi="ar"/>
        </w:rPr>
        <w:t>相关专业</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u w:val="single"/>
          <w:lang w:bidi="ar"/>
        </w:rPr>
        <w:t>中</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bidi="ar"/>
        </w:rPr>
        <w:t>级或以上技术职称。</w:t>
      </w:r>
    </w:p>
    <w:p w14:paraId="37B17EBC">
      <w:pPr>
        <w:widowControl/>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3.3</w:t>
      </w:r>
      <w:r>
        <w:rPr>
          <w:rFonts w:hint="eastAsia" w:ascii="宋体" w:hAnsi="宋体" w:eastAsia="宋体" w:cs="宋体"/>
          <w:color w:val="auto"/>
          <w:sz w:val="24"/>
          <w:szCs w:val="24"/>
          <w:highlight w:val="none"/>
        </w:rPr>
        <w:t xml:space="preserve"> 投标人拟派专职安全生产管理人员须具备有效安全生产考核合格证明（C证，安全生产考核合格证书或“广东省建筑施工企业管理人员安全生产考核系统”考核合格信息打印页），且不少于</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人。</w:t>
      </w:r>
    </w:p>
    <w:p w14:paraId="663CCED1">
      <w:pPr>
        <w:wordWrap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3.4</w:t>
      </w:r>
      <w:r>
        <w:rPr>
          <w:rFonts w:hint="eastAsia" w:ascii="宋体" w:hAnsi="宋体" w:eastAsia="宋体" w:cs="宋体"/>
          <w:color w:val="auto"/>
          <w:sz w:val="24"/>
          <w:szCs w:val="24"/>
          <w:highlight w:val="none"/>
        </w:rPr>
        <w:t xml:space="preserve"> 投标人与其拟派往本项目管理机构的所有人员之间必须具备合法、唯一的劳动聘用关系。拟派人员中具备注册执业资格的，其注册单位须与投标人保持一致。</w:t>
      </w:r>
    </w:p>
    <w:p w14:paraId="4D73ADC8">
      <w:pPr>
        <w:spacing w:before="78" w:line="36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65C506C1">
      <w:pPr>
        <w:spacing w:before="153" w:line="36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57058069">
      <w:pPr>
        <w:spacing w:before="153"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770C7F52">
      <w:pPr>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4593DC">
      <w:pPr>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1569B005">
      <w:pPr>
        <w:spacing w:before="155"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129D7125">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5AF11870">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37029DB6">
      <w:pPr>
        <w:keepNext w:val="0"/>
        <w:keepLines w:val="0"/>
        <w:pageBreakBefore w:val="0"/>
        <w:widowControl w:val="0"/>
        <w:overflowPunct/>
        <w:topLinePunct w:val="0"/>
        <w:bidi w:val="0"/>
        <w:adjustRightInd w:val="0"/>
        <w:snapToGrid w:val="0"/>
        <w:spacing w:before="155"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166289D">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0C5F291D">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1754781E">
      <w:pPr>
        <w:keepNext w:val="0"/>
        <w:keepLines w:val="0"/>
        <w:pageBreakBefore w:val="0"/>
        <w:widowControl w:val="0"/>
        <w:overflowPunct/>
        <w:topLinePunct w:val="0"/>
        <w:bidi w:val="0"/>
        <w:adjustRightInd w:val="0"/>
        <w:snapToGrid w:val="0"/>
        <w:spacing w:before="155" w:line="360"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E4D3A29">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4540A860">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204F9BEE">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（13）进入清算程序，或被宣告破产，或其他丧失履约能力的情形；</w:t>
      </w:r>
      <w:bookmarkStart w:id="18" w:name="bookmark116"/>
      <w:bookmarkEnd w:id="18"/>
      <w:r>
        <w:rPr>
          <w:rFonts w:hint="eastAsia" w:ascii="宋体" w:hAnsi="宋体" w:eastAsia="宋体" w:cs="宋体"/>
          <w:snapToGrid w:val="0"/>
          <w:color w:val="auto"/>
          <w:kern w:val="0"/>
          <w:sz w:val="24"/>
          <w:highlight w:val="none"/>
        </w:rPr>
        <w:t>处罚决定或司法机关出具的有关法律文书为准）；</w:t>
      </w:r>
    </w:p>
    <w:p w14:paraId="1BA42F11">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1601A147">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（15）被“信用中国”网站（https://www.creditchina.gov.cn）发布的《法人和非法人组织公共信用信息报告》列为严重失信主体名单的。</w:t>
      </w:r>
    </w:p>
    <w:p w14:paraId="356AECBA">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2.4.2  招标人拒绝以下名单中的单位参加本次投标：</w:t>
      </w:r>
    </w:p>
    <w:tbl>
      <w:tblPr>
        <w:tblStyle w:val="24"/>
        <w:tblW w:w="0" w:type="auto"/>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654"/>
        <w:gridCol w:w="4380"/>
      </w:tblGrid>
      <w:tr w14:paraId="2DAA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6" w:type="dxa"/>
            <w:noWrap w:val="0"/>
            <w:vAlign w:val="center"/>
          </w:tcPr>
          <w:p w14:paraId="255C1DE3">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4654" w:type="dxa"/>
            <w:noWrap w:val="0"/>
            <w:vAlign w:val="center"/>
          </w:tcPr>
          <w:p w14:paraId="022B7226">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单位名称</w:t>
            </w:r>
          </w:p>
        </w:tc>
        <w:tc>
          <w:tcPr>
            <w:tcW w:w="4380" w:type="dxa"/>
            <w:noWrap w:val="0"/>
            <w:vAlign w:val="center"/>
          </w:tcPr>
          <w:p w14:paraId="0EE3AEF8">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拒绝原因</w:t>
            </w:r>
          </w:p>
        </w:tc>
      </w:tr>
      <w:tr w14:paraId="73A0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1185793B">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4654" w:type="dxa"/>
            <w:noWrap w:val="0"/>
            <w:vAlign w:val="center"/>
          </w:tcPr>
          <w:p w14:paraId="602085C4">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韶关市武江区重阳镇人民政府</w:t>
            </w:r>
          </w:p>
        </w:tc>
        <w:tc>
          <w:tcPr>
            <w:tcW w:w="4380" w:type="dxa"/>
            <w:noWrap w:val="0"/>
            <w:vAlign w:val="center"/>
          </w:tcPr>
          <w:p w14:paraId="580D2622">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en-US"/>
              </w:rPr>
              <w:t>为本招标项目的业主</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招标人</w:t>
            </w:r>
          </w:p>
        </w:tc>
      </w:tr>
      <w:tr w14:paraId="2B97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3B0EF995">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4654" w:type="dxa"/>
            <w:shd w:val="clear" w:color="auto" w:fill="auto"/>
            <w:noWrap w:val="0"/>
            <w:vAlign w:val="center"/>
          </w:tcPr>
          <w:p w14:paraId="00749D74">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广东宝骏工程咨询有限公司</w:t>
            </w:r>
          </w:p>
        </w:tc>
        <w:tc>
          <w:tcPr>
            <w:tcW w:w="4380" w:type="dxa"/>
            <w:shd w:val="clear" w:color="auto" w:fill="auto"/>
            <w:noWrap w:val="0"/>
            <w:vAlign w:val="center"/>
          </w:tcPr>
          <w:p w14:paraId="08151AE5">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为本招标项目的招标代理机构</w:t>
            </w:r>
          </w:p>
        </w:tc>
      </w:tr>
      <w:tr w14:paraId="3A79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67598F08">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4654" w:type="dxa"/>
            <w:shd w:val="clear" w:color="auto" w:fill="auto"/>
            <w:noWrap w:val="0"/>
            <w:vAlign w:val="center"/>
          </w:tcPr>
          <w:p w14:paraId="611211BC">
            <w:pPr>
              <w:spacing w:line="240" w:lineRule="auto"/>
              <w:jc w:val="center"/>
              <w:rPr>
                <w:rFonts w:hint="eastAsia" w:ascii="宋体" w:hAnsi="宋体" w:eastAsia="宋体" w:cs="宋体"/>
                <w:snapToGrid w:val="0"/>
                <w:color w:val="auto"/>
                <w:sz w:val="24"/>
                <w:szCs w:val="24"/>
                <w:lang w:val="en-US" w:eastAsia="zh-CN" w:bidi="ar-SA"/>
              </w:rPr>
            </w:pPr>
            <w:r>
              <w:rPr>
                <w:rFonts w:hint="eastAsia" w:ascii="宋体" w:hAnsi="宋体" w:eastAsia="宋体" w:cs="宋体"/>
                <w:color w:val="auto"/>
                <w:sz w:val="24"/>
                <w:szCs w:val="24"/>
                <w:lang w:val="en-US" w:eastAsia="zh-CN"/>
              </w:rPr>
              <w:t>深圳市建星项目管理顾问有限公司</w:t>
            </w:r>
          </w:p>
        </w:tc>
        <w:tc>
          <w:tcPr>
            <w:tcW w:w="4380" w:type="dxa"/>
            <w:shd w:val="clear" w:color="auto" w:fill="auto"/>
            <w:noWrap w:val="0"/>
            <w:vAlign w:val="center"/>
          </w:tcPr>
          <w:p w14:paraId="364115F4">
            <w:pPr>
              <w:spacing w:line="240" w:lineRule="auto"/>
              <w:jc w:val="center"/>
              <w:rPr>
                <w:rFonts w:hint="eastAsia" w:ascii="宋体" w:hAnsi="宋体" w:eastAsia="宋体" w:cs="宋体"/>
                <w:snapToGrid w:val="0"/>
                <w:color w:val="auto"/>
                <w:sz w:val="24"/>
                <w:szCs w:val="24"/>
                <w:lang w:val="en-US" w:eastAsia="en-US" w:bidi="ar-SA"/>
              </w:rPr>
            </w:pPr>
            <w:r>
              <w:rPr>
                <w:rFonts w:hint="eastAsia" w:ascii="宋体" w:hAnsi="宋体" w:eastAsia="宋体" w:cs="宋体"/>
                <w:color w:val="auto"/>
                <w:sz w:val="24"/>
                <w:szCs w:val="24"/>
                <w:lang w:val="en-US" w:eastAsia="en-US"/>
              </w:rPr>
              <w:t>为本招标项目的可研编制单位</w:t>
            </w:r>
          </w:p>
        </w:tc>
      </w:tr>
      <w:tr w14:paraId="016D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568F6A7A">
            <w:pPr>
              <w:spacing w:line="24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4654" w:type="dxa"/>
            <w:shd w:val="clear" w:color="auto" w:fill="auto"/>
            <w:noWrap w:val="0"/>
            <w:vAlign w:val="center"/>
          </w:tcPr>
          <w:p w14:paraId="69F4B320">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napToGrid w:val="0"/>
                <w:color w:val="000000"/>
                <w:sz w:val="24"/>
                <w:szCs w:val="24"/>
                <w:lang w:val="en-US" w:eastAsia="zh-CN" w:bidi="ar-SA"/>
              </w:rPr>
              <w:t>广东明正项目管理有限公司</w:t>
            </w:r>
          </w:p>
        </w:tc>
        <w:tc>
          <w:tcPr>
            <w:tcW w:w="4380" w:type="dxa"/>
            <w:shd w:val="clear" w:color="auto" w:fill="auto"/>
            <w:noWrap w:val="0"/>
            <w:vAlign w:val="center"/>
          </w:tcPr>
          <w:p w14:paraId="58B75119">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预算编制</w:t>
            </w:r>
            <w:r>
              <w:rPr>
                <w:rFonts w:hint="eastAsia" w:ascii="宋体" w:hAnsi="宋体" w:eastAsia="宋体" w:cs="宋体"/>
                <w:sz w:val="24"/>
                <w:szCs w:val="24"/>
                <w:lang w:val="en-US" w:eastAsia="en-US"/>
              </w:rPr>
              <w:t>单位</w:t>
            </w:r>
          </w:p>
        </w:tc>
      </w:tr>
      <w:tr w14:paraId="5A68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7821F4EE">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4654" w:type="dxa"/>
            <w:shd w:val="clear" w:color="auto" w:fill="auto"/>
            <w:noWrap w:val="0"/>
            <w:vAlign w:val="center"/>
          </w:tcPr>
          <w:p w14:paraId="0EF3BFFF">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napToGrid w:val="0"/>
                <w:color w:val="000000"/>
                <w:sz w:val="24"/>
                <w:szCs w:val="24"/>
                <w:lang w:val="en-US" w:eastAsia="zh-CN" w:bidi="ar-SA"/>
              </w:rPr>
              <w:t>广东泰通伟业工程咨询有限公司</w:t>
            </w:r>
          </w:p>
        </w:tc>
        <w:tc>
          <w:tcPr>
            <w:tcW w:w="4380" w:type="dxa"/>
            <w:shd w:val="clear" w:color="auto" w:fill="auto"/>
            <w:noWrap w:val="0"/>
            <w:vAlign w:val="center"/>
          </w:tcPr>
          <w:p w14:paraId="47F94BF8">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预算审核</w:t>
            </w:r>
            <w:r>
              <w:rPr>
                <w:rFonts w:hint="eastAsia" w:ascii="宋体" w:hAnsi="宋体" w:eastAsia="宋体" w:cs="宋体"/>
                <w:sz w:val="24"/>
                <w:szCs w:val="24"/>
                <w:lang w:val="en-US" w:eastAsia="en-US"/>
              </w:rPr>
              <w:t>单位</w:t>
            </w:r>
          </w:p>
        </w:tc>
      </w:tr>
      <w:tr w14:paraId="3C9A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shd w:val="clear" w:color="auto" w:fill="auto"/>
            <w:noWrap w:val="0"/>
            <w:vAlign w:val="center"/>
          </w:tcPr>
          <w:p w14:paraId="5AFF6089">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6</w:t>
            </w:r>
          </w:p>
        </w:tc>
        <w:tc>
          <w:tcPr>
            <w:tcW w:w="4654" w:type="dxa"/>
            <w:shd w:val="clear" w:color="auto" w:fill="auto"/>
            <w:noWrap w:val="0"/>
            <w:vAlign w:val="center"/>
          </w:tcPr>
          <w:p w14:paraId="747F78ED">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中誉恒信工程咨询有限公司</w:t>
            </w:r>
          </w:p>
        </w:tc>
        <w:tc>
          <w:tcPr>
            <w:tcW w:w="4380" w:type="dxa"/>
            <w:shd w:val="clear" w:color="auto" w:fill="auto"/>
            <w:noWrap w:val="0"/>
            <w:vAlign w:val="center"/>
          </w:tcPr>
          <w:p w14:paraId="179D8122">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设计单位</w:t>
            </w:r>
          </w:p>
        </w:tc>
      </w:tr>
    </w:tbl>
    <w:p w14:paraId="5D1C8E36">
      <w:pPr>
        <w:spacing w:before="153" w:line="360"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A84FD35">
      <w:pPr>
        <w:spacing w:before="150" w:line="360"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pacing w:val="-4"/>
          <w:sz w:val="24"/>
          <w:szCs w:val="24"/>
          <w:highlight w:val="none"/>
        </w:rPr>
        <w:t>52号）规定在“进粤企业和人员诚信信息登记平台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BDE96C7">
      <w:pPr>
        <w:spacing w:before="79" w:line="360" w:lineRule="auto"/>
        <w:ind w:left="715"/>
        <w:outlineLvl w:val="2"/>
        <w:rPr>
          <w:rFonts w:hint="eastAsia" w:ascii="宋体" w:hAnsi="宋体" w:eastAsia="宋体" w:cs="宋体"/>
          <w:color w:val="auto"/>
          <w:sz w:val="24"/>
          <w:szCs w:val="24"/>
          <w:highlight w:val="none"/>
        </w:rPr>
      </w:pPr>
      <w:bookmarkStart w:id="19" w:name="_Toc32239"/>
      <w:bookmarkStart w:id="20" w:name="_Toc10655"/>
      <w:r>
        <w:rPr>
          <w:rFonts w:hint="eastAsia" w:ascii="宋体" w:hAnsi="宋体" w:eastAsia="宋体" w:cs="宋体"/>
          <w:b/>
          <w:bCs/>
          <w:color w:val="auto"/>
          <w:spacing w:val="-4"/>
          <w:sz w:val="24"/>
          <w:szCs w:val="24"/>
          <w:highlight w:val="none"/>
        </w:rPr>
        <w:t>3</w:t>
      </w:r>
      <w:r>
        <w:rPr>
          <w:rFonts w:hint="eastAsia" w:ascii="宋体" w:hAnsi="宋体" w:eastAsia="宋体" w:cs="宋体"/>
          <w:b/>
          <w:bCs/>
          <w:color w:val="auto"/>
          <w:spacing w:val="-4"/>
          <w:sz w:val="24"/>
          <w:szCs w:val="24"/>
          <w:highlight w:val="none"/>
          <w:lang w:val="en-US" w:eastAsia="zh-CN"/>
        </w:rPr>
        <w:t>.</w:t>
      </w:r>
      <w:r>
        <w:rPr>
          <w:rFonts w:hint="eastAsia" w:ascii="宋体" w:hAnsi="宋体" w:eastAsia="宋体" w:cs="宋体"/>
          <w:b/>
          <w:bCs/>
          <w:color w:val="auto"/>
          <w:spacing w:val="-4"/>
          <w:sz w:val="24"/>
          <w:szCs w:val="24"/>
          <w:highlight w:val="none"/>
        </w:rPr>
        <w:t>招标文件的获取</w:t>
      </w:r>
      <w:bookmarkEnd w:id="19"/>
      <w:bookmarkEnd w:id="20"/>
    </w:p>
    <w:p w14:paraId="10B325F2">
      <w:pPr>
        <w:spacing w:before="182" w:line="360"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116295C5">
      <w:pPr>
        <w:spacing w:before="178" w:line="360"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pacing w:val="-4"/>
          <w:sz w:val="24"/>
          <w:szCs w:val="24"/>
          <w:highlight w:val="none"/>
        </w:rPr>
        <w:t>致，投标人须登录全国公共资源交易平台（广东省·韶关市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标人操作指南（电子评标）》（附件2），了解网上获取招标文件操作流程。技术咨询电话：0751-837</w:t>
      </w:r>
      <w:r>
        <w:rPr>
          <w:rFonts w:hint="eastAsia" w:ascii="宋体" w:hAnsi="宋体" w:eastAsia="宋体" w:cs="宋体"/>
          <w:color w:val="auto"/>
          <w:spacing w:val="-4"/>
          <w:sz w:val="24"/>
          <w:szCs w:val="24"/>
          <w:highlight w:val="none"/>
        </w:rPr>
        <w:t>9671伍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pacing w:val="-1"/>
          <w:sz w:val="24"/>
          <w:szCs w:val="24"/>
          <w:highlight w:val="none"/>
        </w:rPr>
        <w:t>业务咨询电话：0751-8633211、8633071。</w:t>
      </w:r>
    </w:p>
    <w:p w14:paraId="785339EF">
      <w:pPr>
        <w:spacing w:before="142" w:line="36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76B73CD5">
      <w:pPr>
        <w:spacing w:before="32" w:line="360"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交易平台（广东省·韶关市）</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015DEDBB">
      <w:pPr>
        <w:spacing w:before="37" w:line="360"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损失和后果，由投标人自行承担。</w:t>
      </w:r>
    </w:p>
    <w:p w14:paraId="692B4BF1">
      <w:pPr>
        <w:spacing w:before="33" w:line="360"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6C5D9CE5">
      <w:pPr>
        <w:spacing w:before="33"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28028499">
      <w:pPr>
        <w:spacing w:before="152" w:line="36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lang w:val="en-US" w:eastAsia="zh-CN"/>
        </w:rPr>
        <w:t>5万</w:t>
      </w:r>
      <w:r>
        <w:rPr>
          <w:rFonts w:hint="eastAsia" w:ascii="宋体" w:hAnsi="宋体" w:eastAsia="宋体" w:cs="宋体"/>
          <w:color w:val="auto"/>
          <w:spacing w:val="-1"/>
          <w:sz w:val="24"/>
          <w:szCs w:val="24"/>
          <w:highlight w:val="none"/>
          <w:u w:val="none"/>
          <w:lang w:eastAsia="zh-CN"/>
        </w:rPr>
        <w:t>元</w:t>
      </w:r>
      <w:r>
        <w:rPr>
          <w:rFonts w:hint="eastAsia" w:ascii="宋体" w:hAnsi="宋体" w:eastAsia="宋体" w:cs="宋体"/>
          <w:color w:val="auto"/>
          <w:spacing w:val="-1"/>
          <w:sz w:val="24"/>
          <w:szCs w:val="24"/>
          <w:highlight w:val="none"/>
        </w:rPr>
        <w:t>人民币的投标保证。</w:t>
      </w:r>
    </w:p>
    <w:p w14:paraId="2F6E27F3">
      <w:pPr>
        <w:spacing w:before="35" w:line="360"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2A4547A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止时间（见本招标文件“重要事项时间地点一览表”）前，从其基本账户将投标保证金转账到指定的缴纳账号。逾期到账的、从非投标人基本账户转出的，其投标无效。</w:t>
      </w:r>
    </w:p>
    <w:p w14:paraId="4AB78A7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0FB57550">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效期不得短于投标有效期。投标人可登录全国公共资源交易平台（广东省·韶关市）（</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），在【服务指南】栏目中下载《建设工程网上交易系统保险保证金缴纳操作指南》，了解网上投保具体操作流程。逾期投保的，其投标无效。</w:t>
      </w:r>
    </w:p>
    <w:p w14:paraId="433D883D">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温馨提示：1.投标人采用投标保证担保或投标保证保险的，为避免在评标过程中因有效期发生争议，建议投标人将银行保函或电子保单有效期设置为较招标文件规定的投标有效期延长不少于20个日历天。</w:t>
      </w:r>
    </w:p>
    <w:p w14:paraId="6CA2428D">
      <w:pPr>
        <w:spacing w:before="78" w:line="360" w:lineRule="auto"/>
        <w:ind w:left="12" w:right="2" w:firstLine="490"/>
        <w:jc w:val="both"/>
        <w:rPr>
          <w:rFonts w:hint="eastAsia" w:ascii="宋体" w:hAnsi="宋体" w:eastAsia="宋体" w:cs="宋体"/>
          <w:color w:val="auto"/>
          <w:highlight w:val="none"/>
        </w:rPr>
      </w:pPr>
      <w:r>
        <w:rPr>
          <w:rFonts w:hint="eastAsia" w:ascii="宋体" w:hAnsi="宋体" w:eastAsia="宋体" w:cs="宋体"/>
          <w:color w:val="auto"/>
          <w:spacing w:val="-3"/>
          <w:sz w:val="24"/>
          <w:szCs w:val="24"/>
          <w:highlight w:val="none"/>
        </w:rPr>
        <w:t>3.4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63EDD81B">
      <w:pPr>
        <w:spacing w:before="79" w:line="360" w:lineRule="auto"/>
        <w:ind w:left="487"/>
        <w:outlineLvl w:val="2"/>
        <w:rPr>
          <w:rFonts w:hint="eastAsia" w:ascii="宋体" w:hAnsi="宋体" w:eastAsia="宋体" w:cs="宋体"/>
          <w:color w:val="auto"/>
          <w:sz w:val="24"/>
          <w:szCs w:val="24"/>
          <w:highlight w:val="none"/>
        </w:rPr>
      </w:pPr>
      <w:bookmarkStart w:id="22" w:name="bookmark78"/>
      <w:bookmarkEnd w:id="22"/>
      <w:bookmarkStart w:id="23" w:name="bookmark64"/>
      <w:bookmarkEnd w:id="23"/>
      <w:bookmarkStart w:id="24" w:name="_Toc27100"/>
      <w:bookmarkStart w:id="25" w:name="_Toc18681"/>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b/>
          <w:bCs/>
          <w:color w:val="auto"/>
          <w:spacing w:val="-8"/>
          <w:sz w:val="24"/>
          <w:szCs w:val="24"/>
          <w:highlight w:val="none"/>
        </w:rPr>
        <w:t>工期要求</w:t>
      </w:r>
      <w:bookmarkEnd w:id="24"/>
      <w:bookmarkEnd w:id="25"/>
    </w:p>
    <w:p w14:paraId="6373A964">
      <w:pPr>
        <w:spacing w:before="153" w:line="360" w:lineRule="auto"/>
        <w:ind w:left="30" w:right="65" w:firstLine="46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120</w:t>
      </w:r>
      <w:r>
        <w:rPr>
          <w:rFonts w:hint="eastAsia" w:ascii="宋体" w:hAnsi="宋体" w:eastAsia="宋体" w:cs="宋体"/>
          <w:color w:val="auto"/>
          <w:spacing w:val="-2"/>
          <w:sz w:val="24"/>
          <w:szCs w:val="24"/>
          <w:highlight w:val="none"/>
        </w:rPr>
        <w:t>个日历天，中标人必须在招标工期内完成招标范围内</w:t>
      </w:r>
      <w:r>
        <w:rPr>
          <w:rFonts w:hint="eastAsia" w:ascii="宋体" w:hAnsi="宋体" w:eastAsia="宋体" w:cs="宋体"/>
          <w:color w:val="auto"/>
          <w:spacing w:val="-5"/>
          <w:sz w:val="24"/>
          <w:szCs w:val="24"/>
          <w:highlight w:val="none"/>
        </w:rPr>
        <w:t>的全部内容。</w:t>
      </w:r>
    </w:p>
    <w:p w14:paraId="7C2E502E">
      <w:pPr>
        <w:spacing w:before="78" w:line="360" w:lineRule="auto"/>
        <w:ind w:left="488"/>
        <w:outlineLvl w:val="2"/>
        <w:rPr>
          <w:rFonts w:hint="eastAsia" w:ascii="宋体" w:hAnsi="宋体" w:eastAsia="宋体" w:cs="宋体"/>
          <w:color w:val="auto"/>
          <w:sz w:val="24"/>
          <w:szCs w:val="24"/>
          <w:highlight w:val="none"/>
        </w:rPr>
      </w:pPr>
      <w:bookmarkStart w:id="26" w:name="_Toc3173"/>
      <w:bookmarkStart w:id="27" w:name="_Toc1639"/>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5"/>
          <w:sz w:val="24"/>
          <w:szCs w:val="24"/>
          <w:highlight w:val="none"/>
        </w:rPr>
        <w:t>质量标准和材料、机械要求</w:t>
      </w:r>
      <w:bookmarkEnd w:id="26"/>
      <w:bookmarkEnd w:id="27"/>
    </w:p>
    <w:p w14:paraId="1AAE31B9">
      <w:pPr>
        <w:spacing w:before="154" w:line="360"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snapToGrid w:val="0"/>
          <w:color w:val="auto"/>
          <w:kern w:val="0"/>
          <w:sz w:val="24"/>
          <w:szCs w:val="24"/>
          <w:highlight w:val="none"/>
        </w:rPr>
        <w:t>施工工艺严格按照国家和广东省的有关现行施工技术规范及标准执行，工程质量标准须</w:t>
      </w:r>
      <w:r>
        <w:rPr>
          <w:rFonts w:hint="eastAsia" w:ascii="宋体" w:hAnsi="宋体" w:eastAsia="宋体" w:cs="宋体"/>
          <w:snapToGrid w:val="0"/>
          <w:color w:val="auto"/>
          <w:kern w:val="0"/>
          <w:sz w:val="24"/>
          <w:szCs w:val="24"/>
          <w:highlight w:val="none"/>
          <w:u w:val="single"/>
        </w:rPr>
        <w:t>达到《建筑工程施工质量验收统一标准》(GB50300-2013)合格</w:t>
      </w:r>
      <w:r>
        <w:rPr>
          <w:rFonts w:hint="eastAsia" w:ascii="宋体" w:hAnsi="宋体" w:eastAsia="宋体" w:cs="宋体"/>
          <w:color w:val="auto"/>
          <w:sz w:val="24"/>
          <w:szCs w:val="24"/>
          <w:highlight w:val="none"/>
        </w:rPr>
        <w:t>。</w:t>
      </w:r>
    </w:p>
    <w:p w14:paraId="792ACDC1">
      <w:pPr>
        <w:spacing w:before="154" w:line="360" w:lineRule="auto"/>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36DDB4F7">
      <w:pPr>
        <w:spacing w:before="154" w:line="360" w:lineRule="auto"/>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保修期限按《建设工程质量管理条例》（中华人民共和国国务院令第279号）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00B7EA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本招标项目</w:t>
      </w:r>
      <w:r>
        <w:rPr>
          <w:rFonts w:hint="eastAsia" w:ascii="宋体" w:hAnsi="宋体" w:eastAsia="宋体" w:cs="宋体"/>
          <w:color w:val="auto"/>
          <w:spacing w:val="-1"/>
          <w:sz w:val="24"/>
          <w:szCs w:val="24"/>
          <w:highlight w:val="none"/>
          <w:lang w:eastAsia="zh-CN"/>
        </w:rPr>
        <w:t>不</w:t>
      </w:r>
      <w:r>
        <w:rPr>
          <w:rFonts w:hint="eastAsia" w:ascii="宋体" w:hAnsi="宋体" w:eastAsia="宋体" w:cs="宋体"/>
          <w:color w:val="auto"/>
          <w:spacing w:val="-1"/>
          <w:sz w:val="24"/>
          <w:szCs w:val="24"/>
          <w:highlight w:val="none"/>
        </w:rPr>
        <w:t>纳入绿色建筑实施范围</w:t>
      </w:r>
      <w:r>
        <w:rPr>
          <w:rFonts w:hint="eastAsia" w:ascii="宋体" w:hAnsi="宋体" w:eastAsia="宋体" w:cs="宋体"/>
          <w:color w:val="auto"/>
          <w:spacing w:val="-1"/>
          <w:sz w:val="24"/>
          <w:szCs w:val="24"/>
          <w:highlight w:val="none"/>
          <w:lang w:eastAsia="zh-CN"/>
        </w:rPr>
        <w:t>。</w:t>
      </w:r>
    </w:p>
    <w:p w14:paraId="0876B684">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其它：招标项目</w:t>
      </w:r>
      <w:r>
        <w:rPr>
          <w:rFonts w:hint="eastAsia" w:ascii="宋体" w:hAnsi="宋体" w:eastAsia="宋体" w:cs="宋体"/>
          <w:color w:val="auto"/>
          <w:spacing w:val="-1"/>
          <w:sz w:val="24"/>
          <w:szCs w:val="24"/>
          <w:highlight w:val="none"/>
          <w:lang w:eastAsia="zh-CN"/>
        </w:rPr>
        <w:t>不</w:t>
      </w:r>
      <w:r>
        <w:rPr>
          <w:rFonts w:hint="eastAsia" w:ascii="宋体" w:hAnsi="宋体" w:eastAsia="宋体" w:cs="宋体"/>
          <w:color w:val="auto"/>
          <w:spacing w:val="-1"/>
          <w:sz w:val="24"/>
          <w:szCs w:val="24"/>
          <w:highlight w:val="none"/>
        </w:rPr>
        <w:t>纳入装配式建造建设实施范围。</w:t>
      </w:r>
    </w:p>
    <w:p w14:paraId="0FC3B7C0">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5F44612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5B497438">
      <w:pPr>
        <w:spacing w:before="78" w:line="360" w:lineRule="auto"/>
        <w:ind w:left="489"/>
        <w:outlineLvl w:val="2"/>
        <w:rPr>
          <w:rFonts w:hint="eastAsia" w:ascii="宋体" w:hAnsi="宋体" w:eastAsia="宋体" w:cs="宋体"/>
          <w:color w:val="auto"/>
          <w:sz w:val="24"/>
          <w:szCs w:val="24"/>
          <w:highlight w:val="none"/>
        </w:rPr>
      </w:pPr>
      <w:bookmarkStart w:id="28" w:name="_Toc12840"/>
      <w:bookmarkStart w:id="29" w:name="_Toc20271"/>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6"/>
          <w:sz w:val="24"/>
          <w:szCs w:val="24"/>
          <w:highlight w:val="none"/>
        </w:rPr>
        <w:t>施工条件及现场踏勘</w:t>
      </w:r>
      <w:bookmarkEnd w:id="28"/>
      <w:bookmarkEnd w:id="29"/>
    </w:p>
    <w:p w14:paraId="5C5E2D5D">
      <w:pPr>
        <w:spacing w:before="155" w:line="360"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095FC4ED">
      <w:pPr>
        <w:spacing w:before="155" w:line="360"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7AC90E75">
      <w:pPr>
        <w:spacing w:before="155" w:line="360"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0EEB5CBB">
      <w:pPr>
        <w:spacing w:before="155" w:line="360" w:lineRule="auto"/>
        <w:ind w:left="12" w:right="99"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6.4</w:t>
      </w:r>
      <w:r>
        <w:rPr>
          <w:rFonts w:hint="eastAsia" w:ascii="宋体" w:hAnsi="宋体" w:eastAsia="宋体" w:cs="宋体"/>
          <w:color w:val="auto"/>
          <w:spacing w:val="-2"/>
          <w:sz w:val="24"/>
          <w:szCs w:val="24"/>
          <w:highlight w:val="none"/>
        </w:rPr>
        <w:t xml:space="preserve">  施工用水、用电各提供一驳接点到现场边缘。要求中标人单独安装水表、电表，其水、电费按项目所在地韶关市/</w:t>
      </w:r>
      <w:r>
        <w:rPr>
          <w:rFonts w:hint="eastAsia" w:ascii="宋体" w:hAnsi="宋体" w:eastAsia="宋体" w:cs="宋体"/>
          <w:color w:val="auto"/>
          <w:spacing w:val="-2"/>
          <w:sz w:val="24"/>
          <w:szCs w:val="24"/>
          <w:highlight w:val="none"/>
          <w:lang w:eastAsia="zh-CN"/>
        </w:rPr>
        <w:t>武江区</w:t>
      </w:r>
      <w:r>
        <w:rPr>
          <w:rFonts w:hint="eastAsia" w:ascii="宋体" w:hAnsi="宋体" w:eastAsia="宋体" w:cs="宋体"/>
          <w:color w:val="auto"/>
          <w:spacing w:val="-2"/>
          <w:sz w:val="24"/>
          <w:szCs w:val="24"/>
          <w:highlight w:val="none"/>
        </w:rPr>
        <w:t>基建工程水、电计费</w:t>
      </w:r>
      <w:r>
        <w:rPr>
          <w:rFonts w:hint="eastAsia" w:ascii="宋体" w:hAnsi="宋体" w:eastAsia="宋体" w:cs="宋体"/>
          <w:color w:val="auto"/>
          <w:spacing w:val="-3"/>
          <w:sz w:val="24"/>
          <w:szCs w:val="24"/>
          <w:highlight w:val="none"/>
        </w:rPr>
        <w:t>标准计算并由中标人缴纳。</w:t>
      </w:r>
    </w:p>
    <w:p w14:paraId="658065E1">
      <w:pPr>
        <w:spacing w:before="154" w:line="36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6.5  </w:t>
      </w:r>
      <w:r>
        <w:rPr>
          <w:rFonts w:hint="eastAsia" w:ascii="宋体" w:hAnsi="宋体" w:eastAsia="宋体" w:cs="宋体"/>
          <w:color w:val="auto"/>
          <w:spacing w:val="-2"/>
          <w:sz w:val="24"/>
          <w:szCs w:val="24"/>
          <w:highlight w:val="none"/>
        </w:rPr>
        <w:t>招标人不组织现场踏勘，但会在招标文件及有关设计文件中明确告知招标项</w:t>
      </w:r>
      <w:r>
        <w:rPr>
          <w:rFonts w:hint="eastAsia" w:ascii="宋体" w:hAnsi="宋体" w:eastAsia="宋体" w:cs="宋体"/>
          <w:color w:val="auto"/>
          <w:spacing w:val="-1"/>
          <w:sz w:val="24"/>
          <w:szCs w:val="24"/>
          <w:highlight w:val="none"/>
        </w:rPr>
        <w:t>目的具体位置和周边环境，并在现场设置足以识别的标识或提</w:t>
      </w:r>
      <w:r>
        <w:rPr>
          <w:rFonts w:hint="eastAsia" w:ascii="宋体" w:hAnsi="宋体" w:eastAsia="宋体" w:cs="宋体"/>
          <w:color w:val="auto"/>
          <w:spacing w:val="-2"/>
          <w:sz w:val="24"/>
          <w:szCs w:val="24"/>
          <w:highlight w:val="none"/>
        </w:rPr>
        <w:t>供足以表明招标项目具</w:t>
      </w:r>
      <w:r>
        <w:rPr>
          <w:rFonts w:hint="eastAsia" w:ascii="宋体" w:hAnsi="宋体" w:eastAsia="宋体" w:cs="宋体"/>
          <w:color w:val="auto"/>
          <w:sz w:val="24"/>
          <w:szCs w:val="24"/>
          <w:highlight w:val="none"/>
        </w:rPr>
        <w:t>体位置的文字或图片。投标人需要了解现场情况的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1B519EF0">
      <w:pPr>
        <w:spacing w:before="153" w:line="36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6.6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77BF35A0">
      <w:pPr>
        <w:spacing w:before="153" w:line="360" w:lineRule="auto"/>
        <w:ind w:left="568"/>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6.7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bookmarkStart w:id="31" w:name="bookmark67"/>
      <w:bookmarkEnd w:id="31"/>
      <w:bookmarkStart w:id="32" w:name="bookmark69"/>
      <w:bookmarkEnd w:id="32"/>
      <w:bookmarkStart w:id="33" w:name="bookmark81"/>
      <w:bookmarkEnd w:id="33"/>
      <w:bookmarkStart w:id="34" w:name="_Toc9426"/>
    </w:p>
    <w:p w14:paraId="33A6D60D">
      <w:pPr>
        <w:spacing w:before="153" w:line="360" w:lineRule="auto"/>
        <w:ind w:left="568"/>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5"/>
          <w:sz w:val="24"/>
          <w:szCs w:val="24"/>
          <w:highlight w:val="none"/>
          <w:lang w:eastAsia="zh-CN"/>
        </w:rPr>
        <w:t>.</w:t>
      </w:r>
      <w:r>
        <w:rPr>
          <w:rFonts w:hint="eastAsia" w:ascii="宋体" w:hAnsi="宋体" w:eastAsia="宋体" w:cs="宋体"/>
          <w:b/>
          <w:bCs/>
          <w:color w:val="auto"/>
          <w:spacing w:val="-5"/>
          <w:sz w:val="24"/>
          <w:szCs w:val="24"/>
          <w:highlight w:val="none"/>
        </w:rPr>
        <w:t>招标文件的提问和答疑</w:t>
      </w:r>
      <w:bookmarkEnd w:id="34"/>
    </w:p>
    <w:p w14:paraId="141D04EB">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9" w:right="16" w:firstLine="47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36B0B037">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9" w:right="16"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A685D8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firstLine="478" w:firstLineChars="20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4A158916">
      <w:pPr>
        <w:spacing w:before="79" w:line="360" w:lineRule="auto"/>
        <w:ind w:left="488"/>
        <w:outlineLvl w:val="2"/>
        <w:rPr>
          <w:rFonts w:hint="eastAsia" w:ascii="宋体" w:hAnsi="宋体" w:eastAsia="宋体" w:cs="宋体"/>
          <w:b/>
          <w:bCs/>
          <w:color w:val="auto"/>
          <w:spacing w:val="-1"/>
          <w:sz w:val="24"/>
          <w:szCs w:val="24"/>
          <w:highlight w:val="none"/>
        </w:rPr>
      </w:pPr>
      <w:bookmarkStart w:id="35" w:name="_Toc12890"/>
      <w:bookmarkStart w:id="36" w:name="_Toc947"/>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1"/>
          <w:sz w:val="24"/>
          <w:szCs w:val="24"/>
          <w:highlight w:val="none"/>
        </w:rPr>
        <w:t>最高投标限价</w:t>
      </w:r>
      <w:bookmarkEnd w:id="35"/>
      <w:bookmarkEnd w:id="36"/>
    </w:p>
    <w:p w14:paraId="7D8411BA">
      <w:pPr>
        <w:spacing w:before="155" w:line="360"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w:t>
      </w:r>
      <w:r>
        <w:rPr>
          <w:rFonts w:hint="eastAsia" w:ascii="宋体" w:hAnsi="宋体" w:eastAsia="宋体" w:cs="宋体"/>
          <w:b/>
          <w:bCs/>
          <w:color w:val="auto"/>
          <w:spacing w:val="-1"/>
          <w:sz w:val="24"/>
          <w:szCs w:val="24"/>
          <w:highlight w:val="none"/>
        </w:rPr>
        <w:t>价</w:t>
      </w:r>
      <w:r>
        <w:rPr>
          <w:rFonts w:hint="eastAsia" w:ascii="宋体" w:hAnsi="宋体" w:eastAsia="宋体" w:cs="宋体"/>
          <w:color w:val="auto"/>
          <w:spacing w:val="-1"/>
          <w:sz w:val="24"/>
          <w:szCs w:val="24"/>
          <w:highlight w:val="none"/>
        </w:rPr>
        <w:t>：</w:t>
      </w:r>
    </w:p>
    <w:p w14:paraId="7771E585">
      <w:pPr>
        <w:spacing w:before="157" w:line="36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（1）《建设工程工程量清单计价规范》（GB50500—2013）；</w:t>
      </w:r>
    </w:p>
    <w:p w14:paraId="37010A3E">
      <w:pPr>
        <w:spacing w:before="153" w:line="360" w:lineRule="auto"/>
        <w:ind w:left="9" w:right="1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3143AC53">
      <w:pPr>
        <w:spacing w:before="154" w:line="36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26942C9D">
      <w:pPr>
        <w:spacing w:before="78" w:line="360" w:lineRule="auto"/>
        <w:ind w:left="502"/>
        <w:rPr>
          <w:rFonts w:hint="eastAsia" w:ascii="宋体" w:hAnsi="宋体" w:eastAsia="宋体" w:cs="宋体"/>
          <w:color w:val="auto"/>
          <w:sz w:val="24"/>
          <w:szCs w:val="24"/>
          <w:highlight w:val="none"/>
        </w:rPr>
      </w:pPr>
      <w:bookmarkStart w:id="37" w:name="bookmark119"/>
      <w:bookmarkEnd w:id="37"/>
      <w:r>
        <w:rPr>
          <w:rFonts w:hint="eastAsia" w:ascii="宋体" w:hAnsi="宋体" w:eastAsia="宋体" w:cs="宋体"/>
          <w:color w:val="auto"/>
          <w:spacing w:val="-2"/>
          <w:sz w:val="24"/>
          <w:szCs w:val="24"/>
          <w:highlight w:val="none"/>
        </w:rPr>
        <w:t>（4）招标文件及招标工程量清单；</w:t>
      </w:r>
    </w:p>
    <w:p w14:paraId="4C7E7F6F">
      <w:pPr>
        <w:spacing w:before="155" w:line="360" w:lineRule="auto"/>
        <w:ind w:left="50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4D821E47">
      <w:pPr>
        <w:spacing w:before="153" w:line="360" w:lineRule="auto"/>
        <w:ind w:left="12" w:right="136"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08839E0D">
      <w:pPr>
        <w:spacing w:before="157" w:line="360" w:lineRule="auto"/>
        <w:ind w:left="50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5E405D0D">
      <w:pPr>
        <w:spacing w:before="79" w:line="360" w:lineRule="auto"/>
        <w:ind w:left="11" w:firstLine="479"/>
        <w:jc w:val="both"/>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8.2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eastAsia="zh-CN"/>
        </w:rPr>
        <w:t>本项目最高投标限价为人民币（大写）：陆佰伍拾柒万叁仟壹佰壹拾肆元壹角叁分（¥6,573,114.13元）。其中绿色施工安全防护措施费不低于：¥250,504.66元，暂估价（统一报价）为¥37,700.00元。</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960"/>
        <w:gridCol w:w="1485"/>
        <w:gridCol w:w="1185"/>
        <w:gridCol w:w="1695"/>
        <w:gridCol w:w="746"/>
      </w:tblGrid>
      <w:tr w14:paraId="5CD9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restart"/>
            <w:vAlign w:val="center"/>
          </w:tcPr>
          <w:p w14:paraId="4C39777E">
            <w:pPr>
              <w:widowControl w:val="0"/>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序号</w:t>
            </w:r>
          </w:p>
        </w:tc>
        <w:tc>
          <w:tcPr>
            <w:tcW w:w="3960" w:type="dxa"/>
            <w:vMerge w:val="restart"/>
            <w:vAlign w:val="center"/>
          </w:tcPr>
          <w:p w14:paraId="2B80C416">
            <w:pPr>
              <w:widowControl w:val="0"/>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单位工程名称</w:t>
            </w:r>
          </w:p>
        </w:tc>
        <w:tc>
          <w:tcPr>
            <w:tcW w:w="1485" w:type="dxa"/>
            <w:vMerge w:val="restart"/>
            <w:vAlign w:val="center"/>
          </w:tcPr>
          <w:p w14:paraId="7AD650A6">
            <w:pPr>
              <w:widowControl w:val="0"/>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金额（元）</w:t>
            </w:r>
          </w:p>
        </w:tc>
        <w:tc>
          <w:tcPr>
            <w:tcW w:w="3626" w:type="dxa"/>
            <w:gridSpan w:val="3"/>
            <w:vAlign w:val="center"/>
          </w:tcPr>
          <w:p w14:paraId="5C8D7657">
            <w:pPr>
              <w:widowControl w:val="0"/>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其中：（元）</w:t>
            </w:r>
          </w:p>
        </w:tc>
      </w:tr>
      <w:tr w14:paraId="6E74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Merge w:val="continue"/>
            <w:vAlign w:val="center"/>
          </w:tcPr>
          <w:p w14:paraId="5B350E6D">
            <w:pPr>
              <w:widowControl w:val="0"/>
              <w:spacing w:line="240" w:lineRule="auto"/>
              <w:jc w:val="center"/>
              <w:rPr>
                <w:rFonts w:hint="eastAsia" w:ascii="宋体" w:hAnsi="宋体" w:eastAsia="宋体" w:cs="宋体"/>
                <w:b/>
                <w:bCs/>
                <w:sz w:val="24"/>
                <w:szCs w:val="24"/>
                <w:lang w:val="en-US" w:eastAsia="zh-CN"/>
              </w:rPr>
            </w:pPr>
          </w:p>
        </w:tc>
        <w:tc>
          <w:tcPr>
            <w:tcW w:w="3960" w:type="dxa"/>
            <w:vMerge w:val="continue"/>
            <w:vAlign w:val="center"/>
          </w:tcPr>
          <w:p w14:paraId="52E9986A">
            <w:pPr>
              <w:widowControl w:val="0"/>
              <w:spacing w:line="240" w:lineRule="auto"/>
              <w:jc w:val="center"/>
              <w:rPr>
                <w:rFonts w:hint="eastAsia" w:ascii="宋体" w:hAnsi="宋体" w:eastAsia="宋体" w:cs="宋体"/>
                <w:b/>
                <w:bCs/>
                <w:sz w:val="24"/>
                <w:szCs w:val="24"/>
                <w:lang w:val="en-US" w:eastAsia="zh-CN"/>
              </w:rPr>
            </w:pPr>
          </w:p>
        </w:tc>
        <w:tc>
          <w:tcPr>
            <w:tcW w:w="1485" w:type="dxa"/>
            <w:vMerge w:val="continue"/>
            <w:vAlign w:val="center"/>
          </w:tcPr>
          <w:p w14:paraId="375CD131">
            <w:pPr>
              <w:widowControl w:val="0"/>
              <w:spacing w:line="240" w:lineRule="auto"/>
              <w:jc w:val="center"/>
              <w:rPr>
                <w:rFonts w:hint="eastAsia" w:ascii="宋体" w:hAnsi="宋体" w:eastAsia="宋体" w:cs="宋体"/>
                <w:b/>
                <w:bCs/>
                <w:sz w:val="24"/>
                <w:szCs w:val="24"/>
                <w:lang w:val="en-US" w:eastAsia="zh-CN"/>
              </w:rPr>
            </w:pPr>
          </w:p>
        </w:tc>
        <w:tc>
          <w:tcPr>
            <w:tcW w:w="1185" w:type="dxa"/>
            <w:vAlign w:val="center"/>
          </w:tcPr>
          <w:p w14:paraId="5A3639CE">
            <w:pPr>
              <w:widowControl w:val="0"/>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暂估价</w:t>
            </w:r>
          </w:p>
        </w:tc>
        <w:tc>
          <w:tcPr>
            <w:tcW w:w="1695" w:type="dxa"/>
            <w:vAlign w:val="center"/>
          </w:tcPr>
          <w:p w14:paraId="6467F284">
            <w:pPr>
              <w:widowControl w:val="0"/>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绿色施工安全防护措施费</w:t>
            </w:r>
          </w:p>
        </w:tc>
        <w:tc>
          <w:tcPr>
            <w:tcW w:w="746" w:type="dxa"/>
            <w:vAlign w:val="center"/>
          </w:tcPr>
          <w:p w14:paraId="0B008944">
            <w:pPr>
              <w:widowControl w:val="0"/>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规费</w:t>
            </w:r>
          </w:p>
          <w:p w14:paraId="0D4E8A5A">
            <w:pPr>
              <w:widowControl w:val="0"/>
              <w:spacing w:line="240" w:lineRule="auto"/>
              <w:jc w:val="center"/>
              <w:rPr>
                <w:rFonts w:hint="eastAsia" w:ascii="宋体" w:hAnsi="宋体" w:eastAsia="宋体" w:cs="宋体"/>
                <w:b/>
                <w:bCs/>
                <w:sz w:val="24"/>
                <w:szCs w:val="24"/>
                <w:lang w:val="en-US" w:eastAsia="zh-CN"/>
              </w:rPr>
            </w:pPr>
          </w:p>
        </w:tc>
      </w:tr>
      <w:tr w14:paraId="21A6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83" w:type="dxa"/>
            <w:vAlign w:val="center"/>
          </w:tcPr>
          <w:p w14:paraId="32C907F1">
            <w:pPr>
              <w:widowControl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3960" w:type="dxa"/>
            <w:vAlign w:val="center"/>
          </w:tcPr>
          <w:p w14:paraId="25AF5DF1">
            <w:pPr>
              <w:widowControl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武江区重阳镇水口及大夫前村农产业示范带配套基础设施提升项目--室外部分</w:t>
            </w:r>
          </w:p>
        </w:tc>
        <w:tc>
          <w:tcPr>
            <w:tcW w:w="1485" w:type="dxa"/>
            <w:vAlign w:val="center"/>
          </w:tcPr>
          <w:p w14:paraId="37854217">
            <w:pPr>
              <w:widowControl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6524943.42</w:t>
            </w:r>
          </w:p>
        </w:tc>
        <w:tc>
          <w:tcPr>
            <w:tcW w:w="1185" w:type="dxa"/>
            <w:vAlign w:val="center"/>
          </w:tcPr>
          <w:p w14:paraId="59356AFF">
            <w:pPr>
              <w:widowControl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37700.00</w:t>
            </w:r>
          </w:p>
        </w:tc>
        <w:tc>
          <w:tcPr>
            <w:tcW w:w="1695" w:type="dxa"/>
            <w:vAlign w:val="center"/>
          </w:tcPr>
          <w:p w14:paraId="47CED6C8">
            <w:pPr>
              <w:widowControl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249496.90</w:t>
            </w:r>
          </w:p>
        </w:tc>
        <w:tc>
          <w:tcPr>
            <w:tcW w:w="746" w:type="dxa"/>
            <w:vAlign w:val="center"/>
          </w:tcPr>
          <w:p w14:paraId="579D6085">
            <w:pPr>
              <w:widowControl w:val="0"/>
              <w:spacing w:line="240" w:lineRule="auto"/>
              <w:jc w:val="both"/>
              <w:rPr>
                <w:rFonts w:hint="eastAsia" w:ascii="宋体" w:hAnsi="宋体" w:eastAsia="宋体" w:cs="宋体"/>
                <w:sz w:val="24"/>
                <w:szCs w:val="24"/>
                <w:lang w:val="en-US" w:eastAsia="zh-CN"/>
              </w:rPr>
            </w:pPr>
          </w:p>
        </w:tc>
      </w:tr>
      <w:tr w14:paraId="5B1B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14:paraId="034FC310">
            <w:pPr>
              <w:widowControl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960" w:type="dxa"/>
            <w:vAlign w:val="center"/>
          </w:tcPr>
          <w:p w14:paraId="70FB3B28">
            <w:pPr>
              <w:widowControl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武江区重阳镇水口及大夫前村农产业示范带配套基础设施提升项目--心形拱门</w:t>
            </w:r>
          </w:p>
        </w:tc>
        <w:tc>
          <w:tcPr>
            <w:tcW w:w="1485" w:type="dxa"/>
            <w:vAlign w:val="center"/>
          </w:tcPr>
          <w:p w14:paraId="30EB8AA8">
            <w:pPr>
              <w:widowControl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26251.31</w:t>
            </w:r>
          </w:p>
          <w:p w14:paraId="3880AD89">
            <w:pPr>
              <w:widowControl w:val="0"/>
              <w:spacing w:line="240" w:lineRule="auto"/>
              <w:jc w:val="center"/>
              <w:rPr>
                <w:rFonts w:hint="eastAsia" w:ascii="宋体" w:hAnsi="宋体" w:eastAsia="宋体" w:cs="宋体"/>
                <w:sz w:val="24"/>
                <w:szCs w:val="24"/>
                <w:lang w:val="en-US" w:eastAsia="zh-CN"/>
              </w:rPr>
            </w:pPr>
          </w:p>
        </w:tc>
        <w:tc>
          <w:tcPr>
            <w:tcW w:w="1185" w:type="dxa"/>
            <w:vAlign w:val="center"/>
          </w:tcPr>
          <w:p w14:paraId="333DF398">
            <w:pPr>
              <w:widowControl w:val="0"/>
              <w:spacing w:line="240" w:lineRule="auto"/>
              <w:jc w:val="center"/>
              <w:rPr>
                <w:rFonts w:hint="eastAsia" w:ascii="宋体" w:hAnsi="宋体" w:eastAsia="宋体" w:cs="宋体"/>
                <w:sz w:val="24"/>
                <w:szCs w:val="24"/>
                <w:lang w:val="en-US" w:eastAsia="zh-CN"/>
              </w:rPr>
            </w:pPr>
          </w:p>
        </w:tc>
        <w:tc>
          <w:tcPr>
            <w:tcW w:w="1695" w:type="dxa"/>
            <w:vAlign w:val="center"/>
          </w:tcPr>
          <w:p w14:paraId="2EB9F181">
            <w:pPr>
              <w:widowControl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540.39</w:t>
            </w:r>
          </w:p>
          <w:p w14:paraId="30ABF675">
            <w:pPr>
              <w:widowControl w:val="0"/>
              <w:spacing w:line="240" w:lineRule="auto"/>
              <w:jc w:val="center"/>
              <w:rPr>
                <w:rFonts w:hint="eastAsia" w:ascii="宋体" w:hAnsi="宋体" w:eastAsia="宋体" w:cs="宋体"/>
                <w:sz w:val="24"/>
                <w:szCs w:val="24"/>
                <w:lang w:val="en-US" w:eastAsia="zh-CN"/>
              </w:rPr>
            </w:pPr>
          </w:p>
        </w:tc>
        <w:tc>
          <w:tcPr>
            <w:tcW w:w="746" w:type="dxa"/>
            <w:vAlign w:val="center"/>
          </w:tcPr>
          <w:p w14:paraId="545A8A1E">
            <w:pPr>
              <w:widowControl w:val="0"/>
              <w:spacing w:line="240" w:lineRule="auto"/>
              <w:jc w:val="both"/>
              <w:rPr>
                <w:rFonts w:hint="eastAsia" w:ascii="宋体" w:hAnsi="宋体" w:eastAsia="宋体" w:cs="宋体"/>
                <w:sz w:val="24"/>
                <w:szCs w:val="24"/>
                <w:lang w:val="en-US" w:eastAsia="zh-CN"/>
              </w:rPr>
            </w:pPr>
          </w:p>
        </w:tc>
      </w:tr>
      <w:tr w14:paraId="0E61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14:paraId="03F12A80">
            <w:pPr>
              <w:widowControl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3960" w:type="dxa"/>
            <w:vAlign w:val="center"/>
          </w:tcPr>
          <w:p w14:paraId="577FFED7">
            <w:pPr>
              <w:widowControl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武江区重阳镇水口及大夫前村农产业示范带配套基础设施提升项目--绿化部分</w:t>
            </w:r>
          </w:p>
        </w:tc>
        <w:tc>
          <w:tcPr>
            <w:tcW w:w="1485" w:type="dxa"/>
            <w:vAlign w:val="center"/>
          </w:tcPr>
          <w:p w14:paraId="7A7FFD8E">
            <w:pPr>
              <w:widowControl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21919.40</w:t>
            </w:r>
          </w:p>
          <w:p w14:paraId="26F563E8">
            <w:pPr>
              <w:widowControl w:val="0"/>
              <w:spacing w:line="240" w:lineRule="auto"/>
              <w:jc w:val="center"/>
              <w:rPr>
                <w:rFonts w:hint="eastAsia" w:ascii="宋体" w:hAnsi="宋体" w:eastAsia="宋体" w:cs="宋体"/>
                <w:sz w:val="24"/>
                <w:szCs w:val="24"/>
                <w:lang w:val="en-US" w:eastAsia="zh-CN"/>
              </w:rPr>
            </w:pPr>
          </w:p>
        </w:tc>
        <w:tc>
          <w:tcPr>
            <w:tcW w:w="1185" w:type="dxa"/>
            <w:vAlign w:val="center"/>
          </w:tcPr>
          <w:p w14:paraId="05E2B9DC">
            <w:pPr>
              <w:widowControl w:val="0"/>
              <w:spacing w:line="240" w:lineRule="auto"/>
              <w:jc w:val="center"/>
              <w:rPr>
                <w:rFonts w:hint="eastAsia" w:ascii="宋体" w:hAnsi="宋体" w:eastAsia="宋体" w:cs="宋体"/>
                <w:sz w:val="24"/>
                <w:szCs w:val="24"/>
                <w:lang w:val="en-US" w:eastAsia="zh-CN"/>
              </w:rPr>
            </w:pPr>
          </w:p>
        </w:tc>
        <w:tc>
          <w:tcPr>
            <w:tcW w:w="1695" w:type="dxa"/>
            <w:vAlign w:val="center"/>
          </w:tcPr>
          <w:p w14:paraId="73153224">
            <w:pPr>
              <w:widowControl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467.37</w:t>
            </w:r>
          </w:p>
          <w:p w14:paraId="2CC39125">
            <w:pPr>
              <w:widowControl w:val="0"/>
              <w:spacing w:line="240" w:lineRule="auto"/>
              <w:jc w:val="center"/>
              <w:rPr>
                <w:rFonts w:hint="eastAsia" w:ascii="宋体" w:hAnsi="宋体" w:eastAsia="宋体" w:cs="宋体"/>
                <w:sz w:val="24"/>
                <w:szCs w:val="24"/>
                <w:lang w:val="en-US" w:eastAsia="zh-CN"/>
              </w:rPr>
            </w:pPr>
          </w:p>
        </w:tc>
        <w:tc>
          <w:tcPr>
            <w:tcW w:w="746" w:type="dxa"/>
            <w:vAlign w:val="center"/>
          </w:tcPr>
          <w:p w14:paraId="42F40EBB">
            <w:pPr>
              <w:widowControl w:val="0"/>
              <w:spacing w:line="240" w:lineRule="auto"/>
              <w:jc w:val="both"/>
              <w:rPr>
                <w:rFonts w:hint="eastAsia" w:ascii="宋体" w:hAnsi="宋体" w:eastAsia="宋体" w:cs="宋体"/>
                <w:sz w:val="24"/>
                <w:szCs w:val="24"/>
                <w:lang w:val="en-US" w:eastAsia="zh-CN"/>
              </w:rPr>
            </w:pPr>
          </w:p>
        </w:tc>
      </w:tr>
      <w:tr w14:paraId="0ECF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3" w:type="dxa"/>
            <w:gridSpan w:val="2"/>
            <w:vAlign w:val="center"/>
          </w:tcPr>
          <w:p w14:paraId="3D204A67">
            <w:pPr>
              <w:widowControl w:val="0"/>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合计</w:t>
            </w:r>
          </w:p>
        </w:tc>
        <w:tc>
          <w:tcPr>
            <w:tcW w:w="1485" w:type="dxa"/>
            <w:vAlign w:val="center"/>
          </w:tcPr>
          <w:p w14:paraId="09AB252D">
            <w:pPr>
              <w:widowControl w:val="0"/>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6573114.13</w:t>
            </w:r>
          </w:p>
        </w:tc>
        <w:tc>
          <w:tcPr>
            <w:tcW w:w="1185" w:type="dxa"/>
            <w:vAlign w:val="center"/>
          </w:tcPr>
          <w:p w14:paraId="620B6074">
            <w:pPr>
              <w:widowControl w:val="0"/>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37700.00</w:t>
            </w:r>
          </w:p>
        </w:tc>
        <w:tc>
          <w:tcPr>
            <w:tcW w:w="1695" w:type="dxa"/>
            <w:vAlign w:val="center"/>
          </w:tcPr>
          <w:p w14:paraId="2533E36D">
            <w:pPr>
              <w:widowControl w:val="0"/>
              <w:spacing w:line="24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250504.66</w:t>
            </w:r>
          </w:p>
        </w:tc>
        <w:tc>
          <w:tcPr>
            <w:tcW w:w="746" w:type="dxa"/>
            <w:vAlign w:val="center"/>
          </w:tcPr>
          <w:p w14:paraId="065DC762">
            <w:pPr>
              <w:widowControl w:val="0"/>
              <w:spacing w:line="240" w:lineRule="auto"/>
              <w:jc w:val="center"/>
              <w:rPr>
                <w:rFonts w:hint="eastAsia" w:ascii="宋体" w:hAnsi="宋体" w:eastAsia="宋体" w:cs="宋体"/>
                <w:b/>
                <w:bCs/>
                <w:sz w:val="24"/>
                <w:szCs w:val="24"/>
                <w:lang w:val="en-US" w:eastAsia="zh-CN"/>
              </w:rPr>
            </w:pPr>
          </w:p>
        </w:tc>
      </w:tr>
    </w:tbl>
    <w:p w14:paraId="29778293">
      <w:pPr>
        <w:keepNext w:val="0"/>
        <w:keepLines w:val="0"/>
        <w:pageBreakBefore w:val="0"/>
        <w:widowControl w:val="0"/>
        <w:kinsoku w:val="0"/>
        <w:wordWrap/>
        <w:overflowPunct/>
        <w:topLinePunct w:val="0"/>
        <w:autoSpaceDE w:val="0"/>
        <w:autoSpaceDN w:val="0"/>
        <w:bidi w:val="0"/>
        <w:adjustRightInd w:val="0"/>
        <w:snapToGrid w:val="0"/>
        <w:spacing w:before="79" w:line="360" w:lineRule="auto"/>
        <w:ind w:firstLine="482"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69F5C58">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D1A87E1">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当暂估价项目的内容、标准、要求在项目实施过程中得以深化、明确、固定后，按以下原则发包：</w:t>
      </w:r>
    </w:p>
    <w:p w14:paraId="33109C8D">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（1）暂估价项目按工程、货物（指材料或工程设备，下同）的类别分类汇总的金额，达到必须招标规模标准的，由中标人招标，招标人参与管理，确定专业工程承包人（或材料、工程 设备供应商）和合同价格。</w:t>
      </w:r>
    </w:p>
    <w:p w14:paraId="64DAAE36">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76EC6FD1">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5C652789">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33A9C25D">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9" w:right="66"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2166C88B">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10" w:right="65" w:firstLine="478"/>
        <w:jc w:val="both"/>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8912A05">
      <w:pPr>
        <w:spacing w:before="79" w:line="360" w:lineRule="auto"/>
        <w:ind w:left="487"/>
        <w:outlineLvl w:val="2"/>
        <w:rPr>
          <w:rFonts w:hint="eastAsia" w:ascii="宋体" w:hAnsi="宋体" w:eastAsia="宋体" w:cs="宋体"/>
          <w:color w:val="auto"/>
          <w:sz w:val="24"/>
          <w:szCs w:val="24"/>
          <w:highlight w:val="none"/>
        </w:rPr>
      </w:pPr>
      <w:bookmarkStart w:id="38" w:name="_Toc25884"/>
      <w:bookmarkStart w:id="39" w:name="_Toc19930"/>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8"/>
          <w:sz w:val="24"/>
          <w:szCs w:val="24"/>
          <w:highlight w:val="none"/>
        </w:rPr>
        <w:t>投标报价</w:t>
      </w:r>
      <w:bookmarkEnd w:id="38"/>
      <w:bookmarkEnd w:id="39"/>
    </w:p>
    <w:p w14:paraId="36361E61">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4F06C9F5">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（1）《建设工程工程量清单计价规范》（GB50500—2013</w:t>
      </w:r>
      <w:r>
        <w:rPr>
          <w:rFonts w:hint="eastAsia" w:ascii="宋体" w:hAnsi="宋体" w:eastAsia="宋体" w:cs="宋体"/>
          <w:color w:val="auto"/>
          <w:spacing w:val="4"/>
          <w:sz w:val="24"/>
          <w:szCs w:val="24"/>
          <w:highlight w:val="none"/>
        </w:rPr>
        <w:t>）；</w:t>
      </w:r>
    </w:p>
    <w:p w14:paraId="6C7C7907">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9" w:right="65"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6DA419D1">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501"/>
        <w:textAlignment w:val="baseline"/>
        <w:rPr>
          <w:rFonts w:hint="eastAsia" w:ascii="宋体" w:hAnsi="宋体" w:eastAsia="宋体" w:cs="宋体"/>
          <w:color w:val="auto"/>
          <w:sz w:val="24"/>
          <w:szCs w:val="24"/>
          <w:highlight w:val="none"/>
        </w:rPr>
      </w:pPr>
      <w:bookmarkStart w:id="40" w:name="bookmark120"/>
      <w:bookmarkEnd w:id="40"/>
      <w:r>
        <w:rPr>
          <w:rFonts w:hint="eastAsia" w:ascii="宋体" w:hAnsi="宋体" w:eastAsia="宋体" w:cs="宋体"/>
          <w:color w:val="auto"/>
          <w:spacing w:val="-3"/>
          <w:sz w:val="24"/>
          <w:szCs w:val="24"/>
          <w:highlight w:val="none"/>
        </w:rPr>
        <w:t>（3）企业定额；</w:t>
      </w:r>
    </w:p>
    <w:p w14:paraId="2A1D6921">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1E239EF3">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4805DE51">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4E1DCFFE">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5825D2D8">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1BDA0FF0">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8" w:right="150"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1D39A523">
      <w:pPr>
        <w:spacing w:before="152" w:line="360"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40D7449B">
      <w:pPr>
        <w:spacing w:before="155" w:line="360"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FF17A23">
      <w:pPr>
        <w:spacing w:before="154" w:line="360"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18DC44D4">
      <w:pPr>
        <w:keepNext w:val="0"/>
        <w:keepLines w:val="0"/>
        <w:pageBreakBefore w:val="0"/>
        <w:widowControl w:val="0"/>
        <w:kinsoku w:val="0"/>
        <w:wordWrap/>
        <w:overflowPunct/>
        <w:topLinePunct w:val="0"/>
        <w:autoSpaceDE w:val="0"/>
        <w:autoSpaceDN w:val="0"/>
        <w:bidi w:val="0"/>
        <w:adjustRightInd w:val="0"/>
        <w:snapToGrid w:val="0"/>
        <w:spacing w:before="158" w:line="360" w:lineRule="auto"/>
        <w:ind w:left="9" w:right="150" w:firstLine="55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1259ACCC">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7" w:right="120" w:firstLine="480"/>
        <w:textAlignment w:val="baseline"/>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D9785B9">
      <w:pPr>
        <w:keepNext w:val="0"/>
        <w:keepLines w:val="0"/>
        <w:pageBreakBefore w:val="0"/>
        <w:widowControl w:val="0"/>
        <w:kinsoku w:val="0"/>
        <w:wordWrap/>
        <w:overflowPunct/>
        <w:topLinePunct w:val="0"/>
        <w:autoSpaceDE w:val="0"/>
        <w:autoSpaceDN w:val="0"/>
        <w:bidi w:val="0"/>
        <w:adjustRightInd w:val="0"/>
        <w:snapToGrid w:val="0"/>
        <w:textAlignment w:val="baseline"/>
        <w:rPr>
          <w:rFonts w:hint="eastAsia" w:ascii="宋体" w:hAnsi="宋体" w:eastAsia="宋体" w:cs="宋体"/>
          <w:b/>
          <w:bCs/>
          <w:snapToGrid w:val="0"/>
          <w:color w:val="auto"/>
          <w:spacing w:val="1"/>
          <w:sz w:val="24"/>
          <w:szCs w:val="24"/>
          <w:highlight w:val="none"/>
          <w:lang w:val="en-US" w:eastAsia="zh-CN" w:bidi="ar-SA"/>
        </w:rPr>
      </w:pPr>
      <w:bookmarkStart w:id="41" w:name="_Toc22704"/>
      <w:r>
        <w:rPr>
          <w:rFonts w:hint="eastAsia" w:ascii="宋体" w:hAnsi="宋体" w:eastAsia="宋体" w:cs="宋体"/>
          <w:b/>
          <w:bCs/>
          <w:snapToGrid w:val="0"/>
          <w:color w:val="auto"/>
          <w:spacing w:val="1"/>
          <w:sz w:val="24"/>
          <w:szCs w:val="24"/>
          <w:highlight w:val="none"/>
          <w:lang w:val="en-US" w:eastAsia="zh-CN" w:bidi="ar-SA"/>
        </w:rPr>
        <w:t>投标总价下浮率=（1-投标总价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招标控制价）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100%</w:t>
      </w:r>
      <w:bookmarkEnd w:id="41"/>
    </w:p>
    <w:p w14:paraId="4DC38C7E">
      <w:pPr>
        <w:keepNext w:val="0"/>
        <w:keepLines w:val="0"/>
        <w:pageBreakBefore w:val="0"/>
        <w:widowControl w:val="0"/>
        <w:kinsoku w:val="0"/>
        <w:wordWrap/>
        <w:overflowPunct/>
        <w:topLinePunct w:val="0"/>
        <w:autoSpaceDE w:val="0"/>
        <w:autoSpaceDN w:val="0"/>
        <w:bidi w:val="0"/>
        <w:adjustRightInd w:val="0"/>
        <w:snapToGrid w:val="0"/>
        <w:spacing w:before="146" w:line="360" w:lineRule="auto"/>
        <w:ind w:left="29" w:right="153" w:firstLine="4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9.8  </w:t>
      </w:r>
      <w:r>
        <w:rPr>
          <w:rFonts w:hint="eastAsia" w:ascii="宋体" w:hAnsi="宋体" w:eastAsia="宋体" w:cs="宋体"/>
          <w:color w:val="auto"/>
          <w:sz w:val="24"/>
          <w:szCs w:val="24"/>
          <w:highlight w:val="none"/>
        </w:rPr>
        <w:t>投标人的绿色施工安全防护措施费报价必须达到或超过</w:t>
      </w:r>
      <w:r>
        <w:rPr>
          <w:rFonts w:hint="eastAsia" w:ascii="宋体" w:hAnsi="宋体" w:eastAsia="宋体" w:cs="宋体"/>
          <w:b/>
          <w:bCs/>
          <w:color w:val="auto"/>
          <w:sz w:val="24"/>
          <w:szCs w:val="24"/>
          <w:highlight w:val="none"/>
        </w:rPr>
        <w:t>最高投标限价</w:t>
      </w:r>
      <w:r>
        <w:rPr>
          <w:rFonts w:hint="eastAsia" w:ascii="宋体" w:hAnsi="宋体" w:eastAsia="宋体" w:cs="宋体"/>
          <w:color w:val="auto"/>
          <w:sz w:val="24"/>
          <w:szCs w:val="24"/>
          <w:highlight w:val="none"/>
        </w:rPr>
        <w:t>中</w:t>
      </w:r>
      <w:r>
        <w:rPr>
          <w:rFonts w:hint="eastAsia" w:ascii="宋体" w:hAnsi="宋体" w:eastAsia="宋体" w:cs="宋体"/>
          <w:color w:val="auto"/>
          <w:spacing w:val="-1"/>
          <w:sz w:val="24"/>
          <w:szCs w:val="24"/>
          <w:highlight w:val="none"/>
        </w:rPr>
        <w:t>提供</w:t>
      </w:r>
      <w:r>
        <w:rPr>
          <w:rFonts w:hint="eastAsia" w:ascii="宋体" w:hAnsi="宋体" w:eastAsia="宋体" w:cs="宋体"/>
          <w:color w:val="auto"/>
          <w:spacing w:val="-3"/>
          <w:sz w:val="24"/>
          <w:szCs w:val="24"/>
          <w:highlight w:val="none"/>
        </w:rPr>
        <w:t>的绿色施工安全防护措施费。</w:t>
      </w:r>
    </w:p>
    <w:p w14:paraId="1D4AD06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right="99"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6365E107">
      <w:pPr>
        <w:spacing w:before="78" w:line="360" w:lineRule="auto"/>
        <w:ind w:right="99" w:firstLine="478"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pacing w:val="-1"/>
          <w:sz w:val="24"/>
          <w:szCs w:val="24"/>
          <w:highlight w:val="none"/>
        </w:rPr>
        <w:t>9.10</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w:t>
      </w:r>
      <w:r>
        <w:rPr>
          <w:rFonts w:hint="eastAsia" w:ascii="宋体" w:hAnsi="宋体" w:eastAsia="宋体" w:cs="宋体"/>
          <w:color w:val="auto"/>
          <w:spacing w:val="-7"/>
          <w:sz w:val="24"/>
          <w:szCs w:val="24"/>
          <w:highlight w:val="none"/>
        </w:rPr>
        <w:t>圾外运等。投标报价时，应按《广东省建设工程计价依据（2018）》规定的费率报价，</w:t>
      </w:r>
      <w:r>
        <w:rPr>
          <w:rFonts w:hint="eastAsia" w:ascii="宋体" w:hAnsi="宋体" w:eastAsia="宋体" w:cs="宋体"/>
          <w:color w:val="auto"/>
          <w:spacing w:val="-2"/>
          <w:sz w:val="24"/>
          <w:szCs w:val="24"/>
          <w:highlight w:val="none"/>
        </w:rPr>
        <w:t>若招标工程量清单明确说明不计算预算包干费或</w:t>
      </w:r>
      <w:r>
        <w:rPr>
          <w:rFonts w:hint="eastAsia" w:ascii="宋体" w:hAnsi="宋体" w:eastAsia="宋体" w:cs="宋体"/>
          <w:color w:val="auto"/>
          <w:spacing w:val="-3"/>
          <w:sz w:val="24"/>
          <w:szCs w:val="24"/>
          <w:highlight w:val="none"/>
        </w:rPr>
        <w:t>另外确定预算包干费费率的，则按招</w:t>
      </w:r>
      <w:r>
        <w:rPr>
          <w:rFonts w:hint="eastAsia" w:ascii="宋体" w:hAnsi="宋体" w:eastAsia="宋体" w:cs="宋体"/>
          <w:color w:val="auto"/>
          <w:spacing w:val="-3"/>
          <w:sz w:val="24"/>
          <w:szCs w:val="24"/>
          <w:highlight w:val="none"/>
          <w:lang w:eastAsia="zh-CN"/>
        </w:rPr>
        <w:t>标工程量清单报价。</w:t>
      </w:r>
    </w:p>
    <w:p w14:paraId="3CE024D8">
      <w:pPr>
        <w:pageBreakBefore w:val="0"/>
        <w:kinsoku/>
        <w:overflowPunct/>
        <w:topLinePunct w:val="0"/>
        <w:autoSpaceDE/>
        <w:autoSpaceDN/>
        <w:bidi w:val="0"/>
        <w:snapToGrid w:val="0"/>
        <w:spacing w:line="360" w:lineRule="auto"/>
        <w:ind w:firstLine="482"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z w:val="24"/>
          <w:szCs w:val="24"/>
          <w:lang w:val="en-US" w:eastAsia="zh-CN"/>
        </w:rPr>
        <w:t>9.11</w:t>
      </w:r>
      <w:r>
        <w:rPr>
          <w:rFonts w:hint="eastAsia" w:ascii="宋体" w:hAnsi="宋体" w:eastAsia="宋体" w:cs="宋体"/>
          <w:color w:val="auto"/>
          <w:sz w:val="24"/>
          <w:szCs w:val="24"/>
          <w:lang w:eastAsia="zh-CN"/>
        </w:rPr>
        <w:t>招标代理费和评标专家酬劳的支付：本工程的招标代理费和评标专家酬劳由中标人支付，该费用不再另行报价，由投标人在投标报价时综合考虑在内。中标人在领取中标通知书前须向招标代理机构一次性支付（评标专家酬劳包括食宿费用、交通费、专家评审劳务费等。）</w:t>
      </w:r>
    </w:p>
    <w:p w14:paraId="03BA4414">
      <w:pPr>
        <w:spacing w:before="78" w:line="360" w:lineRule="auto"/>
        <w:ind w:left="496"/>
        <w:outlineLvl w:val="2"/>
        <w:rPr>
          <w:rFonts w:hint="eastAsia" w:ascii="宋体" w:hAnsi="宋体" w:eastAsia="宋体" w:cs="宋体"/>
          <w:color w:val="auto"/>
          <w:sz w:val="24"/>
          <w:szCs w:val="24"/>
          <w:highlight w:val="none"/>
        </w:rPr>
      </w:pPr>
      <w:bookmarkStart w:id="42" w:name="_Toc26296"/>
      <w:bookmarkStart w:id="43" w:name="_Toc15232"/>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lang w:eastAsia="zh-CN"/>
        </w:rPr>
        <w:t>.</w:t>
      </w:r>
      <w:r>
        <w:rPr>
          <w:rFonts w:hint="eastAsia" w:ascii="宋体" w:hAnsi="宋体" w:eastAsia="宋体" w:cs="宋体"/>
          <w:b/>
          <w:bCs/>
          <w:color w:val="auto"/>
          <w:spacing w:val="-6"/>
          <w:sz w:val="24"/>
          <w:szCs w:val="24"/>
          <w:highlight w:val="none"/>
        </w:rPr>
        <w:t>投标文件的编制要求</w:t>
      </w:r>
      <w:bookmarkEnd w:id="42"/>
      <w:bookmarkEnd w:id="43"/>
    </w:p>
    <w:p w14:paraId="0C191376">
      <w:pPr>
        <w:spacing w:before="68" w:line="360" w:lineRule="auto"/>
        <w:ind w:left="11" w:right="99" w:firstLine="563"/>
        <w:rPr>
          <w:rFonts w:hint="eastAsia" w:ascii="宋体" w:hAnsi="宋体" w:eastAsia="宋体" w:cs="宋体"/>
          <w:b w:val="0"/>
          <w:bCs w:val="0"/>
          <w:color w:val="auto"/>
          <w:spacing w:val="-3"/>
          <w:sz w:val="24"/>
          <w:szCs w:val="24"/>
          <w:highlight w:val="none"/>
        </w:rPr>
      </w:pPr>
      <w:bookmarkStart w:id="44" w:name="_Toc20590"/>
      <w:bookmarkStart w:id="45" w:name="_Toc25990"/>
      <w:r>
        <w:rPr>
          <w:rFonts w:hint="eastAsia" w:ascii="宋体" w:hAnsi="宋体" w:eastAsia="宋体" w:cs="宋体"/>
          <w:b/>
          <w:bCs/>
          <w:color w:val="auto"/>
          <w:spacing w:val="-3"/>
          <w:sz w:val="24"/>
          <w:szCs w:val="24"/>
          <w:highlight w:val="none"/>
        </w:rPr>
        <w:t xml:space="preserve">10.1  </w:t>
      </w:r>
      <w:r>
        <w:rPr>
          <w:rFonts w:hint="eastAsia" w:ascii="宋体" w:hAnsi="宋体" w:eastAsia="宋体" w:cs="宋体"/>
          <w:b w:val="0"/>
          <w:bCs w:val="0"/>
          <w:color w:val="auto"/>
          <w:spacing w:val="-3"/>
          <w:sz w:val="24"/>
          <w:szCs w:val="24"/>
          <w:highlight w:val="none"/>
        </w:rPr>
        <w:t>一般要求</w:t>
      </w:r>
      <w:bookmarkEnd w:id="44"/>
      <w:bookmarkEnd w:id="45"/>
    </w:p>
    <w:p w14:paraId="7DC17D36">
      <w:pPr>
        <w:spacing w:before="118" w:line="360"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00D2071A">
      <w:pPr>
        <w:spacing w:before="68" w:line="360"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6CE89948">
      <w:pPr>
        <w:spacing w:before="123" w:line="36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10.1.2  </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交易平台（广东省·韶关市）</w:t>
      </w:r>
      <w:r>
        <w:rPr>
          <w:rFonts w:hint="eastAsia" w:ascii="宋体" w:hAnsi="宋体" w:eastAsia="宋体" w:cs="宋体"/>
          <w:color w:val="auto"/>
          <w:spacing w:val="-2"/>
          <w:sz w:val="24"/>
          <w:szCs w:val="24"/>
          <w:highlight w:val="none"/>
        </w:rPr>
        <w:t>交易指引。</w:t>
      </w:r>
    </w:p>
    <w:p w14:paraId="56ED9FEA">
      <w:pPr>
        <w:spacing w:before="1" w:line="360"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09125407">
      <w:pPr>
        <w:spacing w:before="111" w:line="360"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6844991">
      <w:pPr>
        <w:spacing w:before="112" w:line="360"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56A0EC54">
      <w:pPr>
        <w:spacing w:before="146" w:line="360"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4F952D25">
      <w:pPr>
        <w:spacing w:before="155" w:line="360" w:lineRule="auto"/>
        <w:ind w:left="16" w:right="133" w:firstLine="562"/>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10.1.3.4</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联合体投标的，除《联合体协议书》外，由联合体牵头人按以上要求签</w:t>
      </w:r>
      <w:r>
        <w:rPr>
          <w:rFonts w:hint="eastAsia" w:ascii="宋体" w:hAnsi="宋体" w:eastAsia="宋体" w:cs="宋体"/>
          <w:color w:val="auto"/>
          <w:spacing w:val="-1"/>
          <w:sz w:val="24"/>
          <w:szCs w:val="24"/>
          <w:highlight w:val="none"/>
        </w:rPr>
        <w:t>亲笔署名或签章（电子印章）即可。</w:t>
      </w:r>
      <w:bookmarkStart w:id="46" w:name="_Toc15948"/>
      <w:bookmarkStart w:id="47" w:name="_Toc21271"/>
    </w:p>
    <w:p w14:paraId="3FEDC4B5">
      <w:pPr>
        <w:spacing w:before="155" w:line="360" w:lineRule="auto"/>
        <w:ind w:left="16" w:right="133" w:firstLine="56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10.2  </w:t>
      </w:r>
      <w:r>
        <w:rPr>
          <w:rFonts w:hint="eastAsia" w:ascii="宋体" w:hAnsi="宋体" w:eastAsia="宋体" w:cs="宋体"/>
          <w:color w:val="auto"/>
          <w:spacing w:val="-2"/>
          <w:sz w:val="24"/>
          <w:szCs w:val="24"/>
          <w:highlight w:val="none"/>
        </w:rPr>
        <w:t>商务标书的编制要求</w:t>
      </w:r>
      <w:bookmarkEnd w:id="46"/>
      <w:bookmarkEnd w:id="47"/>
    </w:p>
    <w:p w14:paraId="0F56AEDA">
      <w:pPr>
        <w:keepNext w:val="0"/>
        <w:keepLines w:val="0"/>
        <w:pageBreakBefore w:val="0"/>
        <w:widowControl w:val="0"/>
        <w:overflowPunct/>
        <w:topLinePunct w:val="0"/>
        <w:bidi w:val="0"/>
        <w:adjustRightInd w:val="0"/>
        <w:snapToGrid w:val="0"/>
        <w:spacing w:before="157" w:line="360" w:lineRule="auto"/>
        <w:ind w:left="58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0AA1DC9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48" w:name="bookmark121"/>
      <w:bookmarkEnd w:id="48"/>
      <w:r>
        <w:rPr>
          <w:rFonts w:hint="eastAsia" w:ascii="宋体" w:hAnsi="宋体" w:eastAsia="宋体" w:cs="宋体"/>
          <w:snapToGrid w:val="0"/>
          <w:color w:val="auto"/>
          <w:kern w:val="0"/>
          <w:sz w:val="24"/>
          <w:szCs w:val="24"/>
          <w:highlight w:val="none"/>
        </w:rPr>
        <w:t>（1）封面（格式一）；</w:t>
      </w:r>
    </w:p>
    <w:p w14:paraId="68911AF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67F4068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083F24D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5C538F9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017A17A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770EFBD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投标保证缴纳证明（投标人采用投标保证金的，附建设工程交易系统《缴纳投标保证金通知书》页面截图和银行转账单彩色扫描件；采用投标保证担保的，附银行保函彩色扫描件；采用投标保证保险的，附电子保单和</w:t>
      </w:r>
      <w:r>
        <w:rPr>
          <w:rFonts w:hint="eastAsia" w:ascii="宋体" w:hAnsi="宋体" w:eastAsia="宋体" w:cs="宋体"/>
          <w:b/>
          <w:bCs/>
          <w:snapToGrid w:val="0"/>
          <w:color w:val="auto"/>
          <w:kern w:val="0"/>
          <w:sz w:val="24"/>
          <w:szCs w:val="24"/>
          <w:highlight w:val="none"/>
          <w:lang w:val="en-US" w:eastAsia="zh-CN"/>
        </w:rPr>
        <w:t>《韶关市公共资源交易一体化平台保证金缴纳信息》页面截图）</w:t>
      </w:r>
      <w:r>
        <w:rPr>
          <w:rFonts w:hint="eastAsia" w:ascii="宋体" w:hAnsi="宋体" w:eastAsia="宋体" w:cs="宋体"/>
          <w:snapToGrid w:val="0"/>
          <w:color w:val="auto"/>
          <w:kern w:val="0"/>
          <w:sz w:val="24"/>
          <w:szCs w:val="24"/>
          <w:highlight w:val="none"/>
          <w:lang w:val="en-US" w:eastAsia="zh-CN"/>
        </w:rPr>
        <w:t>；</w:t>
      </w:r>
    </w:p>
    <w:p w14:paraId="6345F3A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）《投标人基本情况表》（格式</w:t>
      </w:r>
      <w:r>
        <w:rPr>
          <w:rFonts w:hint="eastAsia" w:ascii="宋体" w:hAnsi="宋体" w:eastAsia="宋体" w:cs="宋体"/>
          <w:snapToGrid w:val="0"/>
          <w:color w:val="auto"/>
          <w:kern w:val="0"/>
          <w:sz w:val="24"/>
          <w:szCs w:val="24"/>
          <w:highlight w:val="none"/>
          <w:lang w:val="en-US" w:eastAsia="zh-CN"/>
        </w:rPr>
        <w:t>六</w:t>
      </w:r>
      <w:r>
        <w:rPr>
          <w:rFonts w:hint="eastAsia" w:ascii="宋体" w:hAnsi="宋体" w:eastAsia="宋体" w:cs="宋体"/>
          <w:snapToGrid w:val="0"/>
          <w:color w:val="auto"/>
          <w:kern w:val="0"/>
          <w:sz w:val="24"/>
          <w:szCs w:val="24"/>
          <w:highlight w:val="none"/>
        </w:rPr>
        <w:t>）及所附资料；</w:t>
      </w:r>
    </w:p>
    <w:p w14:paraId="77AE3B5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）《项目经理简历表》（格式</w:t>
      </w:r>
      <w:r>
        <w:rPr>
          <w:rFonts w:hint="eastAsia" w:ascii="宋体" w:hAnsi="宋体" w:eastAsia="宋体" w:cs="宋体"/>
          <w:snapToGrid w:val="0"/>
          <w:color w:val="auto"/>
          <w:kern w:val="0"/>
          <w:sz w:val="24"/>
          <w:szCs w:val="24"/>
          <w:highlight w:val="none"/>
          <w:lang w:val="en-US" w:eastAsia="zh-CN"/>
        </w:rPr>
        <w:t>七</w:t>
      </w:r>
      <w:r>
        <w:rPr>
          <w:rFonts w:hint="eastAsia" w:ascii="宋体" w:hAnsi="宋体" w:eastAsia="宋体" w:cs="宋体"/>
          <w:snapToGrid w:val="0"/>
          <w:color w:val="auto"/>
          <w:kern w:val="0"/>
          <w:sz w:val="24"/>
          <w:szCs w:val="24"/>
          <w:highlight w:val="none"/>
        </w:rPr>
        <w:t>）及所附资料；</w:t>
      </w:r>
    </w:p>
    <w:p w14:paraId="2B6A637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）《项目经理任职声明》（格式</w:t>
      </w:r>
      <w:r>
        <w:rPr>
          <w:rFonts w:hint="eastAsia" w:ascii="宋体" w:hAnsi="宋体" w:eastAsia="宋体" w:cs="宋体"/>
          <w:snapToGrid w:val="0"/>
          <w:color w:val="auto"/>
          <w:kern w:val="0"/>
          <w:sz w:val="24"/>
          <w:szCs w:val="24"/>
          <w:highlight w:val="none"/>
          <w:lang w:val="en-US" w:eastAsia="zh-CN"/>
        </w:rPr>
        <w:t>八</w:t>
      </w:r>
      <w:r>
        <w:rPr>
          <w:rFonts w:hint="eastAsia" w:ascii="宋体" w:hAnsi="宋体" w:eastAsia="宋体" w:cs="宋体"/>
          <w:snapToGrid w:val="0"/>
          <w:color w:val="auto"/>
          <w:kern w:val="0"/>
          <w:sz w:val="24"/>
          <w:szCs w:val="24"/>
          <w:highlight w:val="none"/>
        </w:rPr>
        <w:t>）；</w:t>
      </w:r>
    </w:p>
    <w:p w14:paraId="275FFD0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）《项目技术负责人简历表》（格式</w:t>
      </w:r>
      <w:r>
        <w:rPr>
          <w:rFonts w:hint="eastAsia" w:ascii="宋体" w:hAnsi="宋体" w:eastAsia="宋体" w:cs="宋体"/>
          <w:snapToGrid w:val="0"/>
          <w:color w:val="auto"/>
          <w:kern w:val="0"/>
          <w:sz w:val="24"/>
          <w:szCs w:val="24"/>
          <w:highlight w:val="none"/>
          <w:lang w:val="en-US" w:eastAsia="zh-CN"/>
        </w:rPr>
        <w:t>九</w:t>
      </w:r>
      <w:r>
        <w:rPr>
          <w:rFonts w:hint="eastAsia" w:ascii="宋体" w:hAnsi="宋体" w:eastAsia="宋体" w:cs="宋体"/>
          <w:snapToGrid w:val="0"/>
          <w:color w:val="auto"/>
          <w:kern w:val="0"/>
          <w:sz w:val="24"/>
          <w:szCs w:val="24"/>
          <w:highlight w:val="none"/>
        </w:rPr>
        <w:t>）及所附资料；</w:t>
      </w:r>
    </w:p>
    <w:p w14:paraId="78DB844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）《项目管理机构组成表》（格式十）及所附资料；</w:t>
      </w:r>
    </w:p>
    <w:p w14:paraId="775CFAF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）本节“评标方法”要求提供的评审资料；</w:t>
      </w:r>
    </w:p>
    <w:p w14:paraId="239977E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w:t>
      </w:r>
      <w:r>
        <w:rPr>
          <w:rFonts w:hint="eastAsia" w:ascii="宋体" w:hAnsi="宋体" w:eastAsia="宋体" w:cs="宋体"/>
          <w:b/>
          <w:bCs/>
          <w:snapToGrid w:val="0"/>
          <w:color w:val="auto"/>
          <w:kern w:val="0"/>
          <w:sz w:val="24"/>
          <w:szCs w:val="24"/>
          <w:highlight w:val="none"/>
        </w:rPr>
        <w:t>企业所在省、地级市住建部门或其授权的组织（机构）关于企业资质、人员资格有效期自动顺延或延期办理的相关文件等）</w:t>
      </w:r>
      <w:r>
        <w:rPr>
          <w:rFonts w:hint="eastAsia" w:ascii="宋体" w:hAnsi="宋体" w:eastAsia="宋体" w:cs="宋体"/>
          <w:snapToGrid w:val="0"/>
          <w:color w:val="auto"/>
          <w:kern w:val="0"/>
          <w:sz w:val="24"/>
          <w:szCs w:val="24"/>
          <w:highlight w:val="none"/>
        </w:rPr>
        <w:t>。</w:t>
      </w:r>
    </w:p>
    <w:p w14:paraId="6B288ED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w:t>
      </w:r>
    </w:p>
    <w:p w14:paraId="2AC83DC3">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商务标书的组成内容按本节第</w:t>
      </w:r>
      <w:r>
        <w:rPr>
          <w:rFonts w:hint="eastAsia" w:ascii="宋体" w:hAnsi="宋体" w:eastAsia="宋体" w:cs="宋体"/>
          <w:b/>
          <w:snapToGrid w:val="0"/>
          <w:color w:val="auto"/>
          <w:kern w:val="0"/>
          <w:sz w:val="24"/>
          <w:szCs w:val="24"/>
          <w:highlight w:val="none"/>
        </w:rPr>
        <w:t>10.2.1</w:t>
      </w:r>
      <w:r>
        <w:rPr>
          <w:rFonts w:hint="eastAsia" w:ascii="宋体" w:hAnsi="宋体" w:eastAsia="宋体" w:cs="宋体"/>
          <w:bCs/>
          <w:snapToGrid w:val="0"/>
          <w:color w:val="auto"/>
          <w:kern w:val="0"/>
          <w:sz w:val="24"/>
          <w:szCs w:val="24"/>
          <w:highlight w:val="none"/>
        </w:rPr>
        <w:t>目规定的顺序整理、编排后，逐页（页码起始从封面开始）连续标记页码</w:t>
      </w:r>
      <w:r>
        <w:rPr>
          <w:rFonts w:hint="eastAsia" w:ascii="宋体" w:hAnsi="宋体" w:eastAsia="宋体" w:cs="宋体"/>
          <w:snapToGrid w:val="0"/>
          <w:color w:val="auto"/>
          <w:kern w:val="0"/>
          <w:sz w:val="24"/>
          <w:szCs w:val="24"/>
          <w:highlight w:val="none"/>
        </w:rPr>
        <w:t>，作成一个PDF格式电子文件</w:t>
      </w:r>
      <w:r>
        <w:rPr>
          <w:rFonts w:hint="eastAsia" w:ascii="宋体" w:hAnsi="宋体" w:eastAsia="宋体" w:cs="宋体"/>
          <w:bCs/>
          <w:snapToGrid w:val="0"/>
          <w:color w:val="auto"/>
          <w:kern w:val="0"/>
          <w:sz w:val="24"/>
          <w:szCs w:val="24"/>
          <w:highlight w:val="none"/>
        </w:rPr>
        <w:t>。</w:t>
      </w:r>
      <w:bookmarkStart w:id="49" w:name="_Hlt69670029"/>
      <w:bookmarkEnd w:id="49"/>
      <w:bookmarkStart w:id="50" w:name="_Hlt87783273"/>
      <w:bookmarkEnd w:id="50"/>
      <w:bookmarkStart w:id="51" w:name="_Toc274313881"/>
    </w:p>
    <w:p w14:paraId="722C6DEB">
      <w:pPr>
        <w:spacing w:before="155" w:line="360" w:lineRule="auto"/>
        <w:ind w:left="16" w:right="133" w:firstLine="562"/>
        <w:rPr>
          <w:rFonts w:hint="eastAsia" w:ascii="宋体" w:hAnsi="宋体" w:eastAsia="宋体" w:cs="宋体"/>
          <w:b/>
          <w:bCs/>
          <w:color w:val="auto"/>
          <w:spacing w:val="-2"/>
          <w:sz w:val="24"/>
          <w:szCs w:val="24"/>
          <w:highlight w:val="none"/>
        </w:rPr>
      </w:pPr>
      <w:bookmarkStart w:id="52" w:name="_Toc20435"/>
      <w:bookmarkStart w:id="53" w:name="_Toc1207"/>
      <w:r>
        <w:rPr>
          <w:rFonts w:hint="eastAsia" w:ascii="宋体" w:hAnsi="宋体" w:eastAsia="宋体" w:cs="宋体"/>
          <w:b/>
          <w:bCs/>
          <w:color w:val="auto"/>
          <w:spacing w:val="-2"/>
          <w:sz w:val="24"/>
          <w:szCs w:val="24"/>
          <w:highlight w:val="none"/>
        </w:rPr>
        <w:t>10.3</w:t>
      </w:r>
      <w:bookmarkStart w:id="54" w:name="_Hlt69670035"/>
      <w:bookmarkEnd w:id="54"/>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b w:val="0"/>
          <w:bCs w:val="0"/>
          <w:color w:val="auto"/>
          <w:spacing w:val="-2"/>
          <w:sz w:val="24"/>
          <w:szCs w:val="24"/>
          <w:highlight w:val="none"/>
        </w:rPr>
        <w:t>经济标书的编制要求</w:t>
      </w:r>
      <w:bookmarkEnd w:id="51"/>
      <w:bookmarkEnd w:id="52"/>
      <w:bookmarkEnd w:id="53"/>
    </w:p>
    <w:p w14:paraId="3316F8EC">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00F2E6C5">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46828E44">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0EEB1714">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color w:val="auto"/>
          <w:sz w:val="24"/>
          <w:szCs w:val="24"/>
          <w:highlight w:val="none"/>
        </w:rPr>
      </w:pPr>
      <w:bookmarkStart w:id="55" w:name="_Hlt69699579"/>
      <w:bookmarkEnd w:id="55"/>
      <w:r>
        <w:rPr>
          <w:rFonts w:hint="eastAsia" w:ascii="宋体" w:hAnsi="宋体" w:eastAsia="宋体" w:cs="宋体"/>
          <w:color w:val="auto"/>
          <w:sz w:val="24"/>
          <w:szCs w:val="24"/>
          <w:highlight w:val="none"/>
        </w:rPr>
        <w:t>（3）《投标总价》；</w:t>
      </w:r>
    </w:p>
    <w:p w14:paraId="1D1AD6AA">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25D6703B">
      <w:pPr>
        <w:keepNext w:val="0"/>
        <w:keepLines w:val="0"/>
        <w:pageBreakBefore w:val="0"/>
        <w:widowControl/>
        <w:suppressLineNumbers w:val="0"/>
        <w:kinsoku/>
        <w:overflowPunct/>
        <w:autoSpaceDE/>
        <w:autoSpaceDN/>
        <w:bidi w:val="0"/>
        <w:spacing w:line="360" w:lineRule="auto"/>
        <w:ind w:firstLine="723" w:firstLineChars="3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《投标总价扉页》（即扉—3）后应附编制人的造价工程师注册证书</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（须复印或打印至变更注册栏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一级造价师或二级造价师均可提供电子证书</w:t>
      </w:r>
      <w:r>
        <w:rPr>
          <w:rFonts w:hint="eastAsia" w:ascii="宋体" w:hAnsi="宋体" w:eastAsia="宋体" w:cs="宋体"/>
          <w:snapToGrid w:val="0"/>
          <w:color w:val="auto"/>
          <w:kern w:val="0"/>
          <w:sz w:val="24"/>
          <w:szCs w:val="24"/>
          <w:highlight w:val="none"/>
        </w:rPr>
        <w:t>）；投标人委托造价咨询单位编制《投标总价》的，在该扉页“投标人”栏目加盖造价咨询人公章，并在该扉页后附造价咨询人的营业执照副本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w:t>
      </w:r>
    </w:p>
    <w:p w14:paraId="7A6CACCD">
      <w:pPr>
        <w:keepNext w:val="0"/>
        <w:keepLines w:val="0"/>
        <w:pageBreakBefore w:val="0"/>
        <w:kinsoku/>
        <w:wordWrap w:val="0"/>
        <w:overflowPunct/>
        <w:autoSpaceDE/>
        <w:autoSpaceDN/>
        <w:bidi w:val="0"/>
        <w:adjustRightInd w:val="0"/>
        <w:snapToGrid w:val="0"/>
        <w:spacing w:line="360" w:lineRule="auto"/>
        <w:ind w:firstLine="723" w:firstLineChars="3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42CA8CBA">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56" w:name="_Hlt145127239"/>
      <w:bookmarkEnd w:id="56"/>
      <w:r>
        <w:rPr>
          <w:rFonts w:hint="eastAsia" w:ascii="宋体" w:hAnsi="宋体" w:eastAsia="宋体" w:cs="宋体"/>
          <w:snapToGrid w:val="0"/>
          <w:color w:val="auto"/>
          <w:kern w:val="0"/>
          <w:sz w:val="24"/>
          <w:szCs w:val="24"/>
          <w:highlight w:val="none"/>
        </w:rPr>
        <w:t>。</w:t>
      </w:r>
    </w:p>
    <w:p w14:paraId="2A012BEE">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kern w:val="0"/>
          <w:sz w:val="24"/>
          <w:szCs w:val="24"/>
          <w:highlight w:val="none"/>
        </w:rPr>
        <w:t xml:space="preserve">10.3.3 </w:t>
      </w:r>
      <w:r>
        <w:rPr>
          <w:rFonts w:hint="eastAsia" w:ascii="宋体" w:hAnsi="宋体" w:eastAsia="宋体" w:cs="宋体"/>
          <w:snapToGrid w:val="0"/>
          <w:color w:val="auto"/>
          <w:kern w:val="0"/>
          <w:sz w:val="24"/>
          <w:szCs w:val="24"/>
          <w:highlight w:val="none"/>
        </w:rPr>
        <w:t>经济标书的组成内容应按本节第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目规定的顺序整理、编排后，逐页（页码起始从封面开始）连续标记页码</w:t>
      </w:r>
      <w:r>
        <w:rPr>
          <w:rFonts w:hint="eastAsia" w:ascii="宋体" w:hAnsi="宋体" w:eastAsia="宋体" w:cs="宋体"/>
          <w:snapToGrid w:val="0"/>
          <w:color w:val="auto"/>
          <w:kern w:val="0"/>
          <w:sz w:val="24"/>
          <w:szCs w:val="24"/>
          <w:highlight w:val="none"/>
          <w:lang w:val="en-US" w:eastAsia="zh-CN" w:bidi="ar-SA"/>
        </w:rPr>
        <w:t>，作成一个PDF格式电子文件</w:t>
      </w:r>
      <w:r>
        <w:rPr>
          <w:rFonts w:hint="eastAsia" w:ascii="宋体" w:hAnsi="宋体" w:eastAsia="宋体" w:cs="宋体"/>
          <w:snapToGrid w:val="0"/>
          <w:color w:val="auto"/>
          <w:kern w:val="0"/>
          <w:sz w:val="24"/>
          <w:szCs w:val="24"/>
          <w:highlight w:val="none"/>
        </w:rPr>
        <w:t>。</w:t>
      </w:r>
    </w:p>
    <w:p w14:paraId="274133CF">
      <w:pPr>
        <w:spacing w:before="155" w:line="360" w:lineRule="auto"/>
        <w:ind w:left="16" w:right="133" w:firstLine="562"/>
        <w:rPr>
          <w:rFonts w:hint="eastAsia" w:ascii="宋体" w:hAnsi="宋体" w:eastAsia="宋体" w:cs="宋体"/>
          <w:b w:val="0"/>
          <w:bCs w:val="0"/>
          <w:color w:val="auto"/>
          <w:spacing w:val="-2"/>
          <w:sz w:val="24"/>
          <w:szCs w:val="24"/>
          <w:highlight w:val="none"/>
        </w:rPr>
      </w:pPr>
      <w:bookmarkStart w:id="57" w:name="_Toc538"/>
      <w:bookmarkStart w:id="58" w:name="_Toc13483"/>
      <w:r>
        <w:rPr>
          <w:rFonts w:hint="eastAsia" w:ascii="宋体" w:hAnsi="宋体" w:eastAsia="宋体" w:cs="宋体"/>
          <w:b/>
          <w:bCs/>
          <w:color w:val="auto"/>
          <w:spacing w:val="-2"/>
          <w:sz w:val="24"/>
          <w:szCs w:val="24"/>
          <w:highlight w:val="none"/>
        </w:rPr>
        <w:t xml:space="preserve">10.4 </w:t>
      </w:r>
      <w:r>
        <w:rPr>
          <w:rFonts w:hint="eastAsia" w:ascii="宋体" w:hAnsi="宋体" w:eastAsia="宋体" w:cs="宋体"/>
          <w:b w:val="0"/>
          <w:bCs w:val="0"/>
          <w:color w:val="auto"/>
          <w:spacing w:val="-2"/>
          <w:sz w:val="24"/>
          <w:szCs w:val="24"/>
          <w:highlight w:val="none"/>
        </w:rPr>
        <w:t>施工组织设计的编制要求</w:t>
      </w:r>
      <w:bookmarkEnd w:id="57"/>
      <w:bookmarkEnd w:id="58"/>
    </w:p>
    <w:p w14:paraId="3B8C9E46">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38F6ED61">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05410FC">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69F87FA0">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58BB025F">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3E83AE7F">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8DD6349">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61A6557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40FEEBF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6D78AC23">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7F9B099C">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3A07B24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7A6AFA0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15DD8330">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3F9F3D44">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rPr>
        <w:t>应对建设单位组织的勘察设计等单位在施工招标文件中列出的危大工程清单(详见格式十</w:t>
      </w:r>
      <w:r>
        <w:rPr>
          <w:rFonts w:hint="eastAsia" w:ascii="宋体" w:hAnsi="宋体" w:eastAsia="宋体" w:cs="宋体"/>
          <w:b/>
          <w:bCs/>
          <w:snapToGrid w:val="0"/>
          <w:color w:val="auto"/>
          <w:kern w:val="0"/>
          <w:sz w:val="24"/>
          <w:szCs w:val="24"/>
          <w:highlight w:val="none"/>
          <w:lang w:val="en-US" w:eastAsia="zh-CN"/>
        </w:rPr>
        <w:t>二</w:t>
      </w:r>
      <w:r>
        <w:rPr>
          <w:rFonts w:hint="eastAsia" w:ascii="宋体" w:hAnsi="宋体" w:eastAsia="宋体" w:cs="宋体"/>
          <w:b/>
          <w:bCs/>
          <w:snapToGrid w:val="0"/>
          <w:color w:val="auto"/>
          <w:kern w:val="0"/>
          <w:sz w:val="24"/>
          <w:szCs w:val="24"/>
          <w:highlight w:val="none"/>
        </w:rPr>
        <w:t>)进行投标文件回应</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w:t>
      </w:r>
    </w:p>
    <w:p w14:paraId="29E32A1C">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w:t>
      </w:r>
      <w:r>
        <w:rPr>
          <w:rFonts w:hint="eastAsia" w:ascii="宋体" w:hAnsi="宋体" w:eastAsia="宋体" w:cs="宋体"/>
          <w:snapToGrid w:val="0"/>
          <w:color w:val="auto"/>
          <w:kern w:val="0"/>
          <w:sz w:val="24"/>
          <w:szCs w:val="24"/>
          <w:highlight w:val="none"/>
          <w:lang w:val="en-US" w:eastAsia="zh-CN"/>
        </w:rPr>
        <w:t>、设备及仓储、供电、供水、卫生、生活、道路、消防等设施的情况和布置）</w:t>
      </w:r>
      <w:r>
        <w:rPr>
          <w:rFonts w:hint="eastAsia" w:ascii="宋体" w:hAnsi="宋体" w:eastAsia="宋体" w:cs="宋体"/>
          <w:snapToGrid w:val="0"/>
          <w:color w:val="auto"/>
          <w:kern w:val="0"/>
          <w:sz w:val="24"/>
          <w:szCs w:val="24"/>
          <w:highlight w:val="none"/>
        </w:rPr>
        <w:t>；</w:t>
      </w:r>
    </w:p>
    <w:p w14:paraId="3B5DA2F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79D4DD90">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28BCE066">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54098E7F">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施工组织设计的组成内容按本节第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目规定的顺序整理、编排后，逐页（页码起始从封面开始）连续标记页码。</w:t>
      </w:r>
    </w:p>
    <w:p w14:paraId="3324639D">
      <w:pPr>
        <w:spacing w:before="78" w:line="360" w:lineRule="auto"/>
        <w:ind w:left="496"/>
        <w:outlineLvl w:val="2"/>
        <w:rPr>
          <w:rFonts w:hint="eastAsia" w:ascii="宋体" w:hAnsi="宋体" w:eastAsia="宋体" w:cs="宋体"/>
          <w:color w:val="auto"/>
          <w:sz w:val="24"/>
          <w:szCs w:val="24"/>
          <w:highlight w:val="none"/>
        </w:rPr>
      </w:pPr>
      <w:bookmarkStart w:id="59" w:name="_Toc29307"/>
      <w:bookmarkStart w:id="60" w:name="_Toc13551"/>
      <w:r>
        <w:rPr>
          <w:rFonts w:hint="eastAsia" w:ascii="宋体" w:hAnsi="宋体" w:eastAsia="宋体" w:cs="宋体"/>
          <w:b/>
          <w:bCs/>
          <w:color w:val="auto"/>
          <w:spacing w:val="-9"/>
          <w:sz w:val="24"/>
          <w:szCs w:val="24"/>
          <w:highlight w:val="none"/>
        </w:rPr>
        <w:t>11.电子投标</w:t>
      </w:r>
      <w:bookmarkEnd w:id="59"/>
      <w:bookmarkEnd w:id="60"/>
    </w:p>
    <w:p w14:paraId="25CDC026">
      <w:pPr>
        <w:keepNext w:val="0"/>
        <w:keepLines w:val="0"/>
        <w:pageBreakBefore w:val="0"/>
        <w:widowControl w:val="0"/>
        <w:kinsoku w:val="0"/>
        <w:wordWrap/>
        <w:overflowPunct/>
        <w:topLinePunct w:val="0"/>
        <w:autoSpaceDE w:val="0"/>
        <w:autoSpaceDN w:val="0"/>
        <w:bidi w:val="0"/>
        <w:adjustRightInd w:val="0"/>
        <w:snapToGrid w:val="0"/>
        <w:spacing w:before="112" w:line="360" w:lineRule="auto"/>
        <w:ind w:left="10" w:firstLine="48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书对投标文件进行文件加密，形成加密的投标文件并提交标书。</w:t>
      </w:r>
    </w:p>
    <w:p w14:paraId="35865D19">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10" w:right="81" w:firstLine="485"/>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28C93B4D">
      <w:pPr>
        <w:spacing w:before="78" w:line="360" w:lineRule="auto"/>
        <w:ind w:left="496"/>
        <w:outlineLvl w:val="2"/>
        <w:rPr>
          <w:rFonts w:hint="eastAsia" w:ascii="宋体" w:hAnsi="宋体" w:eastAsia="宋体" w:cs="宋体"/>
          <w:b/>
          <w:bCs/>
          <w:color w:val="auto"/>
          <w:spacing w:val="-9"/>
          <w:sz w:val="24"/>
          <w:szCs w:val="24"/>
          <w:highlight w:val="none"/>
        </w:rPr>
      </w:pPr>
      <w:bookmarkStart w:id="61" w:name="_Toc19819"/>
      <w:bookmarkStart w:id="62" w:name="_Toc15963"/>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9"/>
          <w:sz w:val="24"/>
          <w:szCs w:val="24"/>
          <w:highlight w:val="none"/>
        </w:rPr>
        <w:t>电子投标及投标解密失败及突发情况的补救方案</w:t>
      </w:r>
      <w:bookmarkEnd w:id="61"/>
      <w:bookmarkEnd w:id="62"/>
    </w:p>
    <w:p w14:paraId="7139F667">
      <w:pPr>
        <w:spacing w:before="78" w:line="360" w:lineRule="auto"/>
        <w:ind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pacing w:val="-1"/>
          <w:sz w:val="24"/>
          <w:szCs w:val="24"/>
          <w:highlight w:val="none"/>
        </w:rPr>
        <w:t>0200/index）服务指南栏目发布的最新版操作指引。</w:t>
      </w:r>
    </w:p>
    <w:p w14:paraId="150DE32F">
      <w:pPr>
        <w:spacing w:before="11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2CAE9A68">
      <w:pPr>
        <w:spacing w:before="115"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76763BF4">
      <w:pPr>
        <w:spacing w:before="115" w:line="360"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63" w:name="bookmark122"/>
      <w:bookmarkEnd w:id="63"/>
      <w:r>
        <w:rPr>
          <w:rFonts w:hint="eastAsia" w:ascii="宋体" w:hAnsi="宋体" w:eastAsia="宋体" w:cs="宋体"/>
          <w:color w:val="auto"/>
          <w:spacing w:val="-1"/>
          <w:sz w:val="24"/>
          <w:szCs w:val="24"/>
          <w:highlight w:val="none"/>
        </w:rPr>
        <w:t>重新提交投标文件继续开标程序。</w:t>
      </w:r>
    </w:p>
    <w:p w14:paraId="400C2A13">
      <w:pPr>
        <w:spacing w:before="114"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5C5AD13B">
      <w:pPr>
        <w:spacing w:before="114" w:line="360"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露与评标有关的任何信息与情况。</w:t>
      </w:r>
    </w:p>
    <w:p w14:paraId="13DA5277">
      <w:pPr>
        <w:spacing w:before="69" w:line="360"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392F6788">
      <w:pPr>
        <w:spacing w:before="78" w:line="360" w:lineRule="auto"/>
        <w:ind w:left="496"/>
        <w:outlineLvl w:val="2"/>
        <w:rPr>
          <w:rFonts w:hint="eastAsia" w:ascii="宋体" w:hAnsi="宋体" w:eastAsia="宋体" w:cs="宋体"/>
          <w:color w:val="auto"/>
          <w:sz w:val="24"/>
          <w:szCs w:val="24"/>
          <w:highlight w:val="none"/>
        </w:rPr>
      </w:pPr>
      <w:bookmarkStart w:id="64" w:name="_Toc20940"/>
      <w:bookmarkStart w:id="65" w:name="_Toc1005"/>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7"/>
          <w:sz w:val="24"/>
          <w:szCs w:val="24"/>
          <w:highlight w:val="none"/>
        </w:rPr>
        <w:t>投标文件的提交</w:t>
      </w:r>
      <w:bookmarkEnd w:id="64"/>
      <w:bookmarkEnd w:id="65"/>
    </w:p>
    <w:p w14:paraId="1C80FDFD">
      <w:pPr>
        <w:keepNext w:val="0"/>
        <w:keepLines w:val="0"/>
        <w:pageBreakBefore w:val="0"/>
        <w:widowControl w:val="0"/>
        <w:kinsoku w:val="0"/>
        <w:wordWrap/>
        <w:overflowPunct/>
        <w:topLinePunct w:val="0"/>
        <w:autoSpaceDE w:val="0"/>
        <w:autoSpaceDN w:val="0"/>
        <w:bidi w:val="0"/>
        <w:adjustRightInd w:val="0"/>
        <w:snapToGrid w:val="0"/>
        <w:spacing w:before="123" w:line="360" w:lineRule="auto"/>
        <w:ind w:left="13" w:right="81" w:firstLine="48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东省·韶关市）将予以拒收。</w:t>
      </w:r>
    </w:p>
    <w:p w14:paraId="3E632623">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26334082">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2BD6F997">
      <w:pPr>
        <w:keepNext w:val="0"/>
        <w:keepLines w:val="0"/>
        <w:pageBreakBefore w:val="0"/>
        <w:widowControl w:val="0"/>
        <w:kinsoku w:val="0"/>
        <w:wordWrap/>
        <w:overflowPunct/>
        <w:topLinePunct w:val="0"/>
        <w:autoSpaceDE w:val="0"/>
        <w:autoSpaceDN w:val="0"/>
        <w:bidi w:val="0"/>
        <w:adjustRightInd w:val="0"/>
        <w:snapToGrid w:val="0"/>
        <w:spacing w:before="112" w:line="360" w:lineRule="auto"/>
        <w:ind w:firstLine="478"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68873B8F">
      <w:pPr>
        <w:keepNext w:val="0"/>
        <w:keepLines w:val="0"/>
        <w:pageBreakBefore w:val="0"/>
        <w:widowControl w:val="0"/>
        <w:kinsoku w:val="0"/>
        <w:wordWrap/>
        <w:overflowPunct/>
        <w:topLinePunct w:val="0"/>
        <w:autoSpaceDE w:val="0"/>
        <w:autoSpaceDN w:val="0"/>
        <w:bidi w:val="0"/>
        <w:adjustRightInd w:val="0"/>
        <w:snapToGrid w:val="0"/>
        <w:spacing w:before="116"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00777998">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1E2C7ED">
      <w:pPr>
        <w:keepNext w:val="0"/>
        <w:keepLines w:val="0"/>
        <w:pageBreakBefore w:val="0"/>
        <w:widowControl w:val="0"/>
        <w:kinsoku w:val="0"/>
        <w:wordWrap/>
        <w:overflowPunct/>
        <w:topLinePunct w:val="0"/>
        <w:autoSpaceDE w:val="0"/>
        <w:autoSpaceDN w:val="0"/>
        <w:bidi w:val="0"/>
        <w:adjustRightInd w:val="0"/>
        <w:snapToGrid w:val="0"/>
        <w:spacing w:before="114"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0092CD89">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41D97A6E">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12BB32A9">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71293AB0">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05BD3EFA">
      <w:pPr>
        <w:spacing w:before="145" w:line="360" w:lineRule="auto"/>
        <w:ind w:left="496"/>
        <w:outlineLvl w:val="2"/>
        <w:rPr>
          <w:rFonts w:hint="eastAsia" w:ascii="宋体" w:hAnsi="宋体" w:eastAsia="宋体" w:cs="宋体"/>
          <w:color w:val="auto"/>
          <w:sz w:val="24"/>
          <w:szCs w:val="24"/>
          <w:highlight w:val="none"/>
        </w:rPr>
      </w:pPr>
      <w:bookmarkStart w:id="66" w:name="_Toc7252"/>
      <w:bookmarkStart w:id="67" w:name="_Toc1693"/>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lang w:eastAsia="zh-CN"/>
        </w:rPr>
        <w:t>.</w:t>
      </w:r>
      <w:r>
        <w:rPr>
          <w:rFonts w:hint="eastAsia" w:ascii="宋体" w:hAnsi="宋体" w:eastAsia="宋体" w:cs="宋体"/>
          <w:b/>
          <w:bCs/>
          <w:color w:val="auto"/>
          <w:spacing w:val="-11"/>
          <w:sz w:val="24"/>
          <w:szCs w:val="24"/>
          <w:highlight w:val="none"/>
        </w:rPr>
        <w:t>开标</w:t>
      </w:r>
      <w:bookmarkEnd w:id="66"/>
      <w:bookmarkEnd w:id="67"/>
    </w:p>
    <w:p w14:paraId="49780A9B">
      <w:pPr>
        <w:keepNext w:val="0"/>
        <w:keepLines w:val="0"/>
        <w:pageBreakBefore w:val="0"/>
        <w:widowControl w:val="0"/>
        <w:kinsoku w:val="0"/>
        <w:overflowPunct/>
        <w:topLinePunct w:val="0"/>
        <w:autoSpaceDE w:val="0"/>
        <w:autoSpaceDN w:val="0"/>
        <w:bidi w:val="0"/>
        <w:adjustRightInd w:val="0"/>
        <w:snapToGrid w:val="0"/>
        <w:spacing w:before="155" w:line="360" w:lineRule="auto"/>
        <w:ind w:left="10" w:right="81" w:firstLine="485"/>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8" w:name="bookmark123"/>
      <w:bookmarkEnd w:id="68"/>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B04BEF9">
      <w:pPr>
        <w:keepNext w:val="0"/>
        <w:keepLines w:val="0"/>
        <w:pageBreakBefore w:val="0"/>
        <w:widowControl w:val="0"/>
        <w:kinsoku w:val="0"/>
        <w:overflowPunct/>
        <w:topLinePunct w:val="0"/>
        <w:autoSpaceDE w:val="0"/>
        <w:autoSpaceDN w:val="0"/>
        <w:bidi w:val="0"/>
        <w:adjustRightInd w:val="0"/>
        <w:snapToGrid w:val="0"/>
        <w:spacing w:before="156"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45F6F777">
      <w:pPr>
        <w:keepNext w:val="0"/>
        <w:keepLines w:val="0"/>
        <w:pageBreakBefore w:val="0"/>
        <w:widowControl w:val="0"/>
        <w:kinsoku w:val="0"/>
        <w:wordWrap w:val="0"/>
        <w:overflowPunct/>
        <w:topLinePunct w:val="0"/>
        <w:autoSpaceDE w:val="0"/>
        <w:autoSpaceDN w:val="0"/>
        <w:bidi w:val="0"/>
        <w:adjustRightInd w:val="0"/>
        <w:snapToGrid w:val="0"/>
        <w:spacing w:before="153" w:line="36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ggzy-portal/#/440200/index）查询是否发布了取</w:t>
      </w:r>
      <w:r>
        <w:rPr>
          <w:rFonts w:hint="eastAsia" w:ascii="宋体" w:hAnsi="宋体" w:eastAsia="宋体" w:cs="宋体"/>
          <w:color w:val="auto"/>
          <w:spacing w:val="-1"/>
          <w:sz w:val="24"/>
          <w:szCs w:val="24"/>
          <w:highlight w:val="none"/>
        </w:rPr>
        <w:t>消开标活动的相关信息。</w:t>
      </w:r>
    </w:p>
    <w:p w14:paraId="3FC91C7D">
      <w:pPr>
        <w:keepNext w:val="0"/>
        <w:keepLines w:val="0"/>
        <w:pageBreakBefore w:val="0"/>
        <w:widowControl w:val="0"/>
        <w:kinsoku w:val="0"/>
        <w:overflowPunct/>
        <w:topLinePunct w:val="0"/>
        <w:autoSpaceDE w:val="0"/>
        <w:autoSpaceDN w:val="0"/>
        <w:bidi w:val="0"/>
        <w:adjustRightInd w:val="0"/>
        <w:snapToGrid w:val="0"/>
        <w:spacing w:before="159" w:line="360" w:lineRule="auto"/>
        <w:ind w:left="10" w:right="80" w:firstLine="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形导致投标无效的，由投标人自行负责。</w:t>
      </w:r>
    </w:p>
    <w:p w14:paraId="0F9F51F4">
      <w:pPr>
        <w:keepNext w:val="0"/>
        <w:keepLines w:val="0"/>
        <w:pageBreakBefore w:val="0"/>
        <w:widowControl w:val="0"/>
        <w:kinsoku w:val="0"/>
        <w:overflowPunct/>
        <w:topLinePunct w:val="0"/>
        <w:autoSpaceDE w:val="0"/>
        <w:autoSpaceDN w:val="0"/>
        <w:bidi w:val="0"/>
        <w:adjustRightInd w:val="0"/>
        <w:snapToGrid w:val="0"/>
        <w:spacing w:before="152"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20240125">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69" w:name="_Toc7725"/>
      <w:bookmarkStart w:id="70" w:name="_Toc10685"/>
      <w:bookmarkStart w:id="71" w:name="_Toc15587"/>
      <w:bookmarkStart w:id="72" w:name="_Toc10291"/>
      <w:r>
        <w:rPr>
          <w:rFonts w:hint="eastAsia" w:ascii="宋体" w:hAnsi="宋体" w:eastAsia="宋体" w:cs="宋体"/>
          <w:sz w:val="24"/>
          <w:szCs w:val="24"/>
        </w:rPr>
        <w:t>（1）主持人（招标人代表或招标人授权的招标代理机构人员）宣读开标纪律。</w:t>
      </w:r>
      <w:bookmarkEnd w:id="69"/>
      <w:bookmarkEnd w:id="70"/>
      <w:bookmarkEnd w:id="71"/>
      <w:bookmarkEnd w:id="72"/>
    </w:p>
    <w:p w14:paraId="42D5FB59">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73" w:name="_Toc20238"/>
      <w:bookmarkStart w:id="74" w:name="_Toc2011"/>
      <w:bookmarkStart w:id="75" w:name="_Toc16768"/>
      <w:bookmarkStart w:id="76" w:name="_Toc16292"/>
      <w:r>
        <w:rPr>
          <w:rFonts w:hint="eastAsia" w:ascii="宋体" w:hAnsi="宋体" w:eastAsia="宋体" w:cs="宋体"/>
          <w:sz w:val="24"/>
          <w:szCs w:val="24"/>
        </w:rPr>
        <w:t>（2）主持人宣布唱标人、记录人、见证人、监督人等有关人员姓名。</w:t>
      </w:r>
      <w:bookmarkEnd w:id="73"/>
      <w:bookmarkEnd w:id="74"/>
      <w:bookmarkEnd w:id="75"/>
      <w:bookmarkEnd w:id="76"/>
    </w:p>
    <w:p w14:paraId="26AA2E9E">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77" w:name="_Toc1974"/>
      <w:bookmarkStart w:id="78" w:name="_Toc31716"/>
      <w:bookmarkStart w:id="79" w:name="_Toc7714"/>
      <w:bookmarkStart w:id="80" w:name="_Toc17462"/>
      <w:r>
        <w:rPr>
          <w:rFonts w:hint="eastAsia" w:ascii="宋体" w:hAnsi="宋体" w:eastAsia="宋体" w:cs="宋体"/>
          <w:sz w:val="24"/>
          <w:szCs w:val="24"/>
        </w:rPr>
        <w:t>（3）唱标人公布在投标截止时间前进行投标文件的投标人数量和名称</w:t>
      </w:r>
      <w:bookmarkEnd w:id="77"/>
      <w:bookmarkEnd w:id="78"/>
      <w:bookmarkEnd w:id="79"/>
      <w:bookmarkEnd w:id="80"/>
    </w:p>
    <w:p w14:paraId="4A3BFA42">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81" w:name="_Toc32728"/>
      <w:bookmarkStart w:id="82" w:name="_Toc27967"/>
      <w:bookmarkStart w:id="83" w:name="_Toc20559"/>
      <w:bookmarkStart w:id="84" w:name="_Toc15860"/>
      <w:r>
        <w:rPr>
          <w:rFonts w:hint="eastAsia" w:ascii="宋体" w:hAnsi="宋体" w:eastAsia="宋体" w:cs="宋体"/>
          <w:sz w:val="24"/>
          <w:szCs w:val="24"/>
        </w:rPr>
        <w:t>（4）招标代理机构会同交易场所工作人员对投标人的电子投标信息进行解密，</w:t>
      </w:r>
      <w:bookmarkEnd w:id="81"/>
      <w:bookmarkEnd w:id="82"/>
      <w:bookmarkEnd w:id="83"/>
      <w:bookmarkEnd w:id="84"/>
    </w:p>
    <w:p w14:paraId="61CFADFE">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建设工程交易系统自动生成《投标保证缴纳情况表》和《开标一览表》。</w:t>
      </w:r>
    </w:p>
    <w:p w14:paraId="34D54FFD">
      <w:pPr>
        <w:keepNext w:val="0"/>
        <w:keepLines w:val="0"/>
        <w:pageBreakBefore w:val="0"/>
        <w:widowControl w:val="0"/>
        <w:kinsoku w:val="0"/>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
          <w:bCs/>
          <w:sz w:val="24"/>
          <w:szCs w:val="24"/>
        </w:rPr>
      </w:pPr>
      <w:bookmarkStart w:id="85" w:name="_Toc2199"/>
      <w:bookmarkStart w:id="86" w:name="_Toc28812"/>
      <w:bookmarkStart w:id="87" w:name="_Toc28266"/>
      <w:bookmarkStart w:id="88" w:name="_Toc20884"/>
      <w:r>
        <w:rPr>
          <w:rFonts w:hint="eastAsia" w:ascii="宋体" w:hAnsi="宋体" w:eastAsia="宋体" w:cs="宋体"/>
          <w:b/>
          <w:bCs/>
          <w:sz w:val="24"/>
          <w:szCs w:val="24"/>
        </w:rPr>
        <w:t>温馨提示：因本项目实行全流程电子化招标投标，投标人无须进行现场签到，可</w:t>
      </w:r>
      <w:bookmarkEnd w:id="85"/>
      <w:bookmarkEnd w:id="86"/>
      <w:bookmarkEnd w:id="87"/>
      <w:r>
        <w:rPr>
          <w:rFonts w:hint="eastAsia" w:ascii="宋体" w:hAnsi="宋体" w:eastAsia="宋体" w:cs="宋体"/>
          <w:b/>
          <w:bCs/>
          <w:sz w:val="24"/>
          <w:szCs w:val="24"/>
        </w:rPr>
        <w:t>登录交易平台观看开标实况、提出异议或进行澄清、确认等操作，对开标事项的异议未在开标期间提出的，招标</w:t>
      </w:r>
      <w:r>
        <w:rPr>
          <w:rFonts w:hint="eastAsia" w:ascii="宋体" w:hAnsi="宋体" w:eastAsia="宋体" w:cs="宋体"/>
          <w:b/>
          <w:bCs/>
          <w:sz w:val="24"/>
          <w:szCs w:val="24"/>
          <w:lang w:eastAsia="zh-CN"/>
        </w:rPr>
        <w:t>人不</w:t>
      </w:r>
      <w:r>
        <w:rPr>
          <w:rFonts w:hint="eastAsia" w:ascii="宋体" w:hAnsi="宋体" w:eastAsia="宋体" w:cs="宋体"/>
          <w:b/>
          <w:bCs/>
          <w:sz w:val="24"/>
          <w:szCs w:val="24"/>
        </w:rPr>
        <w:t>予受理。具体按招标文件和系统操作手册为准。</w:t>
      </w:r>
      <w:bookmarkEnd w:id="88"/>
    </w:p>
    <w:p w14:paraId="71121C40">
      <w:pPr>
        <w:spacing w:before="143" w:line="360"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429DB52E">
      <w:pPr>
        <w:spacing w:before="155" w:line="360"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14.4</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332FDB46">
      <w:pPr>
        <w:spacing w:before="78" w:line="360" w:lineRule="auto"/>
        <w:ind w:left="496"/>
        <w:outlineLvl w:val="2"/>
        <w:rPr>
          <w:rFonts w:hint="eastAsia" w:ascii="宋体" w:hAnsi="宋体" w:eastAsia="宋体" w:cs="宋体"/>
          <w:color w:val="auto"/>
          <w:highlight w:val="none"/>
        </w:rPr>
      </w:pPr>
      <w:bookmarkStart w:id="89" w:name="_Toc31540"/>
      <w:bookmarkStart w:id="90" w:name="_Toc24574"/>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11"/>
          <w:sz w:val="24"/>
          <w:szCs w:val="24"/>
          <w:highlight w:val="none"/>
          <w:lang w:val="en-US" w:eastAsia="zh-CN"/>
        </w:rPr>
        <w:t>.</w:t>
      </w:r>
      <w:r>
        <w:rPr>
          <w:rFonts w:hint="eastAsia" w:ascii="宋体" w:hAnsi="宋体" w:eastAsia="宋体" w:cs="宋体"/>
          <w:b/>
          <w:bCs/>
          <w:color w:val="auto"/>
          <w:spacing w:val="-11"/>
          <w:sz w:val="24"/>
          <w:szCs w:val="24"/>
          <w:highlight w:val="none"/>
        </w:rPr>
        <w:t>评标</w:t>
      </w:r>
      <w:bookmarkEnd w:id="89"/>
      <w:bookmarkEnd w:id="90"/>
    </w:p>
    <w:p w14:paraId="09BD37D5">
      <w:pPr>
        <w:spacing w:before="78" w:line="360" w:lineRule="auto"/>
        <w:ind w:left="8" w:right="65" w:firstLine="480"/>
        <w:rPr>
          <w:rFonts w:hint="eastAsia" w:ascii="宋体" w:hAnsi="宋体" w:eastAsia="宋体" w:cs="宋体"/>
          <w:color w:val="auto"/>
          <w:sz w:val="24"/>
          <w:szCs w:val="24"/>
          <w:highlight w:val="none"/>
        </w:rPr>
      </w:pPr>
      <w:bookmarkStart w:id="91" w:name="bookmark124"/>
      <w:bookmarkEnd w:id="91"/>
      <w:r>
        <w:rPr>
          <w:rFonts w:hint="eastAsia" w:ascii="宋体" w:hAnsi="宋体" w:eastAsia="宋体" w:cs="宋体"/>
          <w:color w:val="auto"/>
          <w:spacing w:val="-1"/>
          <w:sz w:val="24"/>
          <w:szCs w:val="24"/>
          <w:highlight w:val="none"/>
        </w:rPr>
        <w:t>评标分为初步评审和详细评审两个阶段，由评标委员会</w:t>
      </w:r>
      <w:r>
        <w:rPr>
          <w:rFonts w:hint="eastAsia" w:ascii="宋体" w:hAnsi="宋体" w:eastAsia="宋体" w:cs="宋体"/>
          <w:color w:val="auto"/>
          <w:spacing w:val="-2"/>
          <w:sz w:val="24"/>
          <w:szCs w:val="24"/>
          <w:highlight w:val="none"/>
        </w:rPr>
        <w:t>在有关部门的监督下，严</w:t>
      </w:r>
      <w:r>
        <w:rPr>
          <w:rFonts w:hint="eastAsia" w:ascii="宋体" w:hAnsi="宋体" w:eastAsia="宋体" w:cs="宋体"/>
          <w:color w:val="auto"/>
          <w:spacing w:val="-1"/>
          <w:sz w:val="24"/>
          <w:szCs w:val="24"/>
          <w:highlight w:val="none"/>
        </w:rPr>
        <w:t>格按照本招标文件指定的评标方法，对投标人的投标文件进行审</w:t>
      </w:r>
      <w:r>
        <w:rPr>
          <w:rFonts w:hint="eastAsia" w:ascii="宋体" w:hAnsi="宋体" w:eastAsia="宋体" w:cs="宋体"/>
          <w:color w:val="auto"/>
          <w:spacing w:val="-2"/>
          <w:sz w:val="24"/>
          <w:szCs w:val="24"/>
          <w:highlight w:val="none"/>
        </w:rPr>
        <w:t>查、评审。评标委员</w:t>
      </w:r>
      <w:r>
        <w:rPr>
          <w:rFonts w:hint="eastAsia" w:ascii="宋体" w:hAnsi="宋体" w:eastAsia="宋体" w:cs="宋体"/>
          <w:color w:val="auto"/>
          <w:spacing w:val="2"/>
          <w:sz w:val="24"/>
          <w:szCs w:val="24"/>
          <w:highlight w:val="none"/>
        </w:rPr>
        <w:t>会完成评标后，向招标人推荐</w:t>
      </w:r>
      <w:r>
        <w:rPr>
          <w:rFonts w:hint="eastAsia" w:ascii="宋体" w:hAnsi="宋体" w:eastAsia="宋体" w:cs="宋体"/>
          <w:color w:val="auto"/>
          <w:spacing w:val="2"/>
          <w:sz w:val="24"/>
          <w:szCs w:val="24"/>
          <w:highlight w:val="none"/>
          <w:u w:val="single"/>
        </w:rPr>
        <w:t xml:space="preserve"> 3 </w:t>
      </w:r>
      <w:r>
        <w:rPr>
          <w:rFonts w:hint="eastAsia" w:ascii="宋体" w:hAnsi="宋体" w:eastAsia="宋体" w:cs="宋体"/>
          <w:color w:val="auto"/>
          <w:spacing w:val="2"/>
          <w:sz w:val="24"/>
          <w:szCs w:val="24"/>
          <w:highlight w:val="none"/>
        </w:rPr>
        <w:t>个中标候选人，并向招标人提交由全</w:t>
      </w:r>
      <w:r>
        <w:rPr>
          <w:rFonts w:hint="eastAsia" w:ascii="宋体" w:hAnsi="宋体" w:eastAsia="宋体" w:cs="宋体"/>
          <w:color w:val="auto"/>
          <w:spacing w:val="1"/>
          <w:sz w:val="24"/>
          <w:szCs w:val="24"/>
          <w:highlight w:val="none"/>
        </w:rPr>
        <w:t>体评标委员会</w:t>
      </w:r>
      <w:r>
        <w:rPr>
          <w:rFonts w:hint="eastAsia" w:ascii="宋体" w:hAnsi="宋体" w:eastAsia="宋体" w:cs="宋体"/>
          <w:color w:val="auto"/>
          <w:spacing w:val="-1"/>
          <w:sz w:val="24"/>
          <w:szCs w:val="24"/>
          <w:highlight w:val="none"/>
        </w:rPr>
        <w:t>成员签字的评标报告。</w:t>
      </w:r>
    </w:p>
    <w:p w14:paraId="51680ABE">
      <w:pPr>
        <w:spacing w:before="38"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5F51F9F7">
      <w:pPr>
        <w:spacing w:before="155" w:line="360"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0</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广东省综合评标评审专家库-韶关区域</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3</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2</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标委员会的其他成员有同等的表决权。</w:t>
      </w:r>
    </w:p>
    <w:p w14:paraId="571A515E">
      <w:pPr>
        <w:spacing w:before="32" w:line="36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3843C5CE">
      <w:pPr>
        <w:spacing w:before="154"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059A4A5C">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3E73D76B">
      <w:pPr>
        <w:spacing w:before="155"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1AD07FB9">
      <w:pPr>
        <w:spacing w:before="153" w:line="360"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64310F5B">
      <w:pPr>
        <w:spacing w:before="155" w:line="360"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3598CEA3">
      <w:pPr>
        <w:spacing w:before="154" w:line="360"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F2818F3">
      <w:pPr>
        <w:spacing w:before="157" w:line="360"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5AEA3030">
      <w:pPr>
        <w:spacing w:before="156" w:line="360"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707E1AFC">
      <w:pPr>
        <w:spacing w:before="79" w:line="360"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5F03C3DF">
      <w:pPr>
        <w:spacing w:before="78" w:line="360" w:lineRule="auto"/>
        <w:ind w:left="231" w:right="181" w:firstLine="560"/>
        <w:rPr>
          <w:rFonts w:hint="eastAsia" w:ascii="宋体" w:hAnsi="宋体" w:eastAsia="宋体" w:cs="宋体"/>
          <w:color w:val="auto"/>
          <w:highlight w:val="none"/>
        </w:rPr>
      </w:pPr>
      <w:bookmarkStart w:id="92" w:name="bookmark125"/>
      <w:bookmarkEnd w:id="92"/>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综合评估法</w:t>
      </w:r>
      <w:r>
        <w:rPr>
          <w:rFonts w:hint="eastAsia" w:ascii="宋体" w:hAnsi="宋体" w:eastAsia="宋体" w:cs="宋体"/>
          <w:color w:val="auto"/>
          <w:spacing w:val="-1"/>
          <w:sz w:val="24"/>
          <w:szCs w:val="24"/>
          <w:highlight w:val="none"/>
        </w:rPr>
        <w:t>进行评标。</w:t>
      </w:r>
    </w:p>
    <w:p w14:paraId="307CD212">
      <w:pPr>
        <w:spacing w:before="154" w:line="360"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37A0E03F">
      <w:pPr>
        <w:spacing w:before="153" w:line="36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081480D6">
      <w:pPr>
        <w:spacing w:before="153" w:line="36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3D9CFCBF">
      <w:pPr>
        <w:keepNext w:val="0"/>
        <w:keepLines w:val="0"/>
        <w:pageBreakBefore w:val="0"/>
        <w:widowControl w:val="0"/>
        <w:overflowPunct/>
        <w:topLinePunct w:val="0"/>
        <w:bidi w:val="0"/>
        <w:adjustRightInd w:val="0"/>
        <w:snapToGrid w:val="0"/>
        <w:spacing w:before="155" w:line="360" w:lineRule="auto"/>
        <w:ind w:left="719" w:right="6303" w:hanging="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3"/>
          <w:sz w:val="24"/>
          <w:szCs w:val="24"/>
          <w:highlight w:val="none"/>
        </w:rPr>
        <w:t>资格评审</w:t>
      </w:r>
      <w:r>
        <w:rPr>
          <w:rFonts w:hint="eastAsia" w:ascii="宋体" w:hAnsi="宋体" w:eastAsia="宋体" w:cs="宋体"/>
          <w:color w:val="auto"/>
          <w:spacing w:val="-3"/>
          <w:sz w:val="24"/>
          <w:szCs w:val="24"/>
          <w:highlight w:val="none"/>
          <w:lang w:eastAsia="zh-CN"/>
        </w:rPr>
        <w:t>环</w:t>
      </w:r>
      <w:r>
        <w:rPr>
          <w:rFonts w:hint="eastAsia" w:ascii="宋体" w:hAnsi="宋体" w:eastAsia="宋体" w:cs="宋体"/>
          <w:color w:val="auto"/>
          <w:spacing w:val="-3"/>
          <w:sz w:val="24"/>
          <w:szCs w:val="24"/>
          <w:highlight w:val="none"/>
        </w:rPr>
        <w:t>节资格评审事项包括</w:t>
      </w:r>
      <w:r>
        <w:rPr>
          <w:rFonts w:hint="eastAsia" w:ascii="宋体" w:hAnsi="宋体" w:eastAsia="宋体" w:cs="宋体"/>
          <w:color w:val="auto"/>
          <w:spacing w:val="-3"/>
          <w:sz w:val="24"/>
          <w:szCs w:val="24"/>
          <w:highlight w:val="none"/>
          <w:lang w:val="en-US" w:eastAsia="zh-CN"/>
        </w:rPr>
        <w:t>:</w:t>
      </w:r>
    </w:p>
    <w:p w14:paraId="713B8C6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（1）投标人不是本次招标禁止投标条款中的单位，没有本次招标禁止投标条款中规定的任何一种情形。</w:t>
      </w:r>
    </w:p>
    <w:p w14:paraId="354177D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27BC091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w:t>
      </w:r>
      <w:r>
        <w:rPr>
          <w:rFonts w:hint="eastAsia" w:ascii="宋体" w:hAnsi="宋体" w:eastAsia="宋体" w:cs="宋体"/>
          <w:snapToGrid w:val="0"/>
          <w:color w:val="auto"/>
          <w:kern w:val="0"/>
          <w:sz w:val="24"/>
          <w:szCs w:val="24"/>
          <w:highlight w:val="none"/>
          <w:lang w:val="en-US" w:eastAsia="zh-CN"/>
        </w:rPr>
        <w:t>（含实时网页查询页，可参考网址https://zlaq.mohurd.gov.cn/fwmh/bjxcjgl/fwh/pages/construction_safety/qyaqscxkz/qyaqscxkz）</w:t>
      </w:r>
      <w:r>
        <w:rPr>
          <w:rFonts w:hint="eastAsia" w:ascii="宋体" w:hAnsi="宋体" w:eastAsia="宋体" w:cs="宋体"/>
          <w:snapToGrid w:val="0"/>
          <w:color w:val="auto"/>
          <w:kern w:val="0"/>
          <w:sz w:val="24"/>
          <w:szCs w:val="24"/>
          <w:highlight w:val="none"/>
        </w:rPr>
        <w:t>是否合法、有效、准确。</w:t>
      </w:r>
    </w:p>
    <w:p w14:paraId="6323BE1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（4）《项目经理简历表》中拟派项目经理是否与《开标一览表》一致。</w:t>
      </w:r>
    </w:p>
    <w:p w14:paraId="0A6C8D3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r>
        <w:rPr>
          <w:rFonts w:hint="eastAsia" w:ascii="宋体" w:hAnsi="宋体" w:eastAsia="宋体" w:cs="宋体"/>
          <w:snapToGrid w:val="0"/>
          <w:color w:val="auto"/>
          <w:kern w:val="0"/>
          <w:sz w:val="24"/>
          <w:szCs w:val="24"/>
          <w:highlight w:val="none"/>
          <w:lang w:val="en-US" w:eastAsia="zh-CN"/>
        </w:rPr>
        <w:t>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5E22324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Style w:val="48"/>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1902FFE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bookmarkStart w:id="93" w:name="_Toc15213"/>
      <w:r>
        <w:rPr>
          <w:rFonts w:hint="eastAsia" w:ascii="宋体" w:hAnsi="宋体" w:eastAsia="宋体" w:cs="宋体"/>
          <w:b/>
          <w:bCs/>
          <w:snapToGrid w:val="0"/>
          <w:color w:val="auto"/>
          <w:kern w:val="0"/>
          <w:sz w:val="24"/>
          <w:szCs w:val="24"/>
          <w:highlight w:val="none"/>
        </w:rPr>
        <w:t xml:space="preserve">15.4.2  </w:t>
      </w:r>
      <w:r>
        <w:rPr>
          <w:rFonts w:hint="eastAsia" w:ascii="宋体" w:hAnsi="宋体" w:eastAsia="宋体" w:cs="宋体"/>
          <w:snapToGrid w:val="0"/>
          <w:color w:val="auto"/>
          <w:kern w:val="0"/>
          <w:sz w:val="24"/>
          <w:szCs w:val="24"/>
          <w:highlight w:val="none"/>
        </w:rPr>
        <w:t>形式评审环节</w:t>
      </w:r>
    </w:p>
    <w:p w14:paraId="53B5F00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形式评审事</w:t>
      </w:r>
      <w:r>
        <w:rPr>
          <w:rFonts w:hint="eastAsia" w:ascii="宋体" w:hAnsi="宋体" w:eastAsia="宋体" w:cs="宋体"/>
          <w:snapToGrid w:val="0"/>
          <w:color w:val="auto"/>
          <w:kern w:val="0"/>
          <w:sz w:val="24"/>
          <w:szCs w:val="24"/>
          <w:highlight w:val="none"/>
          <w:lang w:eastAsia="zh-CN"/>
        </w:rPr>
        <w:t>项包括</w:t>
      </w:r>
      <w:bookmarkEnd w:id="93"/>
      <w:bookmarkStart w:id="94" w:name="_Toc19814"/>
      <w:bookmarkStart w:id="95" w:name="_Toc32114"/>
      <w:bookmarkStart w:id="96" w:name="_Toc18204"/>
      <w:r>
        <w:rPr>
          <w:rFonts w:hint="eastAsia" w:ascii="宋体" w:hAnsi="宋体" w:eastAsia="宋体" w:cs="宋体"/>
          <w:snapToGrid w:val="0"/>
          <w:color w:val="auto"/>
          <w:kern w:val="0"/>
          <w:sz w:val="24"/>
          <w:szCs w:val="24"/>
          <w:highlight w:val="none"/>
          <w:lang w:eastAsia="zh-CN"/>
        </w:rPr>
        <w:t>：</w:t>
      </w:r>
    </w:p>
    <w:p w14:paraId="0A446BAB">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97" w:name="_Toc13304"/>
      <w:bookmarkStart w:id="98" w:name="_Toc23632"/>
      <w:bookmarkStart w:id="99" w:name="_Toc20481"/>
      <w:r>
        <w:rPr>
          <w:rFonts w:hint="eastAsia" w:ascii="宋体" w:hAnsi="宋体" w:eastAsia="宋体" w:cs="宋体"/>
          <w:snapToGrid w:val="0"/>
          <w:color w:val="auto"/>
          <w:kern w:val="0"/>
          <w:sz w:val="24"/>
          <w:szCs w:val="24"/>
          <w:highlight w:val="none"/>
          <w:lang w:val="en-US" w:eastAsia="en-US"/>
        </w:rPr>
        <w:t>（1）</w:t>
      </w:r>
      <w:r>
        <w:rPr>
          <w:rFonts w:hint="eastAsia" w:ascii="宋体" w:hAnsi="宋体" w:eastAsia="宋体" w:cs="宋体"/>
          <w:snapToGrid w:val="0"/>
          <w:color w:val="auto"/>
          <w:kern w:val="0"/>
          <w:sz w:val="24"/>
          <w:szCs w:val="24"/>
          <w:highlight w:val="none"/>
        </w:rPr>
        <w:t>各分册是否按招标文件规定加盖电子印章。</w:t>
      </w:r>
      <w:bookmarkEnd w:id="97"/>
      <w:bookmarkEnd w:id="98"/>
      <w:bookmarkEnd w:id="99"/>
      <w:bookmarkStart w:id="100" w:name="_Toc27432"/>
      <w:bookmarkStart w:id="101" w:name="_Toc10806"/>
      <w:bookmarkStart w:id="102" w:name="_Toc28409"/>
    </w:p>
    <w:p w14:paraId="68C4E8E4">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 10.2.2  目、第 10.3.2  目、第 10.4.3  目中规定的“所有投标人均应提</w:t>
      </w:r>
      <w:bookmarkEnd w:id="100"/>
      <w:bookmarkEnd w:id="101"/>
      <w:bookmarkEnd w:id="102"/>
      <w:r>
        <w:rPr>
          <w:rFonts w:hint="eastAsia" w:ascii="宋体" w:hAnsi="宋体" w:eastAsia="宋体" w:cs="宋体"/>
          <w:snapToGrid w:val="0"/>
          <w:color w:val="auto"/>
          <w:kern w:val="0"/>
          <w:sz w:val="24"/>
          <w:szCs w:val="24"/>
          <w:highlight w:val="none"/>
        </w:rPr>
        <w:t>供 ”的组成内容（包括该组成内容的所附资料）是否完整、齐全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bookmarkStart w:id="103" w:name="_Toc17918"/>
      <w:bookmarkStart w:id="104" w:name="_Toc22691"/>
      <w:bookmarkStart w:id="105" w:name="_Toc9581"/>
    </w:p>
    <w:bookmarkEnd w:id="103"/>
    <w:bookmarkEnd w:id="104"/>
    <w:bookmarkEnd w:id="105"/>
    <w:p w14:paraId="06446360">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15.4.3  </w:t>
      </w:r>
      <w:r>
        <w:rPr>
          <w:rFonts w:hint="eastAsia" w:ascii="宋体" w:hAnsi="宋体" w:eastAsia="宋体" w:cs="宋体"/>
          <w:snapToGrid w:val="0"/>
          <w:color w:val="auto"/>
          <w:kern w:val="0"/>
          <w:sz w:val="24"/>
          <w:szCs w:val="24"/>
          <w:highlight w:val="none"/>
        </w:rPr>
        <w:t>响应性评审环节</w:t>
      </w:r>
    </w:p>
    <w:p w14:paraId="5ACF1BBA">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725402C3">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34EA9995">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6A4EB75F">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（3）投标人委托造价咨询单位编制《投标总价》的，是否在</w:t>
      </w:r>
      <w:r>
        <w:rPr>
          <w:rFonts w:hint="eastAsia" w:ascii="宋体" w:hAnsi="宋体" w:eastAsia="宋体" w:cs="宋体"/>
          <w:snapToGrid w:val="0"/>
          <w:color w:val="auto"/>
          <w:kern w:val="0"/>
          <w:sz w:val="24"/>
          <w:szCs w:val="24"/>
          <w:highlight w:val="none"/>
          <w:lang w:val="en-US" w:eastAsia="zh-CN"/>
        </w:rPr>
        <w:t>《投标总价扉页》（即扉—3）“投标人”栏目加盖造价咨询人公章；是否提供造价咨询人的营业执照副本彩色扫描件。</w:t>
      </w:r>
    </w:p>
    <w:p w14:paraId="203652E5">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；绿色施工安全防护措施费是否达到最低要求；暂列金额、暂估价是否按照招标工程量清单统一报价；投标人是否以低于成本的价格竞标。</w:t>
      </w:r>
    </w:p>
    <w:p w14:paraId="5276AED6">
      <w:pPr>
        <w:keepNext w:val="0"/>
        <w:keepLines w:val="0"/>
        <w:pageBreakBefore w:val="0"/>
        <w:kinsoku/>
        <w:wordWrap w:val="0"/>
        <w:overflowPunct/>
        <w:autoSpaceDE/>
        <w:autoSpaceDN/>
        <w:bidi w:val="0"/>
        <w:adjustRightInd w:val="0"/>
        <w:snapToGrid w:val="0"/>
        <w:spacing w:line="36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75995BAD">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106" w:name="_Toc14163"/>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施工组织设计的质量、进度保障措施是否符合国家和省市现行有关规范、规定、标准，是否能实现工程质量、进度管理目标。</w:t>
      </w:r>
      <w:bookmarkEnd w:id="106"/>
    </w:p>
    <w:p w14:paraId="76DDDEA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sz w:val="24"/>
          <w:szCs w:val="24"/>
          <w:highlight w:val="none"/>
        </w:rPr>
      </w:pPr>
      <w:bookmarkStart w:id="107" w:name="_Toc29261"/>
      <w:r>
        <w:rPr>
          <w:rFonts w:hint="eastAsia" w:ascii="宋体" w:hAnsi="宋体" w:eastAsia="宋体" w:cs="宋体"/>
          <w:b/>
          <w:bCs/>
          <w:snapToGrid w:val="0"/>
          <w:color w:val="auto"/>
          <w:kern w:val="0"/>
          <w:sz w:val="24"/>
          <w:szCs w:val="24"/>
          <w:highlight w:val="none"/>
        </w:rPr>
        <w:t xml:space="preserve">15.4.4  </w:t>
      </w:r>
      <w:r>
        <w:rPr>
          <w:rFonts w:hint="eastAsia" w:ascii="宋体" w:hAnsi="宋体" w:eastAsia="宋体" w:cs="宋体"/>
          <w:b w:val="0"/>
          <w:bCs w:val="0"/>
          <w:snapToGrid w:val="0"/>
          <w:color w:val="auto"/>
          <w:kern w:val="0"/>
          <w:sz w:val="24"/>
          <w:szCs w:val="24"/>
          <w:highlight w:val="none"/>
        </w:rPr>
        <w:t>否决投标说明</w:t>
      </w:r>
      <w:bookmarkEnd w:id="94"/>
      <w:bookmarkEnd w:id="95"/>
      <w:bookmarkEnd w:id="96"/>
      <w:bookmarkEnd w:id="107"/>
    </w:p>
    <w:p w14:paraId="23A70E99">
      <w:pPr>
        <w:keepNext w:val="0"/>
        <w:keepLines w:val="0"/>
        <w:pageBreakBefore w:val="0"/>
        <w:kinsoku/>
        <w:wordWrap w:val="0"/>
        <w:overflowPunct/>
        <w:autoSpaceDE/>
        <w:autoSpaceDN/>
        <w:bidi w:val="0"/>
        <w:adjustRightInd w:val="0"/>
        <w:snapToGrid w:val="0"/>
        <w:spacing w:line="36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1AC88C47">
      <w:pPr>
        <w:pStyle w:val="2"/>
        <w:keepNext w:val="0"/>
        <w:keepLines w:val="0"/>
        <w:pageBreakBefore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温馨提示：依据2017年12月27日修改的《中华人民共和国招标投标法》“第四十二条评标委员会经评审，认为所有投标都不符合招标文件要求的，可以否决所有投标。依法必须进行招标的项目的所有投标被否决的，招标人应当依照本法重新招标。”及2018年11月29日修订的《广东省实施〈中华人民共和国招标投标法〉办法》取消“经评议有效投标的投标人少于三人”必须重新招标的限制。</w:t>
      </w:r>
    </w:p>
    <w:p w14:paraId="33BC85C8">
      <w:pPr>
        <w:spacing w:before="78" w:line="360" w:lineRule="auto"/>
        <w:ind w:left="5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0" distR="0" simplePos="0" relativeHeight="251659264"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1" name="IM 46"/>
            <wp:cNvGraphicFramePr/>
            <a:graphic xmlns:a="http://schemas.openxmlformats.org/drawingml/2006/main">
              <a:graphicData uri="http://schemas.openxmlformats.org/drawingml/2006/picture">
                <pic:pic xmlns:pic="http://schemas.openxmlformats.org/drawingml/2006/picture">
                  <pic:nvPicPr>
                    <pic:cNvPr id="1" name="IM 46"/>
                    <pic:cNvPicPr/>
                  </pic:nvPicPr>
                  <pic:blipFill>
                    <a:blip r:embed="rId7"/>
                    <a:stretch>
                      <a:fillRect/>
                    </a:stretch>
                  </pic:blipFill>
                  <pic:spPr>
                    <a:xfrm>
                      <a:off x="0" y="0"/>
                      <a:ext cx="6350" cy="279400"/>
                    </a:xfrm>
                    <a:prstGeom prst="rect">
                      <a:avLst/>
                    </a:prstGeom>
                    <a:noFill/>
                    <a:ln>
                      <a:noFill/>
                    </a:ln>
                  </pic:spPr>
                </pic:pic>
              </a:graphicData>
            </a:graphic>
          </wp:anchor>
        </w:drawing>
      </w:r>
      <w:bookmarkStart w:id="108" w:name="bookmark128"/>
      <w:bookmarkEnd w:id="108"/>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434E402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rPr>
      </w:pPr>
      <w:bookmarkStart w:id="109" w:name="_Toc10503"/>
      <w:bookmarkStart w:id="110" w:name="_Toc28572"/>
      <w:bookmarkStart w:id="111" w:name="_Toc1868"/>
      <w:bookmarkStart w:id="112" w:name="_Toc4119"/>
      <w:r>
        <w:rPr>
          <w:rFonts w:hint="eastAsia" w:ascii="宋体" w:hAnsi="宋体" w:eastAsia="宋体" w:cs="宋体"/>
          <w:b/>
          <w:bCs/>
          <w:snapToGrid w:val="0"/>
          <w:color w:val="auto"/>
          <w:kern w:val="0"/>
          <w:sz w:val="24"/>
          <w:szCs w:val="24"/>
          <w:highlight w:val="none"/>
        </w:rPr>
        <w:t xml:space="preserve">15.5.1  </w:t>
      </w:r>
      <w:r>
        <w:rPr>
          <w:rFonts w:hint="eastAsia" w:ascii="宋体" w:hAnsi="宋体" w:eastAsia="宋体" w:cs="宋体"/>
          <w:b w:val="0"/>
          <w:bCs w:val="0"/>
          <w:snapToGrid w:val="0"/>
          <w:color w:val="auto"/>
          <w:kern w:val="0"/>
          <w:sz w:val="24"/>
          <w:szCs w:val="24"/>
          <w:highlight w:val="none"/>
        </w:rPr>
        <w:t>“综合评估法 ”评审程序</w:t>
      </w:r>
      <w:bookmarkEnd w:id="109"/>
      <w:bookmarkEnd w:id="110"/>
      <w:bookmarkEnd w:id="111"/>
      <w:bookmarkEnd w:id="112"/>
    </w:p>
    <w:p w14:paraId="67130DFF">
      <w:pPr>
        <w:spacing w:before="152" w:line="360"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%；投标报价满分100分，权重为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。两大部分权重之和应为100%。</w:t>
      </w:r>
    </w:p>
    <w:p w14:paraId="3867D301">
      <w:pPr>
        <w:spacing w:before="153" w:line="360"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451EA660">
      <w:pPr>
        <w:spacing w:before="152" w:line="360" w:lineRule="auto"/>
        <w:ind w:left="14" w:right="81" w:firstLine="476"/>
        <w:rPr>
          <w:rFonts w:hint="eastAsia" w:ascii="宋体" w:hAnsi="宋体" w:eastAsia="宋体" w:cs="宋体"/>
          <w:color w:val="auto"/>
          <w:spacing w:val="-1"/>
          <w:sz w:val="24"/>
          <w:szCs w:val="24"/>
          <w:highlight w:val="none"/>
        </w:rPr>
      </w:pPr>
      <w:bookmarkStart w:id="113" w:name="_Toc22949"/>
      <w:bookmarkStart w:id="114" w:name="_Toc17510"/>
      <w:bookmarkStart w:id="115" w:name="_Toc18029"/>
      <w:bookmarkStart w:id="116" w:name="_Toc16570"/>
      <w:r>
        <w:rPr>
          <w:rFonts w:hint="eastAsia" w:ascii="宋体" w:hAnsi="宋体" w:eastAsia="宋体" w:cs="宋体"/>
          <w:color w:val="auto"/>
          <w:spacing w:val="-1"/>
          <w:sz w:val="24"/>
          <w:szCs w:val="24"/>
          <w:highlight w:val="none"/>
        </w:rPr>
        <w:t>（1）商务技术得分 M</w:t>
      </w:r>
      <w:bookmarkEnd w:id="113"/>
      <w:bookmarkEnd w:id="114"/>
      <w:bookmarkEnd w:id="115"/>
      <w:bookmarkEnd w:id="116"/>
    </w:p>
    <w:p w14:paraId="2876E1BE">
      <w:pPr>
        <w:spacing w:before="153" w:line="360"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w:t>
      </w:r>
    </w:p>
    <w:p w14:paraId="563951AA">
      <w:pPr>
        <w:spacing w:before="154" w:line="360"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w:t>
      </w:r>
    </w:p>
    <w:p w14:paraId="2053FBB2">
      <w:pPr>
        <w:spacing w:before="155" w:line="360" w:lineRule="auto"/>
        <w:ind w:left="491"/>
        <w:rPr>
          <w:rFonts w:hint="eastAsia" w:ascii="宋体" w:hAnsi="宋体" w:eastAsia="宋体" w:cs="宋体"/>
          <w:color w:val="auto"/>
          <w:sz w:val="24"/>
          <w:szCs w:val="24"/>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24"/>
          <w:szCs w:val="24"/>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24"/>
          <w:szCs w:val="24"/>
          <w:highlight w:val="none"/>
        </w:rPr>
        <w:t>2</w:t>
      </w:r>
    </w:p>
    <w:p w14:paraId="2874B8C1">
      <w:pPr>
        <w:spacing w:before="139" w:line="36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2BE6EBBE">
      <w:pPr>
        <w:spacing w:before="106" w:line="360" w:lineRule="auto"/>
        <w:ind w:left="7" w:right="17" w:firstLine="489"/>
        <w:rPr>
          <w:rFonts w:hint="eastAsia" w:ascii="宋体" w:hAnsi="宋体" w:eastAsia="宋体" w:cs="宋体"/>
          <w:color w:val="auto"/>
          <w:spacing w:val="-9"/>
          <w:sz w:val="24"/>
          <w:szCs w:val="24"/>
          <w:highlight w:val="none"/>
        </w:rPr>
      </w:pPr>
      <w:bookmarkStart w:id="117" w:name="_Toc16136"/>
      <w:bookmarkStart w:id="118" w:name="_Toc27609"/>
      <w:bookmarkStart w:id="119" w:name="_Toc3234"/>
      <w:bookmarkStart w:id="120" w:name="_Toc3958"/>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2</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投标报价得分 N</w:t>
      </w:r>
      <w:bookmarkEnd w:id="117"/>
      <w:bookmarkEnd w:id="118"/>
      <w:bookmarkEnd w:id="119"/>
      <w:bookmarkEnd w:id="120"/>
    </w:p>
    <w:p w14:paraId="39B5AE92">
      <w:pPr>
        <w:spacing w:before="106" w:line="360" w:lineRule="auto"/>
        <w:ind w:left="7" w:right="17" w:firstLine="489"/>
        <w:rPr>
          <w:rFonts w:hint="eastAsia" w:ascii="宋体" w:hAnsi="宋体" w:eastAsia="宋体" w:cs="宋体"/>
          <w:color w:val="auto"/>
          <w:spacing w:val="-9"/>
          <w:sz w:val="24"/>
          <w:szCs w:val="24"/>
          <w:highlight w:val="none"/>
        </w:rPr>
      </w:pPr>
      <w:r>
        <w:rPr>
          <w:rFonts w:hint="eastAsia" w:ascii="宋体" w:hAnsi="宋体" w:eastAsia="宋体" w:cs="宋体"/>
          <w:b/>
          <w:bCs/>
          <w:color w:val="auto"/>
          <w:spacing w:val="-9"/>
          <w:sz w:val="24"/>
          <w:szCs w:val="24"/>
          <w:highlight w:val="none"/>
        </w:rPr>
        <w:t>a</w:t>
      </w:r>
      <w:r>
        <w:rPr>
          <w:rFonts w:hint="eastAsia" w:ascii="宋体" w:hAnsi="宋体" w:eastAsia="宋体" w:cs="宋体"/>
          <w:b/>
          <w:bCs/>
          <w:color w:val="auto"/>
          <w:spacing w:val="-9"/>
          <w:sz w:val="24"/>
          <w:szCs w:val="24"/>
          <w:highlight w:val="none"/>
          <w:lang w:eastAsia="zh-CN"/>
        </w:rPr>
        <w:t>.</w:t>
      </w:r>
      <w:r>
        <w:rPr>
          <w:rFonts w:hint="eastAsia" w:ascii="宋体" w:hAnsi="宋体" w:eastAsia="宋体" w:cs="宋体"/>
          <w:color w:val="auto"/>
          <w:spacing w:val="-9"/>
          <w:sz w:val="24"/>
          <w:szCs w:val="24"/>
          <w:highlight w:val="none"/>
        </w:rPr>
        <w:t>评标委员会按照《综合评分表》投标报价部分指定的方法计算评标基准价D。</w:t>
      </w:r>
    </w:p>
    <w:p w14:paraId="67AD0E8C">
      <w:pPr>
        <w:spacing w:before="155" w:line="360"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 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1A1D4778">
      <w:pPr>
        <w:spacing w:before="118" w:line="360" w:lineRule="auto"/>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30B0BB24">
      <w:pPr>
        <w:spacing w:before="106" w:line="360"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pacing w:val="-8"/>
          <w:sz w:val="24"/>
          <w:szCs w:val="24"/>
          <w:highlight w:val="none"/>
        </w:rPr>
        <w:t>E＝</w:t>
      </w:r>
      <w:r>
        <w:rPr>
          <w:rFonts w:hint="eastAsia" w:ascii="宋体" w:hAnsi="宋体" w:eastAsia="宋体" w:cs="宋体"/>
          <w:b w:val="0"/>
          <w:bCs w:val="0"/>
          <w:color w:val="auto"/>
          <w:spacing w:val="-8"/>
          <w:sz w:val="24"/>
          <w:szCs w:val="24"/>
          <w:highlight w:val="none"/>
        </w:rPr>
        <w:t>1</w:t>
      </w:r>
      <w:r>
        <w:rPr>
          <w:rFonts w:hint="eastAsia" w:ascii="宋体" w:hAnsi="宋体" w:eastAsia="宋体" w:cs="宋体"/>
          <w:b w:val="0"/>
          <w:bCs w:val="0"/>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b w:val="0"/>
          <w:bCs w:val="0"/>
          <w:color w:val="auto"/>
          <w:spacing w:val="-8"/>
          <w:sz w:val="24"/>
          <w:szCs w:val="24"/>
          <w:highlight w:val="none"/>
        </w:rPr>
        <w:t>0.5</w:t>
      </w:r>
      <w:r>
        <w:rPr>
          <w:rFonts w:hint="eastAsia" w:ascii="宋体" w:hAnsi="宋体" w:eastAsia="宋体" w:cs="宋体"/>
          <w:b/>
          <w:bCs/>
          <w:color w:val="auto"/>
          <w:spacing w:val="-8"/>
          <w:sz w:val="24"/>
          <w:szCs w:val="24"/>
          <w:highlight w:val="none"/>
        </w:rPr>
        <w:t>。</w:t>
      </w:r>
    </w:p>
    <w:p w14:paraId="3235F073">
      <w:pPr>
        <w:spacing w:before="152" w:line="360" w:lineRule="auto"/>
        <w:ind w:left="14" w:right="81" w:firstLine="476"/>
        <w:rPr>
          <w:rFonts w:hint="eastAsia" w:ascii="宋体" w:hAnsi="宋体" w:eastAsia="宋体" w:cs="宋体"/>
          <w:color w:val="auto"/>
          <w:spacing w:val="-1"/>
          <w:sz w:val="24"/>
          <w:szCs w:val="24"/>
          <w:highlight w:val="none"/>
          <w:lang w:eastAsia="zh-CN"/>
        </w:rPr>
      </w:pPr>
      <w:bookmarkStart w:id="121" w:name="_Toc7915"/>
      <w:bookmarkStart w:id="122" w:name="_Toc23551"/>
      <w:bookmarkStart w:id="123" w:name="_Toc3861"/>
      <w:bookmarkStart w:id="124" w:name="_Toc4990"/>
      <w:r>
        <w:rPr>
          <w:rFonts w:hint="eastAsia" w:ascii="宋体" w:hAnsi="宋体" w:eastAsia="宋体" w:cs="宋体"/>
          <w:color w:val="auto"/>
          <w:spacing w:val="-1"/>
          <w:sz w:val="24"/>
          <w:szCs w:val="24"/>
          <w:highlight w:val="none"/>
          <w:lang w:eastAsia="zh-CN"/>
        </w:rPr>
        <w:t>（3）综合得分</w:t>
      </w:r>
      <w:bookmarkEnd w:id="121"/>
      <w:bookmarkEnd w:id="122"/>
      <w:bookmarkEnd w:id="123"/>
      <w:bookmarkEnd w:id="124"/>
    </w:p>
    <w:p w14:paraId="1249D688">
      <w:pPr>
        <w:spacing w:before="153" w:line="36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8A23B7A">
      <w:pPr>
        <w:spacing w:before="155" w:line="360"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 xml:space="preserve">×商务技术权重＋N×投标报价权重式中：M </w:t>
      </w:r>
      <w:r>
        <w:rPr>
          <w:rFonts w:hint="eastAsia" w:ascii="宋体" w:hAnsi="宋体" w:eastAsia="宋体" w:cs="宋体"/>
          <w:color w:val="auto"/>
          <w:sz w:val="24"/>
          <w:szCs w:val="24"/>
          <w:highlight w:val="none"/>
        </w:rPr>
        <w:t>为商务技术得分，N 为投标报价得分。</w:t>
      </w:r>
    </w:p>
    <w:p w14:paraId="7F055B59">
      <w:pPr>
        <w:spacing w:line="360" w:lineRule="auto"/>
        <w:ind w:firstLine="480" w:firstLineChars="200"/>
        <w:rPr>
          <w:rFonts w:hint="eastAsia" w:ascii="宋体" w:hAnsi="宋体" w:eastAsia="宋体" w:cs="宋体"/>
          <w:sz w:val="24"/>
          <w:szCs w:val="24"/>
        </w:rPr>
      </w:pPr>
      <w:bookmarkStart w:id="125" w:name="_Toc2885"/>
      <w:bookmarkStart w:id="126" w:name="_Toc16789"/>
      <w:bookmarkStart w:id="127" w:name="_Toc30671"/>
      <w:bookmarkStart w:id="128" w:name="_Toc25214"/>
      <w:r>
        <w:rPr>
          <w:rFonts w:hint="eastAsia" w:ascii="宋体" w:hAnsi="宋体" w:eastAsia="宋体" w:cs="宋体"/>
          <w:sz w:val="24"/>
          <w:szCs w:val="24"/>
        </w:rPr>
        <w:t>（4）评标委员会汇总、比较所有投标人的综合得分后，取综合得分最高的投标</w:t>
      </w:r>
      <w:bookmarkEnd w:id="125"/>
      <w:bookmarkEnd w:id="126"/>
      <w:bookmarkEnd w:id="127"/>
      <w:bookmarkEnd w:id="128"/>
      <w:r>
        <w:rPr>
          <w:rFonts w:hint="eastAsia" w:ascii="宋体" w:hAnsi="宋体" w:eastAsia="宋体" w:cs="宋体"/>
          <w:sz w:val="24"/>
          <w:szCs w:val="24"/>
        </w:rPr>
        <w:t>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7B2696B7">
      <w:pPr>
        <w:rPr>
          <w:rFonts w:hint="eastAsia" w:ascii="宋体" w:hAnsi="宋体" w:eastAsia="宋体" w:cs="宋体"/>
        </w:rPr>
      </w:pPr>
    </w:p>
    <w:p w14:paraId="3F251AEE">
      <w:pPr>
        <w:rPr>
          <w:rFonts w:hint="eastAsia" w:ascii="宋体" w:hAnsi="宋体" w:eastAsia="宋体" w:cs="宋体"/>
        </w:rPr>
      </w:pPr>
    </w:p>
    <w:p w14:paraId="5F160699">
      <w:pPr>
        <w:pStyle w:val="2"/>
        <w:rPr>
          <w:rFonts w:hint="eastAsia" w:ascii="宋体" w:hAnsi="宋体" w:eastAsia="宋体" w:cs="宋体"/>
        </w:rPr>
      </w:pPr>
    </w:p>
    <w:p w14:paraId="7D6682D1">
      <w:pPr>
        <w:pStyle w:val="3"/>
        <w:rPr>
          <w:rFonts w:hint="eastAsia" w:ascii="宋体" w:hAnsi="宋体" w:eastAsia="宋体" w:cs="宋体"/>
        </w:rPr>
      </w:pPr>
    </w:p>
    <w:p w14:paraId="76AF18E1">
      <w:pPr>
        <w:pStyle w:val="3"/>
        <w:rPr>
          <w:rFonts w:hint="eastAsia" w:ascii="宋体" w:hAnsi="宋体" w:eastAsia="宋体" w:cs="宋体"/>
        </w:rPr>
      </w:pPr>
    </w:p>
    <w:p w14:paraId="0D50CE47">
      <w:pPr>
        <w:pStyle w:val="3"/>
        <w:rPr>
          <w:rFonts w:hint="eastAsia" w:ascii="宋体" w:hAnsi="宋体" w:eastAsia="宋体" w:cs="宋体"/>
        </w:rPr>
      </w:pPr>
    </w:p>
    <w:p w14:paraId="6C23E557">
      <w:pPr>
        <w:pStyle w:val="3"/>
        <w:rPr>
          <w:rFonts w:hint="eastAsia" w:ascii="宋体" w:hAnsi="宋体" w:eastAsia="宋体" w:cs="宋体"/>
        </w:rPr>
      </w:pPr>
    </w:p>
    <w:p w14:paraId="26FEE077">
      <w:pPr>
        <w:spacing w:before="152" w:line="360" w:lineRule="auto"/>
        <w:ind w:left="14" w:right="81" w:firstLine="476"/>
        <w:jc w:val="center"/>
        <w:rPr>
          <w:rFonts w:hint="eastAsia" w:ascii="宋体" w:hAnsi="宋体" w:eastAsia="宋体" w:cs="宋体"/>
          <w:b/>
          <w:bCs/>
          <w:color w:val="auto"/>
          <w:spacing w:val="-1"/>
          <w:sz w:val="28"/>
          <w:szCs w:val="28"/>
          <w:highlight w:val="none"/>
        </w:rPr>
      </w:pPr>
      <w:bookmarkStart w:id="129" w:name="_Toc3839"/>
      <w:bookmarkStart w:id="130" w:name="_Toc17375"/>
      <w:bookmarkStart w:id="131" w:name="_Toc16801"/>
      <w:bookmarkStart w:id="132" w:name="_Toc3020"/>
      <w:r>
        <w:rPr>
          <w:rFonts w:hint="eastAsia" w:ascii="宋体" w:hAnsi="宋体" w:eastAsia="宋体" w:cs="宋体"/>
          <w:b/>
          <w:bCs/>
          <w:color w:val="auto"/>
          <w:spacing w:val="-1"/>
          <w:sz w:val="28"/>
          <w:szCs w:val="28"/>
          <w:highlight w:val="none"/>
        </w:rPr>
        <w:t>综合评分表</w:t>
      </w:r>
      <w:bookmarkEnd w:id="129"/>
      <w:bookmarkEnd w:id="130"/>
      <w:bookmarkEnd w:id="131"/>
      <w:bookmarkEnd w:id="132"/>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2"/>
        <w:gridCol w:w="4305"/>
        <w:gridCol w:w="4324"/>
      </w:tblGrid>
      <w:tr w14:paraId="2EAD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4"/>
            <w:vAlign w:val="center"/>
          </w:tcPr>
          <w:p w14:paraId="527DB60E">
            <w:pPr>
              <w:pStyle w:val="10"/>
              <w:widowControl w:val="0"/>
              <w:tabs>
                <w:tab w:val="left" w:pos="1354"/>
                <w:tab w:val="left" w:pos="1459"/>
                <w:tab w:val="center" w:pos="3902"/>
                <w:tab w:val="right" w:pos="7805"/>
              </w:tabs>
              <w:wordWrap w:val="0"/>
              <w:adjustRightInd w:val="0"/>
              <w:snapToGrid w:val="0"/>
              <w:spacing w:after="0" w:line="240" w:lineRule="auto"/>
              <w:jc w:val="both"/>
              <w:rPr>
                <w:rFonts w:hint="eastAsia" w:ascii="宋体" w:hAnsi="宋体" w:eastAsia="宋体" w:cs="宋体"/>
                <w:color w:val="C00000"/>
                <w:sz w:val="24"/>
                <w:szCs w:val="24"/>
              </w:rPr>
            </w:pPr>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lang w:val="en-US" w:eastAsia="zh-CN"/>
              </w:rPr>
              <w:t>80</w:t>
            </w:r>
            <w:r>
              <w:rPr>
                <w:rFonts w:hint="eastAsia" w:ascii="宋体" w:hAnsi="宋体" w:eastAsia="宋体" w:cs="宋体"/>
                <w:b/>
                <w:bCs/>
                <w:snapToGrid w:val="0"/>
                <w:color w:val="auto"/>
                <w:kern w:val="0"/>
                <w:sz w:val="24"/>
                <w:szCs w:val="24"/>
                <w:highlight w:val="none"/>
              </w:rPr>
              <w:t>分。</w:t>
            </w:r>
          </w:p>
        </w:tc>
      </w:tr>
      <w:tr w14:paraId="5F76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gridSpan w:val="2"/>
            <w:vAlign w:val="center"/>
          </w:tcPr>
          <w:p w14:paraId="16E3991F">
            <w:pPr>
              <w:pStyle w:val="10"/>
              <w:widowControl w:val="0"/>
              <w:tabs>
                <w:tab w:val="left" w:pos="1354"/>
                <w:tab w:val="left" w:pos="1459"/>
                <w:tab w:val="center" w:pos="3902"/>
                <w:tab w:val="right" w:pos="7805"/>
              </w:tabs>
              <w:wordWrap w:val="0"/>
              <w:adjustRightInd w:val="0"/>
              <w:snapToGrid w:val="0"/>
              <w:spacing w:after="0" w:line="240" w:lineRule="auto"/>
              <w:jc w:val="center"/>
              <w:rPr>
                <w:rFonts w:hint="eastAsia" w:ascii="宋体" w:hAnsi="宋体" w:eastAsia="宋体" w:cs="宋体"/>
                <w:color w:val="C00000"/>
                <w:sz w:val="24"/>
                <w:szCs w:val="24"/>
                <w:lang w:val="en-US" w:eastAsia="zh-CN"/>
              </w:rPr>
            </w:pPr>
            <w:r>
              <w:rPr>
                <w:rFonts w:hint="eastAsia" w:ascii="宋体" w:hAnsi="宋体" w:eastAsia="宋体" w:cs="宋体"/>
                <w:b/>
                <w:bCs/>
                <w:snapToGrid w:val="0"/>
                <w:color w:val="auto"/>
                <w:kern w:val="0"/>
                <w:sz w:val="24"/>
                <w:szCs w:val="24"/>
                <w:highlight w:val="none"/>
              </w:rPr>
              <w:t>评分因素</w:t>
            </w:r>
          </w:p>
        </w:tc>
        <w:tc>
          <w:tcPr>
            <w:tcW w:w="4305" w:type="dxa"/>
            <w:vAlign w:val="center"/>
          </w:tcPr>
          <w:p w14:paraId="11F87719">
            <w:pPr>
              <w:pStyle w:val="10"/>
              <w:widowControl w:val="0"/>
              <w:tabs>
                <w:tab w:val="left" w:pos="1354"/>
                <w:tab w:val="left" w:pos="1459"/>
                <w:tab w:val="center" w:pos="3902"/>
                <w:tab w:val="right" w:pos="7805"/>
              </w:tabs>
              <w:wordWrap w:val="0"/>
              <w:adjustRightInd w:val="0"/>
              <w:snapToGrid w:val="0"/>
              <w:spacing w:after="0" w:line="240" w:lineRule="auto"/>
              <w:jc w:val="center"/>
              <w:rPr>
                <w:rFonts w:hint="eastAsia" w:ascii="宋体" w:hAnsi="宋体" w:eastAsia="宋体" w:cs="宋体"/>
                <w:color w:val="C00000"/>
                <w:sz w:val="24"/>
                <w:szCs w:val="24"/>
                <w:lang w:val="en-US" w:eastAsia="zh-CN"/>
              </w:rPr>
            </w:pPr>
            <w:r>
              <w:rPr>
                <w:rFonts w:hint="eastAsia" w:ascii="宋体" w:hAnsi="宋体" w:eastAsia="宋体" w:cs="宋体"/>
                <w:b/>
                <w:bCs/>
                <w:snapToGrid w:val="0"/>
                <w:color w:val="auto"/>
                <w:kern w:val="0"/>
                <w:sz w:val="24"/>
                <w:szCs w:val="24"/>
                <w:highlight w:val="none"/>
              </w:rPr>
              <w:t>评分标准</w:t>
            </w:r>
          </w:p>
        </w:tc>
        <w:tc>
          <w:tcPr>
            <w:tcW w:w="4324" w:type="dxa"/>
            <w:vAlign w:val="center"/>
          </w:tcPr>
          <w:p w14:paraId="51D2098D">
            <w:pPr>
              <w:pStyle w:val="10"/>
              <w:widowControl w:val="0"/>
              <w:tabs>
                <w:tab w:val="left" w:pos="1354"/>
                <w:tab w:val="left" w:pos="1459"/>
                <w:tab w:val="center" w:pos="3902"/>
                <w:tab w:val="right" w:pos="7805"/>
              </w:tabs>
              <w:wordWrap w:val="0"/>
              <w:adjustRightInd w:val="0"/>
              <w:snapToGrid w:val="0"/>
              <w:spacing w:after="0" w:line="240" w:lineRule="auto"/>
              <w:jc w:val="center"/>
              <w:rPr>
                <w:rFonts w:hint="eastAsia" w:ascii="宋体" w:hAnsi="宋体" w:eastAsia="宋体" w:cs="宋体"/>
                <w:color w:val="C00000"/>
                <w:sz w:val="24"/>
                <w:szCs w:val="24"/>
                <w:lang w:val="en-US" w:eastAsia="zh-CN"/>
              </w:rPr>
            </w:pPr>
            <w:r>
              <w:rPr>
                <w:rFonts w:hint="eastAsia" w:ascii="宋体" w:hAnsi="宋体" w:eastAsia="宋体" w:cs="宋体"/>
                <w:b/>
                <w:bCs/>
                <w:snapToGrid w:val="0"/>
                <w:color w:val="auto"/>
                <w:kern w:val="0"/>
                <w:sz w:val="24"/>
                <w:szCs w:val="24"/>
                <w:highlight w:val="none"/>
              </w:rPr>
              <w:t>备注</w:t>
            </w:r>
          </w:p>
        </w:tc>
      </w:tr>
      <w:tr w14:paraId="4496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gridSpan w:val="2"/>
            <w:shd w:val="clear" w:color="auto" w:fill="auto"/>
            <w:vAlign w:val="center"/>
          </w:tcPr>
          <w:p w14:paraId="54D74D4D">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企业奖项</w:t>
            </w:r>
          </w:p>
          <w:p w14:paraId="3999D589">
            <w:pPr>
              <w:widowControl w:val="0"/>
              <w:spacing w:line="360" w:lineRule="auto"/>
              <w:jc w:val="center"/>
              <w:rPr>
                <w:rFonts w:hint="eastAsia" w:ascii="宋体" w:hAnsi="宋体" w:eastAsia="宋体" w:cs="宋体"/>
                <w:color w:val="C00000"/>
                <w:kern w:val="2"/>
                <w:sz w:val="24"/>
                <w:szCs w:val="24"/>
                <w:lang w:val="en-US" w:eastAsia="zh-CN" w:bidi="ar-SA"/>
              </w:rPr>
            </w:pPr>
            <w:r>
              <w:rPr>
                <w:rFonts w:hint="eastAsia" w:ascii="宋体" w:hAnsi="宋体" w:eastAsia="宋体" w:cs="宋体"/>
                <w:color w:val="auto"/>
                <w:sz w:val="24"/>
                <w:szCs w:val="24"/>
              </w:rPr>
              <w:t>（10分）</w:t>
            </w:r>
          </w:p>
        </w:tc>
        <w:tc>
          <w:tcPr>
            <w:tcW w:w="4305" w:type="dxa"/>
            <w:shd w:val="clear" w:color="auto" w:fill="auto"/>
            <w:vAlign w:val="center"/>
          </w:tcPr>
          <w:p w14:paraId="4E65357E">
            <w:pPr>
              <w:widowControl w:val="0"/>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auto"/>
                <w:sz w:val="24"/>
                <w:szCs w:val="24"/>
              </w:rPr>
              <w:t>企业近</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rPr>
              <w:t>年</w:t>
            </w:r>
            <w:r>
              <w:rPr>
                <w:rFonts w:hint="eastAsia" w:ascii="宋体" w:hAnsi="宋体" w:eastAsia="宋体" w:cs="宋体"/>
                <w:color w:val="000000" w:themeColor="text1"/>
                <w:sz w:val="24"/>
                <w:szCs w:val="24"/>
                <w14:textFill>
                  <w14:solidFill>
                    <w14:schemeClr w14:val="tx1"/>
                  </w14:solidFill>
                </w14:textFill>
              </w:rPr>
              <w:t>来（</w:t>
            </w:r>
            <w:r>
              <w:rPr>
                <w:rFonts w:hint="eastAsia" w:ascii="宋体" w:hAnsi="宋体" w:eastAsia="宋体" w:cs="宋体"/>
                <w:color w:val="000000" w:themeColor="text1"/>
                <w:sz w:val="24"/>
                <w:szCs w:val="24"/>
                <w:lang w:val="en-US" w:eastAsia="zh-CN"/>
                <w14:textFill>
                  <w14:solidFill>
                    <w14:schemeClr w14:val="tx1"/>
                  </w14:solidFill>
                </w14:textFill>
              </w:rPr>
              <w:t>2020</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月1日</w:t>
            </w:r>
            <w:r>
              <w:rPr>
                <w:rFonts w:hint="eastAsia" w:ascii="宋体" w:hAnsi="宋体" w:eastAsia="宋体" w:cs="宋体"/>
                <w:color w:val="000000" w:themeColor="text1"/>
                <w:sz w:val="24"/>
                <w:szCs w:val="24"/>
                <w:lang w:eastAsia="zh-CN"/>
                <w14:textFill>
                  <w14:solidFill>
                    <w14:schemeClr w14:val="tx1"/>
                  </w14:solidFill>
                </w14:textFill>
              </w:rPr>
              <w:t>至今</w:t>
            </w:r>
            <w:r>
              <w:rPr>
                <w:rFonts w:hint="eastAsia" w:ascii="宋体" w:hAnsi="宋体" w:eastAsia="宋体" w:cs="宋体"/>
                <w:color w:val="000000" w:themeColor="text1"/>
                <w:sz w:val="24"/>
                <w:szCs w:val="24"/>
                <w14:textFill>
                  <w14:solidFill>
                    <w14:schemeClr w14:val="tx1"/>
                  </w14:solidFill>
                </w14:textFill>
              </w:rPr>
              <w:t>）获得</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工程类 </w:t>
            </w:r>
            <w:r>
              <w:rPr>
                <w:rFonts w:hint="eastAsia" w:ascii="宋体" w:hAnsi="宋体" w:eastAsia="宋体" w:cs="宋体"/>
                <w:color w:val="000000" w:themeColor="text1"/>
                <w:sz w:val="24"/>
                <w:szCs w:val="24"/>
                <w14:textFill>
                  <w14:solidFill>
                    <w14:schemeClr w14:val="tx1"/>
                  </w14:solidFill>
                </w14:textFill>
              </w:rPr>
              <w:t>奖项情况：</w:t>
            </w:r>
          </w:p>
          <w:p w14:paraId="610ECC33">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获得国家级奖项的</w:t>
            </w:r>
            <w:r>
              <w:rPr>
                <w:rFonts w:hint="eastAsia" w:ascii="宋体" w:hAnsi="宋体" w:eastAsia="宋体" w:cs="宋体"/>
                <w:color w:val="auto"/>
                <w:sz w:val="24"/>
                <w:szCs w:val="24"/>
              </w:rPr>
              <w:t>，每个得</w:t>
            </w:r>
            <w:r>
              <w:rPr>
                <w:rFonts w:hint="eastAsia" w:ascii="宋体" w:hAnsi="宋体" w:eastAsia="宋体" w:cs="宋体"/>
                <w:color w:val="auto"/>
                <w:sz w:val="24"/>
                <w:szCs w:val="24"/>
                <w:u w:val="single"/>
              </w:rPr>
              <w:t>8</w:t>
            </w:r>
            <w:r>
              <w:rPr>
                <w:rFonts w:hint="eastAsia" w:ascii="宋体" w:hAnsi="宋体" w:eastAsia="宋体" w:cs="宋体"/>
                <w:color w:val="auto"/>
                <w:sz w:val="24"/>
                <w:szCs w:val="24"/>
              </w:rPr>
              <w:t>分。</w:t>
            </w:r>
          </w:p>
          <w:p w14:paraId="5D62AC5A">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获得省级奖项的，每个得</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rPr>
              <w:t>分。</w:t>
            </w:r>
          </w:p>
          <w:p w14:paraId="6EED30D7">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获得地市级奖项的，每个得</w:t>
            </w:r>
            <w:r>
              <w:rPr>
                <w:rFonts w:hint="eastAsia" w:ascii="宋体" w:hAnsi="宋体" w:eastAsia="宋体" w:cs="宋体"/>
                <w:color w:val="auto"/>
                <w:sz w:val="24"/>
                <w:szCs w:val="24"/>
                <w:u w:val="single"/>
                <w:lang w:val="en-US" w:eastAsia="zh-CN"/>
              </w:rPr>
              <w:t>3</w:t>
            </w:r>
            <w:r>
              <w:rPr>
                <w:rFonts w:hint="eastAsia" w:ascii="宋体" w:hAnsi="宋体" w:eastAsia="宋体" w:cs="宋体"/>
                <w:color w:val="auto"/>
                <w:sz w:val="24"/>
                <w:szCs w:val="24"/>
              </w:rPr>
              <w:t>分。</w:t>
            </w:r>
          </w:p>
          <w:p w14:paraId="7953E487">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4．以上奖项均未获得的，不予计分。</w:t>
            </w:r>
          </w:p>
          <w:p w14:paraId="1F5A7EF3">
            <w:pPr>
              <w:widowControl w:val="0"/>
              <w:spacing w:line="360" w:lineRule="auto"/>
              <w:jc w:val="both"/>
              <w:rPr>
                <w:rFonts w:hint="eastAsia" w:ascii="宋体" w:hAnsi="宋体" w:eastAsia="宋体" w:cs="宋体"/>
                <w:color w:val="C00000"/>
                <w:kern w:val="2"/>
                <w:sz w:val="24"/>
                <w:szCs w:val="24"/>
                <w:lang w:val="en-US" w:eastAsia="zh-CN" w:bidi="ar-SA"/>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本项最高得10分。</w:t>
            </w:r>
          </w:p>
        </w:tc>
        <w:tc>
          <w:tcPr>
            <w:tcW w:w="4324" w:type="dxa"/>
            <w:shd w:val="clear" w:color="auto" w:fill="auto"/>
            <w:vAlign w:val="center"/>
          </w:tcPr>
          <w:p w14:paraId="51CB223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允许投标人提交多个业绩，但同一业绩只按最高级别奖项计分一次。</w:t>
            </w:r>
          </w:p>
          <w:p w14:paraId="78D16314">
            <w:pPr>
              <w:widowControl w:val="0"/>
              <w:spacing w:line="360" w:lineRule="auto"/>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需附有关奖项证明彩色扫描件</w:t>
            </w:r>
            <w:r>
              <w:rPr>
                <w:rFonts w:hint="eastAsia" w:ascii="宋体" w:hAnsi="宋体" w:eastAsia="宋体" w:cs="宋体"/>
                <w:color w:val="auto"/>
                <w:sz w:val="24"/>
                <w:szCs w:val="24"/>
                <w:lang w:eastAsia="zh-CN"/>
              </w:rPr>
              <w:t>，</w:t>
            </w:r>
            <w:r>
              <w:rPr>
                <w:rFonts w:hint="eastAsia" w:ascii="宋体" w:hAnsi="宋体" w:eastAsia="宋体" w:cs="宋体"/>
                <w:b/>
                <w:bCs/>
                <w:color w:val="auto"/>
                <w:sz w:val="24"/>
                <w:szCs w:val="24"/>
                <w:lang w:eastAsia="zh-CN"/>
              </w:rPr>
              <w:t>同时提供原件供核对（奖项为电子证书的除外）。</w:t>
            </w:r>
          </w:p>
          <w:p w14:paraId="499F3809">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颁发机构限定以下范围：</w:t>
            </w:r>
          </w:p>
          <w:p w14:paraId="63304CDD">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①国家级奖项：国务院、住建部、中国建筑业协会、中国建筑安全协会；</w:t>
            </w:r>
            <w:r>
              <w:rPr>
                <w:rFonts w:hint="eastAsia" w:ascii="宋体" w:hAnsi="宋体" w:eastAsia="宋体" w:cs="宋体"/>
                <w:color w:val="auto"/>
                <w:sz w:val="24"/>
                <w:szCs w:val="24"/>
                <w:highlight w:val="none"/>
              </w:rPr>
              <w:t>（相关协会需经民政部门备案）</w:t>
            </w:r>
          </w:p>
          <w:p w14:paraId="57E849DF">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②省级奖项：省级人民政府、省级建设行政主管部门、省级建筑业协会、省级建筑安全协会；（相关协会需经民政部门备案）</w:t>
            </w:r>
          </w:p>
          <w:p w14:paraId="47A6FF2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③地市级奖项：地市级人民政府、地市级建设行政主管部门、地市级建筑协会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地市级建筑安全协会。（相关协会需经民政部门备案）</w:t>
            </w:r>
          </w:p>
          <w:p w14:paraId="27221653">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获奖时间以奖项证明的落款日期为准。</w:t>
            </w:r>
          </w:p>
          <w:p w14:paraId="68A2BCB3">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任一奖项有以下情形之一的，该奖项视为无效，不予计分：</w:t>
            </w:r>
          </w:p>
          <w:p w14:paraId="30272E33">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①未提供奖项原件的；</w:t>
            </w:r>
          </w:p>
          <w:p w14:paraId="500EBF8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②奖项不属于指定类别的；</w:t>
            </w:r>
          </w:p>
          <w:p w14:paraId="392B4A8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③颁发机构不符合要求的；</w:t>
            </w:r>
          </w:p>
          <w:p w14:paraId="686DD9BE">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④获奖时间不符合要求的。</w:t>
            </w:r>
          </w:p>
          <w:p w14:paraId="1FAEDE13">
            <w:pPr>
              <w:widowControl w:val="0"/>
              <w:bidi w:val="0"/>
              <w:spacing w:line="360" w:lineRule="auto"/>
              <w:jc w:val="both"/>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b/>
                <w:bCs/>
                <w:color w:val="auto"/>
                <w:sz w:val="24"/>
                <w:szCs w:val="24"/>
                <w:lang w:val="en-US" w:eastAsia="zh-CN"/>
              </w:rPr>
              <w:t>说明：以上所称“要求”均指本表评分标准及备注的要求，下同。</w:t>
            </w:r>
          </w:p>
        </w:tc>
      </w:tr>
      <w:tr w14:paraId="4493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gridSpan w:val="2"/>
            <w:shd w:val="clear" w:color="auto" w:fill="auto"/>
            <w:vAlign w:val="center"/>
          </w:tcPr>
          <w:p w14:paraId="138A45BE">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项目经理</w:t>
            </w:r>
          </w:p>
          <w:p w14:paraId="1CB5B953">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综合素质</w:t>
            </w:r>
          </w:p>
          <w:p w14:paraId="52D615D8">
            <w:pPr>
              <w:widowControl w:val="0"/>
              <w:spacing w:line="360" w:lineRule="auto"/>
              <w:jc w:val="center"/>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color w:val="auto"/>
                <w:sz w:val="24"/>
                <w:szCs w:val="24"/>
              </w:rPr>
              <w:t>（10分）</w:t>
            </w:r>
          </w:p>
        </w:tc>
        <w:tc>
          <w:tcPr>
            <w:tcW w:w="4305" w:type="dxa"/>
            <w:shd w:val="clear" w:color="auto" w:fill="auto"/>
            <w:vAlign w:val="center"/>
          </w:tcPr>
          <w:p w14:paraId="49F426F8">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项目经理工程类技术职称情况：</w:t>
            </w:r>
          </w:p>
          <w:p w14:paraId="0AA7231F">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具</w:t>
            </w:r>
            <w:r>
              <w:rPr>
                <w:rFonts w:hint="eastAsia" w:ascii="宋体" w:hAnsi="宋体" w:eastAsia="宋体" w:cs="宋体"/>
                <w:color w:val="auto"/>
                <w:sz w:val="24"/>
                <w:szCs w:val="24"/>
                <w:highlight w:val="none"/>
              </w:rPr>
              <w:t>备工程师或以上</w:t>
            </w:r>
            <w:r>
              <w:rPr>
                <w:rFonts w:hint="eastAsia" w:ascii="宋体" w:hAnsi="宋体" w:eastAsia="宋体" w:cs="宋体"/>
                <w:color w:val="auto"/>
                <w:sz w:val="24"/>
                <w:szCs w:val="24"/>
              </w:rPr>
              <w:t>职称的，得</w:t>
            </w:r>
            <w:r>
              <w:rPr>
                <w:rFonts w:hint="eastAsia" w:ascii="宋体" w:hAnsi="宋体" w:eastAsia="宋体" w:cs="宋体"/>
                <w:color w:val="auto"/>
                <w:sz w:val="24"/>
                <w:szCs w:val="24"/>
                <w:u w:val="single"/>
              </w:rPr>
              <w:t>10</w:t>
            </w:r>
            <w:r>
              <w:rPr>
                <w:rFonts w:hint="eastAsia" w:ascii="宋体" w:hAnsi="宋体" w:eastAsia="宋体" w:cs="宋体"/>
                <w:color w:val="auto"/>
                <w:sz w:val="24"/>
                <w:szCs w:val="24"/>
              </w:rPr>
              <w:t>分。</w:t>
            </w:r>
          </w:p>
          <w:p w14:paraId="4B4E5162">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具备</w:t>
            </w:r>
            <w:r>
              <w:rPr>
                <w:rFonts w:hint="eastAsia" w:ascii="宋体" w:hAnsi="宋体" w:eastAsia="宋体" w:cs="宋体"/>
                <w:color w:val="auto"/>
                <w:sz w:val="24"/>
                <w:szCs w:val="24"/>
                <w:highlight w:val="none"/>
                <w:lang w:val="en-US" w:eastAsia="zh-CN"/>
              </w:rPr>
              <w:t>助理工程师</w:t>
            </w:r>
            <w:r>
              <w:rPr>
                <w:rFonts w:hint="eastAsia" w:ascii="宋体" w:hAnsi="宋体" w:eastAsia="宋体" w:cs="宋体"/>
                <w:color w:val="auto"/>
                <w:sz w:val="24"/>
                <w:szCs w:val="24"/>
                <w:highlight w:val="none"/>
              </w:rPr>
              <w:t>职称</w:t>
            </w:r>
            <w:r>
              <w:rPr>
                <w:rFonts w:hint="eastAsia" w:ascii="宋体" w:hAnsi="宋体" w:eastAsia="宋体" w:cs="宋体"/>
                <w:color w:val="auto"/>
                <w:sz w:val="24"/>
                <w:szCs w:val="24"/>
              </w:rPr>
              <w:t>的，得</w:t>
            </w:r>
            <w:r>
              <w:rPr>
                <w:rFonts w:hint="eastAsia" w:ascii="宋体" w:hAnsi="宋体" w:eastAsia="宋体" w:cs="宋体"/>
                <w:color w:val="auto"/>
                <w:sz w:val="24"/>
                <w:szCs w:val="24"/>
                <w:u w:val="single"/>
              </w:rPr>
              <w:t>5</w:t>
            </w:r>
            <w:r>
              <w:rPr>
                <w:rFonts w:hint="eastAsia" w:ascii="宋体" w:hAnsi="宋体" w:eastAsia="宋体" w:cs="宋体"/>
                <w:color w:val="auto"/>
                <w:sz w:val="24"/>
                <w:szCs w:val="24"/>
              </w:rPr>
              <w:t>分。</w:t>
            </w:r>
          </w:p>
          <w:p w14:paraId="3D8A34CB">
            <w:pPr>
              <w:widowControl w:val="0"/>
              <w:spacing w:line="360" w:lineRule="auto"/>
              <w:jc w:val="both"/>
              <w:rPr>
                <w:rFonts w:hint="eastAsia" w:ascii="宋体" w:hAnsi="宋体" w:eastAsia="宋体" w:cs="宋体"/>
                <w:color w:val="C00000"/>
                <w:kern w:val="2"/>
                <w:sz w:val="24"/>
                <w:szCs w:val="24"/>
                <w:highlight w:val="none"/>
                <w:lang w:val="en-US" w:eastAsia="zh-CN" w:bidi="ar-SA"/>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不具备以上职称的，或未提供职称证原件的，不予计分。</w:t>
            </w:r>
          </w:p>
        </w:tc>
        <w:tc>
          <w:tcPr>
            <w:tcW w:w="4324" w:type="dxa"/>
            <w:shd w:val="clear" w:color="auto" w:fill="auto"/>
            <w:vAlign w:val="center"/>
          </w:tcPr>
          <w:p w14:paraId="75217141">
            <w:pPr>
              <w:widowControl w:val="0"/>
              <w:spacing w:line="360" w:lineRule="auto"/>
              <w:jc w:val="both"/>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color w:val="auto"/>
                <w:sz w:val="24"/>
                <w:szCs w:val="24"/>
              </w:rPr>
              <w:t>需附职称证彩色扫描件</w:t>
            </w:r>
            <w:r>
              <w:rPr>
                <w:rFonts w:hint="eastAsia" w:ascii="宋体" w:hAnsi="宋体" w:eastAsia="宋体" w:cs="宋体"/>
                <w:color w:val="auto"/>
                <w:sz w:val="24"/>
                <w:szCs w:val="24"/>
                <w:lang w:eastAsia="zh-CN"/>
              </w:rPr>
              <w:t>，</w:t>
            </w:r>
            <w:r>
              <w:rPr>
                <w:rFonts w:hint="eastAsia" w:ascii="宋体" w:hAnsi="宋体" w:eastAsia="宋体" w:cs="宋体"/>
                <w:b/>
                <w:bCs/>
                <w:color w:val="auto"/>
                <w:sz w:val="24"/>
                <w:szCs w:val="24"/>
                <w:lang w:eastAsia="zh-CN"/>
              </w:rPr>
              <w:t>同时提供原件供核对（职称证为电子证书的除外）。</w:t>
            </w:r>
          </w:p>
        </w:tc>
      </w:tr>
      <w:tr w14:paraId="4CFB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gridSpan w:val="2"/>
            <w:shd w:val="clear" w:color="auto" w:fill="auto"/>
            <w:vAlign w:val="center"/>
          </w:tcPr>
          <w:p w14:paraId="4464BAA6">
            <w:pPr>
              <w:widowControl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企业业绩</w:t>
            </w:r>
          </w:p>
          <w:p w14:paraId="4D6A80F6">
            <w:pPr>
              <w:widowControl w:val="0"/>
              <w:spacing w:line="360" w:lineRule="auto"/>
              <w:jc w:val="center"/>
              <w:rPr>
                <w:rFonts w:hint="eastAsia" w:ascii="宋体" w:hAnsi="宋体" w:eastAsia="宋体" w:cs="宋体"/>
                <w:color w:val="C00000"/>
                <w:kern w:val="2"/>
                <w:sz w:val="24"/>
                <w:szCs w:val="24"/>
                <w:lang w:val="en-US" w:eastAsia="zh-CN" w:bidi="ar-SA"/>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4305" w:type="dxa"/>
            <w:shd w:val="clear" w:color="auto" w:fill="auto"/>
            <w:vAlign w:val="center"/>
          </w:tcPr>
          <w:p w14:paraId="50D22A3F">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企业近</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年来（</w:t>
            </w:r>
            <w:r>
              <w:rPr>
                <w:rFonts w:hint="eastAsia" w:ascii="宋体" w:hAnsi="宋体" w:eastAsia="宋体" w:cs="宋体"/>
                <w:color w:val="auto"/>
                <w:sz w:val="24"/>
                <w:szCs w:val="24"/>
                <w:highlight w:val="none"/>
                <w:lang w:val="en-US" w:eastAsia="zh-CN"/>
              </w:rPr>
              <w:t>2020</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月1日</w:t>
            </w:r>
            <w:r>
              <w:rPr>
                <w:rFonts w:hint="eastAsia" w:ascii="宋体" w:hAnsi="宋体" w:eastAsia="宋体" w:cs="宋体"/>
                <w:color w:val="auto"/>
                <w:sz w:val="24"/>
                <w:szCs w:val="24"/>
                <w:highlight w:val="none"/>
                <w:lang w:eastAsia="zh-CN"/>
              </w:rPr>
              <w:t>至今</w:t>
            </w:r>
            <w:r>
              <w:rPr>
                <w:rFonts w:hint="eastAsia" w:ascii="宋体" w:hAnsi="宋体" w:eastAsia="宋体" w:cs="宋体"/>
                <w:color w:val="auto"/>
                <w:sz w:val="24"/>
                <w:szCs w:val="24"/>
                <w:highlight w:val="none"/>
              </w:rPr>
              <w:t>）业绩情况：</w:t>
            </w:r>
          </w:p>
          <w:p w14:paraId="128401AC">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rPr>
              <w:t>承接</w:t>
            </w:r>
            <w:r>
              <w:rPr>
                <w:rFonts w:hint="eastAsia" w:ascii="宋体" w:hAnsi="宋体" w:eastAsia="宋体" w:cs="宋体"/>
                <w:color w:val="auto"/>
                <w:sz w:val="24"/>
                <w:szCs w:val="24"/>
                <w:highlight w:val="none"/>
              </w:rPr>
              <w:t>过类似工程的，每个得</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分。</w:t>
            </w:r>
          </w:p>
          <w:p w14:paraId="01BC7C8C">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未</w:t>
            </w:r>
            <w:r>
              <w:rPr>
                <w:rFonts w:hint="eastAsia" w:ascii="宋体" w:hAnsi="宋体" w:eastAsia="宋体" w:cs="宋体"/>
                <w:color w:val="auto"/>
                <w:sz w:val="24"/>
                <w:szCs w:val="24"/>
                <w:highlight w:val="none"/>
                <w:u w:val="single"/>
              </w:rPr>
              <w:t>承接</w:t>
            </w:r>
            <w:r>
              <w:rPr>
                <w:rFonts w:hint="eastAsia" w:ascii="宋体" w:hAnsi="宋体" w:eastAsia="宋体" w:cs="宋体"/>
                <w:color w:val="auto"/>
                <w:sz w:val="24"/>
                <w:szCs w:val="24"/>
                <w:highlight w:val="none"/>
              </w:rPr>
              <w:t>过类似工程的，不予计分。</w:t>
            </w:r>
          </w:p>
          <w:p w14:paraId="04AC50B6">
            <w:pPr>
              <w:widowControl w:val="0"/>
              <w:spacing w:line="360" w:lineRule="auto"/>
              <w:jc w:val="both"/>
              <w:rPr>
                <w:rFonts w:hint="eastAsia" w:ascii="宋体" w:hAnsi="宋体" w:eastAsia="宋体" w:cs="宋体"/>
                <w:color w:val="C00000"/>
                <w:kern w:val="2"/>
                <w:sz w:val="24"/>
                <w:szCs w:val="24"/>
                <w:lang w:val="en-US" w:eastAsia="zh-CN" w:bidi="ar-SA"/>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本项最高得</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4324" w:type="dxa"/>
            <w:shd w:val="clear" w:color="auto" w:fill="auto"/>
            <w:vAlign w:val="center"/>
          </w:tcPr>
          <w:p w14:paraId="5177FC96">
            <w:pPr>
              <w:widowControl w:val="0"/>
              <w:spacing w:line="360" w:lineRule="auto"/>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类似工程指：类似工程指：</w:t>
            </w:r>
            <w:r>
              <w:rPr>
                <w:rFonts w:hint="eastAsia" w:ascii="宋体" w:hAnsi="宋体" w:eastAsia="宋体" w:cs="宋体"/>
                <w:color w:val="000000" w:themeColor="text1"/>
                <w:sz w:val="24"/>
                <w:szCs w:val="24"/>
                <w:highlight w:val="none"/>
                <w:u w:val="single"/>
                <w14:textFill>
                  <w14:solidFill>
                    <w14:schemeClr w14:val="tx1"/>
                  </w14:solidFill>
                </w14:textFill>
              </w:rPr>
              <w:t>合同金额≥</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600</w:t>
            </w:r>
            <w:r>
              <w:rPr>
                <w:rFonts w:hint="eastAsia" w:ascii="宋体" w:hAnsi="宋体" w:eastAsia="宋体" w:cs="宋体"/>
                <w:color w:val="000000" w:themeColor="text1"/>
                <w:sz w:val="24"/>
                <w:szCs w:val="24"/>
                <w:highlight w:val="none"/>
                <w:u w:val="single"/>
                <w14:textFill>
                  <w14:solidFill>
                    <w14:schemeClr w14:val="tx1"/>
                  </w14:solidFill>
                </w14:textFill>
              </w:rPr>
              <w:t>万</w:t>
            </w:r>
            <w:r>
              <w:rPr>
                <w:rFonts w:hint="eastAsia" w:ascii="宋体" w:hAnsi="宋体" w:eastAsia="宋体" w:cs="宋体"/>
                <w:color w:val="000000" w:themeColor="text1"/>
                <w:sz w:val="24"/>
                <w:szCs w:val="24"/>
                <w:highlight w:val="none"/>
                <w14:textFill>
                  <w14:solidFill>
                    <w14:schemeClr w14:val="tx1"/>
                  </w14:solidFill>
                </w14:textFill>
              </w:rPr>
              <w:t>元的</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市政</w:t>
            </w:r>
            <w:r>
              <w:rPr>
                <w:rFonts w:hint="eastAsia" w:ascii="宋体" w:hAnsi="宋体" w:eastAsia="宋体" w:cs="宋体"/>
                <w:color w:val="000000" w:themeColor="text1"/>
                <w:sz w:val="24"/>
                <w:szCs w:val="24"/>
                <w:highlight w:val="none"/>
                <w:u w:val="single"/>
                <w14:textFill>
                  <w14:solidFill>
                    <w14:schemeClr w14:val="tx1"/>
                  </w14:solidFill>
                </w14:textFill>
              </w:rPr>
              <w:t>工程</w:t>
            </w:r>
            <w:r>
              <w:rPr>
                <w:rFonts w:hint="eastAsia" w:ascii="宋体" w:hAnsi="宋体" w:eastAsia="宋体" w:cs="宋体"/>
                <w:color w:val="000000" w:themeColor="text1"/>
                <w:sz w:val="24"/>
                <w:szCs w:val="24"/>
                <w:highlight w:val="none"/>
                <w14:textFill>
                  <w14:solidFill>
                    <w14:schemeClr w14:val="tx1"/>
                  </w14:solidFill>
                </w14:textFill>
              </w:rPr>
              <w:t>施工总承包工程或</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市政</w:t>
            </w:r>
            <w:r>
              <w:rPr>
                <w:rFonts w:hint="eastAsia" w:ascii="宋体" w:hAnsi="宋体" w:eastAsia="宋体" w:cs="宋体"/>
                <w:color w:val="000000" w:themeColor="text1"/>
                <w:sz w:val="24"/>
                <w:szCs w:val="24"/>
                <w:highlight w:val="none"/>
                <w14:textFill>
                  <w14:solidFill>
                    <w14:schemeClr w14:val="tx1"/>
                  </w14:solidFill>
                </w14:textFill>
              </w:rPr>
              <w:t>设计、施工总承包工程或</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市政</w:t>
            </w:r>
            <w:r>
              <w:rPr>
                <w:rFonts w:hint="eastAsia" w:ascii="宋体" w:hAnsi="宋体" w:eastAsia="宋体" w:cs="宋体"/>
                <w:color w:val="000000" w:themeColor="text1"/>
                <w:sz w:val="24"/>
                <w:szCs w:val="24"/>
                <w:highlight w:val="none"/>
                <w14:textFill>
                  <w14:solidFill>
                    <w14:schemeClr w14:val="tx1"/>
                  </w14:solidFill>
                </w14:textFill>
              </w:rPr>
              <w:t>勘察、设计、施工总承包工程。</w:t>
            </w:r>
          </w:p>
          <w:p w14:paraId="2BAD5387">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需附有关业绩（仅限于</w:t>
            </w:r>
            <w:r>
              <w:rPr>
                <w:rFonts w:hint="eastAsia" w:ascii="宋体" w:hAnsi="宋体" w:eastAsia="宋体" w:cs="宋体"/>
                <w:color w:val="auto"/>
                <w:sz w:val="24"/>
                <w:szCs w:val="24"/>
                <w:highlight w:val="none"/>
              </w:rPr>
              <w:t>以施工总承包单位身份参建的项目）合同协议书彩色扫描件，</w:t>
            </w:r>
            <w:r>
              <w:rPr>
                <w:rFonts w:hint="eastAsia" w:ascii="宋体" w:hAnsi="宋体" w:eastAsia="宋体" w:cs="宋体"/>
                <w:b/>
                <w:bCs/>
                <w:color w:val="auto"/>
                <w:sz w:val="24"/>
                <w:szCs w:val="24"/>
                <w:highlight w:val="none"/>
              </w:rPr>
              <w:t>同时提供原件供核对。</w:t>
            </w:r>
          </w:p>
          <w:p w14:paraId="6EA264D3">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业绩时间以合同协议书日期为准。</w:t>
            </w:r>
          </w:p>
          <w:p w14:paraId="3D5F84E8">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任一业绩有以下情形之一的，该业绩视为无效，不予计分：</w:t>
            </w:r>
          </w:p>
          <w:p w14:paraId="38D94A64">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①未提供业绩证明材料原件的；</w:t>
            </w:r>
          </w:p>
          <w:p w14:paraId="0B076ACB">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②业绩不属于类似工程的；</w:t>
            </w:r>
          </w:p>
          <w:p w14:paraId="69A37666">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③不是以指定身份参建的；</w:t>
            </w:r>
          </w:p>
          <w:p w14:paraId="127E729E">
            <w:pPr>
              <w:widowControl w:val="0"/>
              <w:spacing w:line="360" w:lineRule="auto"/>
              <w:jc w:val="both"/>
              <w:rPr>
                <w:rFonts w:hint="eastAsia" w:ascii="宋体" w:hAnsi="宋体" w:eastAsia="宋体" w:cs="宋体"/>
                <w:i/>
                <w:iCs/>
                <w:snapToGrid w:val="0"/>
                <w:color w:val="C00000"/>
                <w:kern w:val="0"/>
                <w:sz w:val="24"/>
                <w:szCs w:val="24"/>
                <w:highlight w:val="none"/>
                <w:lang w:val="en-US" w:eastAsia="zh-CN" w:bidi="ar-SA"/>
              </w:rPr>
            </w:pPr>
            <w:r>
              <w:rPr>
                <w:rFonts w:hint="eastAsia" w:ascii="宋体" w:hAnsi="宋体" w:eastAsia="宋体" w:cs="宋体"/>
                <w:color w:val="auto"/>
                <w:sz w:val="24"/>
                <w:szCs w:val="24"/>
                <w:highlight w:val="none"/>
              </w:rPr>
              <w:t>④业绩时间不符合要求的</w:t>
            </w:r>
            <w:r>
              <w:rPr>
                <w:rFonts w:hint="eastAsia" w:ascii="宋体" w:hAnsi="宋体" w:eastAsia="宋体" w:cs="宋体"/>
                <w:color w:val="auto"/>
                <w:sz w:val="24"/>
                <w:szCs w:val="24"/>
                <w:highlight w:val="none"/>
                <w:lang w:eastAsia="zh-CN"/>
              </w:rPr>
              <w:t>。</w:t>
            </w:r>
          </w:p>
        </w:tc>
      </w:tr>
      <w:tr w14:paraId="2728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gridSpan w:val="2"/>
            <w:shd w:val="clear" w:color="auto" w:fill="auto"/>
            <w:vAlign w:val="center"/>
          </w:tcPr>
          <w:p w14:paraId="0AF5E7EA">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企业银行</w:t>
            </w:r>
          </w:p>
          <w:p w14:paraId="4DD75E4F">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资信评级</w:t>
            </w:r>
          </w:p>
          <w:p w14:paraId="2069DA67">
            <w:pPr>
              <w:widowControl w:val="0"/>
              <w:spacing w:line="360" w:lineRule="auto"/>
              <w:jc w:val="center"/>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4305" w:type="dxa"/>
            <w:shd w:val="clear" w:color="auto" w:fill="auto"/>
            <w:vAlign w:val="center"/>
          </w:tcPr>
          <w:p w14:paraId="126200F7">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银行资信评级AAA的，得</w:t>
            </w:r>
            <w:r>
              <w:rPr>
                <w:rFonts w:hint="eastAsia" w:ascii="宋体" w:hAnsi="宋体" w:eastAsia="宋体" w:cs="宋体"/>
                <w:color w:val="auto"/>
                <w:sz w:val="24"/>
                <w:szCs w:val="24"/>
                <w:u w:val="single"/>
                <w:lang w:val="en-US" w:eastAsia="zh-CN"/>
              </w:rPr>
              <w:t>10</w:t>
            </w:r>
            <w:r>
              <w:rPr>
                <w:rFonts w:hint="eastAsia" w:ascii="宋体" w:hAnsi="宋体" w:eastAsia="宋体" w:cs="宋体"/>
                <w:color w:val="auto"/>
                <w:sz w:val="24"/>
                <w:szCs w:val="24"/>
                <w:u w:val="none"/>
              </w:rPr>
              <w:t>分</w:t>
            </w:r>
            <w:r>
              <w:rPr>
                <w:rFonts w:hint="eastAsia" w:ascii="宋体" w:hAnsi="宋体" w:eastAsia="宋体" w:cs="宋体"/>
                <w:color w:val="auto"/>
                <w:sz w:val="24"/>
                <w:szCs w:val="24"/>
              </w:rPr>
              <w:t>；</w:t>
            </w:r>
          </w:p>
          <w:p w14:paraId="696C8CAC">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银行资信评级AA（含AA＋、AA－）的，得</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rPr>
              <w:t>分。</w:t>
            </w:r>
          </w:p>
          <w:p w14:paraId="0E14EA9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银行资信评级A（含A＋、A－）的，得</w:t>
            </w:r>
            <w:r>
              <w:rPr>
                <w:rFonts w:hint="eastAsia" w:ascii="宋体" w:hAnsi="宋体" w:eastAsia="宋体" w:cs="宋体"/>
                <w:color w:val="auto"/>
                <w:sz w:val="24"/>
                <w:szCs w:val="24"/>
                <w:u w:val="single"/>
                <w:lang w:val="en-US" w:eastAsia="zh-CN"/>
              </w:rPr>
              <w:t>2</w:t>
            </w:r>
            <w:r>
              <w:rPr>
                <w:rFonts w:hint="eastAsia" w:ascii="宋体" w:hAnsi="宋体" w:eastAsia="宋体" w:cs="宋体"/>
                <w:color w:val="auto"/>
                <w:sz w:val="24"/>
                <w:szCs w:val="24"/>
              </w:rPr>
              <w:t>分。</w:t>
            </w:r>
          </w:p>
          <w:p w14:paraId="532CB979">
            <w:pPr>
              <w:widowControl w:val="0"/>
              <w:spacing w:line="360" w:lineRule="auto"/>
              <w:jc w:val="both"/>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未获得过以上评级的，或评级证书（证明）无效的，不予计分。</w:t>
            </w:r>
          </w:p>
        </w:tc>
        <w:tc>
          <w:tcPr>
            <w:tcW w:w="4324" w:type="dxa"/>
            <w:shd w:val="clear" w:color="auto" w:fill="auto"/>
            <w:vAlign w:val="center"/>
          </w:tcPr>
          <w:p w14:paraId="4ADBF5ED">
            <w:pPr>
              <w:widowControl w:val="0"/>
              <w:spacing w:line="360" w:lineRule="auto"/>
              <w:jc w:val="both"/>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需附在有效期内的资信评级证书（证明）彩色扫描件</w:t>
            </w:r>
            <w:r>
              <w:rPr>
                <w:rFonts w:hint="eastAsia" w:ascii="宋体" w:hAnsi="宋体" w:eastAsia="宋体" w:cs="宋体"/>
                <w:color w:val="auto"/>
                <w:sz w:val="24"/>
                <w:szCs w:val="24"/>
                <w:lang w:eastAsia="zh-CN"/>
              </w:rPr>
              <w:t>，</w:t>
            </w:r>
            <w:r>
              <w:rPr>
                <w:rFonts w:hint="eastAsia" w:ascii="宋体" w:hAnsi="宋体" w:eastAsia="宋体" w:cs="宋体"/>
                <w:b/>
                <w:bCs/>
                <w:color w:val="000000" w:themeColor="text1"/>
                <w:sz w:val="24"/>
                <w:szCs w:val="24"/>
                <w:lang w:eastAsia="zh-CN"/>
                <w14:textFill>
                  <w14:solidFill>
                    <w14:schemeClr w14:val="tx1"/>
                  </w14:solidFill>
                </w14:textFill>
              </w:rPr>
              <w:t>同时提供原件供核对（证书为电子证书的除外）</w:t>
            </w:r>
            <w:r>
              <w:rPr>
                <w:rFonts w:hint="eastAsia" w:ascii="宋体" w:hAnsi="宋体" w:eastAsia="宋体" w:cs="宋体"/>
                <w:color w:val="auto"/>
                <w:sz w:val="24"/>
                <w:szCs w:val="24"/>
                <w:lang w:eastAsia="zh-CN"/>
              </w:rPr>
              <w:t>。</w:t>
            </w:r>
          </w:p>
          <w:p w14:paraId="26FCDFC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评级证书（证明）须由</w:t>
            </w:r>
            <w:r>
              <w:rPr>
                <w:rFonts w:hint="eastAsia" w:ascii="宋体" w:hAnsi="宋体" w:eastAsia="宋体" w:cs="宋体"/>
                <w:color w:val="auto"/>
                <w:sz w:val="24"/>
                <w:szCs w:val="24"/>
                <w:u w:val="single"/>
                <w:lang w:val="en-US" w:eastAsia="zh-CN"/>
              </w:rPr>
              <w:t>市级或以上银行</w:t>
            </w:r>
            <w:r>
              <w:rPr>
                <w:rFonts w:hint="eastAsia" w:ascii="宋体" w:hAnsi="宋体" w:eastAsia="宋体" w:cs="宋体"/>
                <w:color w:val="auto"/>
                <w:sz w:val="24"/>
                <w:szCs w:val="24"/>
              </w:rPr>
              <w:t>出具。</w:t>
            </w:r>
          </w:p>
          <w:p w14:paraId="484E61FD">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评级证书（证明）有以下情形之一的，视为无效：</w:t>
            </w:r>
          </w:p>
          <w:p w14:paraId="649D21E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①未提供评级证书（证明）原件的；</w:t>
            </w:r>
          </w:p>
          <w:p w14:paraId="3CD55CB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②评级证书（证明）不在有效期内的；</w:t>
            </w:r>
          </w:p>
          <w:p w14:paraId="35169B24">
            <w:pPr>
              <w:widowControl w:val="0"/>
              <w:spacing w:line="360" w:lineRule="auto"/>
              <w:jc w:val="both"/>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color w:val="auto"/>
                <w:sz w:val="24"/>
                <w:szCs w:val="24"/>
              </w:rPr>
              <w:t>③出具机构不符合要求的。</w:t>
            </w:r>
          </w:p>
        </w:tc>
      </w:tr>
      <w:tr w14:paraId="38EA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gridSpan w:val="2"/>
            <w:shd w:val="clear" w:color="auto" w:fill="auto"/>
            <w:vAlign w:val="center"/>
          </w:tcPr>
          <w:p w14:paraId="1D60EC04">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企业管理</w:t>
            </w:r>
          </w:p>
          <w:p w14:paraId="05EEAD11">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体系认证</w:t>
            </w:r>
          </w:p>
          <w:p w14:paraId="16A3BEF4">
            <w:pPr>
              <w:widowControl w:val="0"/>
              <w:spacing w:line="360" w:lineRule="auto"/>
              <w:jc w:val="center"/>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4305" w:type="dxa"/>
            <w:shd w:val="clear" w:color="auto" w:fill="auto"/>
            <w:vAlign w:val="center"/>
          </w:tcPr>
          <w:p w14:paraId="3D3A80E3">
            <w:pPr>
              <w:widowControl w:val="0"/>
              <w:numPr>
                <w:ilvl w:val="0"/>
                <w:numId w:val="0"/>
              </w:numPr>
              <w:spacing w:before="65" w:line="334" w:lineRule="auto"/>
              <w:ind w:right="105" w:rightChars="0"/>
              <w:jc w:val="both"/>
              <w:rPr>
                <w:rFonts w:hint="eastAsia" w:ascii="宋体" w:hAnsi="宋体" w:eastAsia="宋体" w:cs="宋体"/>
                <w:snapToGrid w:val="0"/>
                <w:color w:val="auto"/>
                <w:sz w:val="24"/>
                <w:szCs w:val="24"/>
                <w:lang w:val="en-US" w:eastAsia="en-US" w:bidi="ar-SA"/>
              </w:rPr>
            </w:pPr>
            <w:r>
              <w:rPr>
                <w:rFonts w:hint="eastAsia" w:ascii="宋体" w:hAnsi="宋体" w:eastAsia="宋体" w:cs="宋体"/>
                <w:snapToGrid w:val="0"/>
                <w:color w:val="auto"/>
                <w:kern w:val="2"/>
                <w:sz w:val="24"/>
                <w:szCs w:val="24"/>
                <w:lang w:val="en-US" w:eastAsia="en-US" w:bidi="ar-SA"/>
              </w:rPr>
              <w:t>1.</w:t>
            </w:r>
            <w:r>
              <w:rPr>
                <w:rFonts w:hint="eastAsia" w:ascii="宋体" w:hAnsi="宋体" w:eastAsia="宋体" w:cs="宋体"/>
                <w:snapToGrid w:val="0"/>
                <w:color w:val="auto"/>
                <w:sz w:val="24"/>
                <w:szCs w:val="24"/>
                <w:lang w:val="en-US" w:eastAsia="en-US" w:bidi="ar-SA"/>
              </w:rPr>
              <w:t xml:space="preserve">质量管理体系认证、职业健康安全管理体系认证、环境管理体系认证中，每获得 1 项认证得 </w:t>
            </w:r>
            <w:r>
              <w:rPr>
                <w:rFonts w:hint="eastAsia" w:ascii="宋体" w:hAnsi="宋体" w:eastAsia="宋体" w:cs="宋体"/>
                <w:snapToGrid w:val="0"/>
                <w:color w:val="auto"/>
                <w:sz w:val="24"/>
                <w:szCs w:val="24"/>
                <w:lang w:val="en-US" w:eastAsia="zh-CN" w:bidi="ar-SA"/>
              </w:rPr>
              <w:t>4</w:t>
            </w:r>
            <w:r>
              <w:rPr>
                <w:rFonts w:hint="eastAsia" w:ascii="宋体" w:hAnsi="宋体" w:eastAsia="宋体" w:cs="宋体"/>
                <w:snapToGrid w:val="0"/>
                <w:color w:val="auto"/>
                <w:sz w:val="24"/>
                <w:szCs w:val="24"/>
                <w:lang w:val="en-US" w:eastAsia="en-US" w:bidi="ar-SA"/>
              </w:rPr>
              <w:t xml:space="preserve"> 分，最高得 </w:t>
            </w:r>
            <w:r>
              <w:rPr>
                <w:rFonts w:hint="eastAsia" w:ascii="宋体" w:hAnsi="宋体" w:eastAsia="宋体" w:cs="宋体"/>
                <w:snapToGrid w:val="0"/>
                <w:color w:val="auto"/>
                <w:sz w:val="24"/>
                <w:szCs w:val="24"/>
                <w:lang w:val="en-US" w:eastAsia="zh-CN" w:bidi="ar-SA"/>
              </w:rPr>
              <w:t>10</w:t>
            </w:r>
            <w:r>
              <w:rPr>
                <w:rFonts w:hint="eastAsia" w:ascii="宋体" w:hAnsi="宋体" w:eastAsia="宋体" w:cs="宋体"/>
                <w:snapToGrid w:val="0"/>
                <w:color w:val="auto"/>
                <w:sz w:val="24"/>
                <w:szCs w:val="24"/>
                <w:lang w:val="en-US" w:eastAsia="en-US" w:bidi="ar-SA"/>
              </w:rPr>
              <w:t xml:space="preserve"> 分。</w:t>
            </w:r>
          </w:p>
          <w:p w14:paraId="63B6F3E3">
            <w:pPr>
              <w:widowControl w:val="0"/>
              <w:numPr>
                <w:ilvl w:val="0"/>
                <w:numId w:val="0"/>
              </w:numPr>
              <w:spacing w:before="65" w:line="334" w:lineRule="auto"/>
              <w:ind w:left="0" w:leftChars="0" w:right="105" w:rightChars="0" w:firstLine="0" w:firstLineChars="0"/>
              <w:jc w:val="both"/>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snapToGrid w:val="0"/>
                <w:color w:val="auto"/>
                <w:sz w:val="24"/>
                <w:szCs w:val="24"/>
                <w:lang w:val="en-US" w:eastAsia="en-US" w:bidi="ar-SA"/>
              </w:rPr>
              <w:t>2</w:t>
            </w:r>
            <w:r>
              <w:rPr>
                <w:rFonts w:hint="eastAsia" w:ascii="宋体" w:hAnsi="宋体" w:eastAsia="宋体" w:cs="宋体"/>
                <w:snapToGrid w:val="0"/>
                <w:color w:val="auto"/>
                <w:sz w:val="24"/>
                <w:szCs w:val="24"/>
                <w:lang w:val="en-US" w:eastAsia="zh-CN" w:bidi="ar-SA"/>
              </w:rPr>
              <w:t>.</w:t>
            </w:r>
            <w:r>
              <w:rPr>
                <w:rFonts w:hint="eastAsia" w:ascii="宋体" w:hAnsi="宋体" w:eastAsia="宋体" w:cs="宋体"/>
                <w:snapToGrid w:val="0"/>
                <w:color w:val="auto"/>
                <w:sz w:val="24"/>
                <w:szCs w:val="24"/>
                <w:lang w:val="en-US" w:eastAsia="en-US" w:bidi="ar-SA"/>
              </w:rPr>
              <w:t>未获得以上认证的，不予计分。</w:t>
            </w:r>
          </w:p>
        </w:tc>
        <w:tc>
          <w:tcPr>
            <w:tcW w:w="4324" w:type="dxa"/>
            <w:shd w:val="clear" w:color="auto" w:fill="auto"/>
            <w:vAlign w:val="top"/>
          </w:tcPr>
          <w:p w14:paraId="0CBD0D0A">
            <w:pPr>
              <w:keepNext w:val="0"/>
              <w:keepLines w:val="0"/>
              <w:pageBreakBefore w:val="0"/>
              <w:widowControl w:val="0"/>
              <w:kinsoku/>
              <w:wordWrap/>
              <w:overflowPunct/>
              <w:topLinePunct w:val="0"/>
              <w:autoSpaceDE/>
              <w:autoSpaceDN/>
              <w:bidi w:val="0"/>
              <w:adjustRightInd w:val="0"/>
              <w:snapToGrid w:val="0"/>
              <w:spacing w:line="360" w:lineRule="auto"/>
              <w:ind w:left="123" w:right="37" w:firstLine="6"/>
              <w:jc w:val="both"/>
              <w:textAlignment w:val="auto"/>
              <w:rPr>
                <w:rFonts w:hint="eastAsia" w:ascii="宋体" w:hAnsi="宋体" w:eastAsia="宋体" w:cs="宋体"/>
                <w:snapToGrid w:val="0"/>
                <w:color w:val="auto"/>
                <w:sz w:val="24"/>
                <w:szCs w:val="24"/>
                <w:lang w:val="en-US" w:eastAsia="en-US" w:bidi="ar-SA"/>
              </w:rPr>
            </w:pPr>
            <w:r>
              <w:rPr>
                <w:rFonts w:hint="eastAsia" w:ascii="宋体" w:hAnsi="宋体" w:eastAsia="宋体" w:cs="宋体"/>
                <w:snapToGrid w:val="0"/>
                <w:color w:val="auto"/>
                <w:sz w:val="24"/>
                <w:szCs w:val="24"/>
                <w:lang w:val="en-US" w:eastAsia="en-US" w:bidi="ar-SA"/>
              </w:rPr>
              <w:t>1</w:t>
            </w:r>
            <w:r>
              <w:rPr>
                <w:rFonts w:hint="eastAsia" w:ascii="宋体" w:hAnsi="宋体" w:eastAsia="宋体" w:cs="宋体"/>
                <w:snapToGrid w:val="0"/>
                <w:color w:val="auto"/>
                <w:sz w:val="24"/>
                <w:szCs w:val="24"/>
                <w:lang w:val="en-US" w:eastAsia="zh-CN" w:bidi="ar-SA"/>
              </w:rPr>
              <w:t>.</w:t>
            </w:r>
            <w:r>
              <w:rPr>
                <w:rFonts w:hint="eastAsia" w:ascii="宋体" w:hAnsi="宋体" w:eastAsia="宋体" w:cs="宋体"/>
                <w:snapToGrid w:val="0"/>
                <w:color w:val="auto"/>
                <w:sz w:val="24"/>
                <w:szCs w:val="24"/>
                <w:lang w:val="en-US" w:eastAsia="en-US" w:bidi="ar-SA"/>
              </w:rPr>
              <w:t>需附在有效期内的认证证书彩色扫描件</w:t>
            </w:r>
            <w:r>
              <w:rPr>
                <w:rFonts w:hint="eastAsia" w:ascii="宋体" w:hAnsi="宋体" w:eastAsia="宋体" w:cs="宋体"/>
                <w:color w:val="auto"/>
                <w:sz w:val="24"/>
                <w:szCs w:val="24"/>
                <w:lang w:eastAsia="zh-CN"/>
              </w:rPr>
              <w:t>，</w:t>
            </w:r>
            <w:r>
              <w:rPr>
                <w:rFonts w:hint="eastAsia" w:ascii="宋体" w:hAnsi="宋体" w:eastAsia="宋体" w:cs="宋体"/>
                <w:b/>
                <w:bCs/>
                <w:color w:val="auto"/>
                <w:sz w:val="24"/>
                <w:szCs w:val="24"/>
                <w:lang w:eastAsia="zh-CN"/>
              </w:rPr>
              <w:t>同时提供原件供核对（证书为电子证书的除外）</w:t>
            </w:r>
            <w:r>
              <w:rPr>
                <w:rFonts w:hint="eastAsia" w:ascii="宋体" w:hAnsi="宋体" w:eastAsia="宋体" w:cs="宋体"/>
                <w:snapToGrid w:val="0"/>
                <w:color w:val="auto"/>
                <w:sz w:val="24"/>
                <w:szCs w:val="24"/>
                <w:lang w:val="en-US" w:eastAsia="en-US" w:bidi="ar-SA"/>
              </w:rPr>
              <w:t>。</w:t>
            </w:r>
          </w:p>
          <w:p w14:paraId="09563DBF">
            <w:pPr>
              <w:keepNext w:val="0"/>
              <w:keepLines w:val="0"/>
              <w:pageBreakBefore w:val="0"/>
              <w:widowControl w:val="0"/>
              <w:kinsoku/>
              <w:wordWrap/>
              <w:overflowPunct/>
              <w:topLinePunct w:val="0"/>
              <w:autoSpaceDE/>
              <w:autoSpaceDN/>
              <w:bidi w:val="0"/>
              <w:adjustRightInd w:val="0"/>
              <w:snapToGrid w:val="0"/>
              <w:spacing w:line="360" w:lineRule="auto"/>
              <w:ind w:left="116" w:right="109" w:hanging="7"/>
              <w:jc w:val="both"/>
              <w:textAlignment w:val="auto"/>
              <w:rPr>
                <w:rFonts w:hint="eastAsia" w:ascii="宋体" w:hAnsi="宋体" w:eastAsia="宋体" w:cs="宋体"/>
                <w:snapToGrid w:val="0"/>
                <w:color w:val="auto"/>
                <w:sz w:val="24"/>
                <w:szCs w:val="24"/>
                <w:lang w:val="en-US" w:eastAsia="en-US" w:bidi="ar-SA"/>
              </w:rPr>
            </w:pPr>
            <w:r>
              <w:rPr>
                <w:rFonts w:hint="eastAsia" w:ascii="宋体" w:hAnsi="宋体" w:eastAsia="宋体" w:cs="宋体"/>
                <w:snapToGrid w:val="0"/>
                <w:color w:val="auto"/>
                <w:sz w:val="24"/>
                <w:szCs w:val="24"/>
                <w:lang w:val="en-US" w:eastAsia="zh-CN" w:bidi="ar-SA"/>
              </w:rPr>
              <w:t>2.</w:t>
            </w:r>
            <w:r>
              <w:rPr>
                <w:rFonts w:hint="eastAsia" w:ascii="宋体" w:hAnsi="宋体" w:eastAsia="宋体" w:cs="宋体"/>
                <w:snapToGrid w:val="0"/>
                <w:color w:val="auto"/>
                <w:sz w:val="24"/>
                <w:szCs w:val="24"/>
                <w:lang w:val="en-US" w:eastAsia="en-US" w:bidi="ar-SA"/>
              </w:rPr>
              <w:t>任一认证证书有以下情形之一的，该认证证书视为无效，不予计分：</w:t>
            </w:r>
          </w:p>
          <w:p w14:paraId="518B3A0A">
            <w:pPr>
              <w:keepNext w:val="0"/>
              <w:keepLines w:val="0"/>
              <w:pageBreakBefore w:val="0"/>
              <w:widowControl w:val="0"/>
              <w:kinsoku/>
              <w:wordWrap/>
              <w:overflowPunct/>
              <w:topLinePunct w:val="0"/>
              <w:autoSpaceDE/>
              <w:autoSpaceDN/>
              <w:bidi w:val="0"/>
              <w:adjustRightInd w:val="0"/>
              <w:snapToGrid w:val="0"/>
              <w:spacing w:line="360" w:lineRule="auto"/>
              <w:ind w:left="116" w:right="109" w:hanging="7"/>
              <w:jc w:val="both"/>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①未提供认证证书原件的；</w:t>
            </w:r>
          </w:p>
          <w:p w14:paraId="4687AB1F">
            <w:pPr>
              <w:keepNext w:val="0"/>
              <w:keepLines w:val="0"/>
              <w:pageBreakBefore w:val="0"/>
              <w:widowControl w:val="0"/>
              <w:kinsoku/>
              <w:wordWrap/>
              <w:overflowPunct/>
              <w:topLinePunct w:val="0"/>
              <w:autoSpaceDE/>
              <w:autoSpaceDN/>
              <w:bidi w:val="0"/>
              <w:adjustRightInd w:val="0"/>
              <w:snapToGrid w:val="0"/>
              <w:spacing w:line="360" w:lineRule="auto"/>
              <w:ind w:left="116" w:leftChars="0" w:right="109" w:rightChars="0" w:hanging="7" w:firstLineChars="0"/>
              <w:jc w:val="both"/>
              <w:textAlignment w:val="auto"/>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
              </w:rPr>
              <w:t>②认证证书不在有效期内的。</w:t>
            </w:r>
          </w:p>
        </w:tc>
      </w:tr>
      <w:tr w14:paraId="6E69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5" w:type="dxa"/>
            <w:gridSpan w:val="2"/>
            <w:shd w:val="clear" w:color="auto" w:fill="auto"/>
            <w:vAlign w:val="center"/>
          </w:tcPr>
          <w:p w14:paraId="7E36193B">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w:t>
            </w:r>
          </w:p>
          <w:p w14:paraId="3447C86E">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财务状况</w:t>
            </w:r>
          </w:p>
          <w:p w14:paraId="2477B1A0">
            <w:pPr>
              <w:widowControl w:val="0"/>
              <w:spacing w:line="360" w:lineRule="auto"/>
              <w:jc w:val="center"/>
              <w:rPr>
                <w:rFonts w:hint="eastAsia" w:ascii="宋体" w:hAnsi="宋体" w:eastAsia="宋体" w:cs="宋体"/>
                <w:b w:val="0"/>
                <w:bCs w:val="0"/>
                <w:caps w:val="0"/>
                <w:smallCaps w:val="0"/>
                <w:snapToGrid w:val="0"/>
                <w:color w:val="C00000"/>
                <w:spacing w:val="0"/>
                <w:kern w:val="0"/>
                <w:sz w:val="24"/>
                <w:szCs w:val="24"/>
                <w:highlight w:val="none"/>
                <w:lang w:val="en-US" w:eastAsia="zh-CN" w:bidi="ar"/>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4305" w:type="dxa"/>
            <w:shd w:val="clear" w:color="auto" w:fill="auto"/>
            <w:vAlign w:val="center"/>
          </w:tcPr>
          <w:p w14:paraId="7938A9DB">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提供不</w:t>
            </w:r>
            <w:r>
              <w:rPr>
                <w:rFonts w:hint="eastAsia" w:ascii="宋体" w:hAnsi="宋体" w:eastAsia="宋体" w:cs="宋体"/>
                <w:color w:val="auto"/>
                <w:sz w:val="24"/>
                <w:szCs w:val="24"/>
                <w:highlight w:val="none"/>
              </w:rPr>
              <w:t>少于</w:t>
            </w:r>
            <w:r>
              <w:rPr>
                <w:rFonts w:hint="eastAsia" w:ascii="宋体" w:hAnsi="宋体" w:eastAsia="宋体" w:cs="宋体"/>
                <w:color w:val="auto"/>
                <w:sz w:val="24"/>
                <w:szCs w:val="24"/>
                <w:highlight w:val="none"/>
                <w:u w:val="single"/>
                <w:lang w:val="en-US" w:eastAsia="zh-CN"/>
              </w:rPr>
              <w:t>50</w:t>
            </w:r>
            <w:r>
              <w:rPr>
                <w:rFonts w:hint="eastAsia" w:ascii="宋体" w:hAnsi="宋体" w:eastAsia="宋体" w:cs="宋体"/>
                <w:color w:val="auto"/>
                <w:sz w:val="24"/>
                <w:szCs w:val="24"/>
                <w:highlight w:val="none"/>
                <w:u w:val="single"/>
              </w:rPr>
              <w:t>万元</w:t>
            </w:r>
            <w:r>
              <w:rPr>
                <w:rFonts w:hint="eastAsia" w:ascii="宋体" w:hAnsi="宋体" w:eastAsia="宋体" w:cs="宋体"/>
                <w:color w:val="auto"/>
                <w:sz w:val="24"/>
                <w:szCs w:val="24"/>
                <w:highlight w:val="none"/>
              </w:rPr>
              <w:t>银行授信证明的，得</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分。</w:t>
            </w:r>
          </w:p>
          <w:p w14:paraId="18BF2843">
            <w:pPr>
              <w:widowControl w:val="0"/>
              <w:spacing w:line="360" w:lineRule="auto"/>
              <w:jc w:val="both"/>
              <w:rPr>
                <w:rFonts w:hint="eastAsia" w:ascii="宋体" w:hAnsi="宋体" w:eastAsia="宋体" w:cs="宋体"/>
                <w:color w:val="C00000"/>
                <w:kern w:val="2"/>
                <w:sz w:val="24"/>
                <w:szCs w:val="24"/>
                <w:highlight w:val="none"/>
                <w:lang w:val="en-US" w:eastAsia="zh-CN" w:bidi="ar-SA"/>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提供投标人基本账户在本项目招标公告发布之日起至投标截止时间期间出现过至少连续3日不少于</w:t>
            </w:r>
            <w:r>
              <w:rPr>
                <w:rFonts w:hint="eastAsia" w:ascii="宋体" w:hAnsi="宋体" w:eastAsia="宋体" w:cs="宋体"/>
                <w:color w:val="auto"/>
                <w:sz w:val="24"/>
                <w:szCs w:val="24"/>
                <w:highlight w:val="none"/>
                <w:u w:val="single"/>
                <w:lang w:val="en-US" w:eastAsia="zh-CN"/>
              </w:rPr>
              <w:t>50万</w:t>
            </w:r>
            <w:r>
              <w:rPr>
                <w:rFonts w:hint="eastAsia" w:ascii="宋体" w:hAnsi="宋体" w:eastAsia="宋体" w:cs="宋体"/>
                <w:color w:val="auto"/>
                <w:sz w:val="24"/>
                <w:szCs w:val="24"/>
                <w:highlight w:val="none"/>
                <w:u w:val="single"/>
              </w:rPr>
              <w:t>元</w:t>
            </w:r>
            <w:r>
              <w:rPr>
                <w:rFonts w:hint="eastAsia" w:ascii="宋体" w:hAnsi="宋体" w:eastAsia="宋体" w:cs="宋体"/>
                <w:color w:val="auto"/>
                <w:sz w:val="24"/>
                <w:szCs w:val="24"/>
                <w:highlight w:val="none"/>
              </w:rPr>
              <w:t>存款余额资金流水</w:t>
            </w:r>
            <w:r>
              <w:rPr>
                <w:rFonts w:hint="eastAsia" w:ascii="宋体" w:hAnsi="宋体" w:eastAsia="宋体" w:cs="宋体"/>
                <w:color w:val="auto"/>
                <w:sz w:val="24"/>
                <w:szCs w:val="24"/>
              </w:rPr>
              <w:t>证明的，得</w:t>
            </w:r>
            <w:r>
              <w:rPr>
                <w:rFonts w:hint="eastAsia" w:ascii="宋体" w:hAnsi="宋体" w:eastAsia="宋体" w:cs="宋体"/>
                <w:color w:val="auto"/>
                <w:sz w:val="24"/>
                <w:szCs w:val="24"/>
                <w:u w:val="single"/>
              </w:rPr>
              <w:t>5</w:t>
            </w:r>
            <w:r>
              <w:rPr>
                <w:rFonts w:hint="eastAsia" w:ascii="宋体" w:hAnsi="宋体" w:eastAsia="宋体" w:cs="宋体"/>
                <w:color w:val="auto"/>
                <w:sz w:val="24"/>
                <w:szCs w:val="24"/>
              </w:rPr>
              <w:t>分。</w:t>
            </w:r>
          </w:p>
        </w:tc>
        <w:tc>
          <w:tcPr>
            <w:tcW w:w="4324" w:type="dxa"/>
            <w:shd w:val="clear" w:color="auto" w:fill="auto"/>
            <w:vAlign w:val="center"/>
          </w:tcPr>
          <w:p w14:paraId="16E7D943">
            <w:pPr>
              <w:widowControl w:val="0"/>
              <w:spacing w:line="360" w:lineRule="auto"/>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需附在有效期内的有关证明</w:t>
            </w:r>
            <w:r>
              <w:rPr>
                <w:rFonts w:hint="eastAsia" w:ascii="宋体" w:hAnsi="宋体" w:eastAsia="宋体" w:cs="宋体"/>
                <w:color w:val="auto"/>
                <w:sz w:val="24"/>
                <w:szCs w:val="24"/>
                <w:lang w:eastAsia="zh-CN"/>
              </w:rPr>
              <w:t>电子</w:t>
            </w:r>
            <w:r>
              <w:rPr>
                <w:rFonts w:hint="eastAsia" w:ascii="宋体" w:hAnsi="宋体" w:eastAsia="宋体" w:cs="宋体"/>
                <w:color w:val="auto"/>
                <w:sz w:val="24"/>
                <w:szCs w:val="24"/>
              </w:rPr>
              <w:t>扫描件</w:t>
            </w:r>
            <w:r>
              <w:rPr>
                <w:rFonts w:hint="eastAsia" w:ascii="宋体" w:hAnsi="宋体" w:eastAsia="宋体" w:cs="宋体"/>
                <w:color w:val="auto"/>
                <w:sz w:val="24"/>
                <w:szCs w:val="24"/>
                <w:lang w:eastAsia="zh-CN"/>
              </w:rPr>
              <w:t>。</w:t>
            </w:r>
          </w:p>
          <w:p w14:paraId="53613A6E">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银行授信证明有以下情形之一的，视为无效，不予计分：</w:t>
            </w:r>
          </w:p>
          <w:p w14:paraId="14FDD26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①授信证明不在有效期内的；</w:t>
            </w:r>
          </w:p>
          <w:p w14:paraId="0F4E575F">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②授信额度不符合要求的；</w:t>
            </w:r>
          </w:p>
          <w:p w14:paraId="18ABF86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存款余额资金流水证明有以下情形之一的，视为无效，不予计分：</w:t>
            </w:r>
          </w:p>
          <w:p w14:paraId="044FF3BC">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①存款账户不是基本账户的；</w:t>
            </w:r>
          </w:p>
          <w:p w14:paraId="61FF5E33">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②存款时间不符合要求的；</w:t>
            </w:r>
          </w:p>
          <w:p w14:paraId="5A80CA9B">
            <w:pPr>
              <w:widowControl w:val="0"/>
              <w:spacing w:line="360" w:lineRule="auto"/>
              <w:jc w:val="both"/>
              <w:rPr>
                <w:rFonts w:hint="eastAsia" w:ascii="宋体" w:hAnsi="宋体" w:eastAsia="宋体" w:cs="宋体"/>
                <w:caps w:val="0"/>
                <w:smallCaps w:val="0"/>
                <w:snapToGrid w:val="0"/>
                <w:color w:val="C00000"/>
                <w:spacing w:val="0"/>
                <w:kern w:val="0"/>
                <w:sz w:val="24"/>
                <w:szCs w:val="24"/>
                <w:highlight w:val="none"/>
                <w:lang w:val="en-US" w:eastAsia="zh-CN" w:bidi="ar-SA"/>
              </w:rPr>
            </w:pPr>
            <w:r>
              <w:rPr>
                <w:rFonts w:hint="eastAsia" w:ascii="宋体" w:hAnsi="宋体" w:eastAsia="宋体" w:cs="宋体"/>
                <w:color w:val="auto"/>
                <w:sz w:val="24"/>
                <w:szCs w:val="24"/>
              </w:rPr>
              <w:t>③存款额度不符合要求的。</w:t>
            </w:r>
          </w:p>
        </w:tc>
      </w:tr>
      <w:tr w14:paraId="7475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gridSpan w:val="2"/>
            <w:vMerge w:val="restart"/>
            <w:vAlign w:val="center"/>
          </w:tcPr>
          <w:p w14:paraId="30153825">
            <w:pPr>
              <w:pStyle w:val="42"/>
              <w:wordWrap w:val="0"/>
              <w:adjustRightInd w:val="0"/>
              <w:snapToGrid w:val="0"/>
              <w:spacing w:line="240" w:lineRule="auto"/>
              <w:jc w:val="center"/>
              <w:rPr>
                <w:rFonts w:hint="eastAsia" w:ascii="宋体" w:hAnsi="宋体" w:eastAsia="宋体" w:cs="宋体"/>
                <w:color w:val="C00000"/>
                <w:sz w:val="24"/>
                <w:szCs w:val="24"/>
              </w:rPr>
            </w:pPr>
            <w:r>
              <w:rPr>
                <w:rFonts w:hint="eastAsia" w:ascii="宋体" w:hAnsi="宋体" w:eastAsia="宋体" w:cs="宋体"/>
                <w:b w:val="0"/>
                <w:bCs w:val="0"/>
                <w:snapToGrid w:val="0"/>
                <w:color w:val="auto"/>
                <w:kern w:val="0"/>
                <w:sz w:val="24"/>
                <w:szCs w:val="24"/>
                <w:highlight w:val="none"/>
                <w:lang w:val="en-US" w:eastAsia="zh-CN" w:bidi="ar-SA"/>
              </w:rPr>
              <w:t>招标人自选项</w:t>
            </w:r>
            <w:r>
              <w:rPr>
                <w:rFonts w:hint="eastAsia" w:ascii="宋体" w:hAnsi="宋体" w:eastAsia="宋体" w:cs="宋体"/>
                <w:b w:val="0"/>
                <w:bCs w:val="0"/>
                <w:color w:val="auto"/>
                <w:kern w:val="0"/>
                <w:sz w:val="24"/>
                <w:szCs w:val="24"/>
                <w:highlight w:val="none"/>
                <w:lang w:val="en-US" w:eastAsia="zh-CN" w:bidi="ar"/>
              </w:rPr>
              <w:t>（20分）</w:t>
            </w:r>
          </w:p>
        </w:tc>
        <w:tc>
          <w:tcPr>
            <w:tcW w:w="4305" w:type="dxa"/>
            <w:shd w:val="clear" w:color="auto" w:fill="auto"/>
            <w:vAlign w:val="center"/>
          </w:tcPr>
          <w:p w14:paraId="1A864495">
            <w:pPr>
              <w:pStyle w:val="8"/>
              <w:pageBreakBefore w:val="0"/>
              <w:widowControl w:val="0"/>
              <w:numPr>
                <w:ilvl w:val="0"/>
                <w:numId w:val="0"/>
              </w:numPr>
              <w:kinsoku/>
              <w:wordWrap/>
              <w:overflowPunct/>
              <w:topLinePunct w:val="0"/>
              <w:autoSpaceDE/>
              <w:autoSpaceDN/>
              <w:bidi w:val="0"/>
              <w:adjustRightInd w:val="0"/>
              <w:snapToGrid w:val="0"/>
              <w:spacing w:before="0" w:beforeLines="0" w:after="0" w:afterLines="0" w:line="360" w:lineRule="auto"/>
              <w:ind w:left="0" w:leftChars="0" w:firstLine="0" w:firstLineChars="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企业近5年来（2020年1月1日至今）获得过省级或以上商业联合会颁发的诚信兴商企业证书的，其中有1年获得的得1分，其中有2年获得过的得2分；其中有3年获得过的得4分；其中有4年或以上（含4年）获得过的,得8分，本项最高得8分。</w:t>
            </w:r>
          </w:p>
          <w:p w14:paraId="5048B9F4">
            <w:pPr>
              <w:pStyle w:val="8"/>
              <w:pageBreakBefore w:val="0"/>
              <w:widowControl w:val="0"/>
              <w:numPr>
                <w:ilvl w:val="0"/>
                <w:numId w:val="0"/>
              </w:numPr>
              <w:kinsoku/>
              <w:wordWrap/>
              <w:overflowPunct/>
              <w:topLinePunct w:val="0"/>
              <w:autoSpaceDE/>
              <w:autoSpaceDN/>
              <w:bidi w:val="0"/>
              <w:adjustRightInd w:val="0"/>
              <w:snapToGrid w:val="0"/>
              <w:spacing w:before="0" w:beforeLines="0" w:after="0" w:afterLines="0" w:line="360" w:lineRule="auto"/>
              <w:ind w:left="0" w:leftChars="0" w:firstLine="0" w:firstLineChars="0"/>
              <w:jc w:val="both"/>
              <w:textAlignment w:val="auto"/>
              <w:rPr>
                <w:rFonts w:hint="eastAsia" w:ascii="宋体" w:hAnsi="宋体" w:eastAsia="宋体" w:cs="宋体"/>
                <w:color w:val="C00000"/>
                <w:kern w:val="2"/>
                <w:sz w:val="24"/>
                <w:szCs w:val="24"/>
                <w:lang w:val="en-US" w:eastAsia="zh-CN" w:bidi="ar-SA"/>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其他情形的，不予计分。</w:t>
            </w:r>
          </w:p>
        </w:tc>
        <w:tc>
          <w:tcPr>
            <w:tcW w:w="4324" w:type="dxa"/>
            <w:shd w:val="clear" w:color="auto" w:fill="auto"/>
            <w:vAlign w:val="center"/>
          </w:tcPr>
          <w:p w14:paraId="5704798A">
            <w:pPr>
              <w:widowControl w:val="0"/>
              <w:numPr>
                <w:ilvl w:val="0"/>
                <w:numId w:val="0"/>
              </w:numPr>
              <w:spacing w:line="360" w:lineRule="auto"/>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sz w:val="24"/>
                <w:szCs w:val="24"/>
                <w:lang w:val="en-US" w:eastAsia="zh-CN" w:bidi="ar-SA"/>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证书由省级或以上商业联合会（需经民政局备案）颁发，须提供有关证书彩色扫描件</w:t>
            </w:r>
            <w:r>
              <w:rPr>
                <w:rFonts w:hint="eastAsia" w:ascii="宋体" w:hAnsi="宋体" w:eastAsia="宋体" w:cs="宋体"/>
                <w:b/>
                <w:bCs/>
                <w:color w:val="000000" w:themeColor="text1"/>
                <w:sz w:val="24"/>
                <w:szCs w:val="24"/>
                <w:lang w:eastAsia="zh-CN"/>
                <w14:textFill>
                  <w14:solidFill>
                    <w14:schemeClr w14:val="tx1"/>
                  </w14:solidFill>
                </w14:textFill>
              </w:rPr>
              <w:t>同时提供原件供核对（证书为电子证书的除外）</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14CC95FA">
            <w:pPr>
              <w:widowControl w:val="0"/>
              <w:numPr>
                <w:ilvl w:val="0"/>
                <w:numId w:val="0"/>
              </w:numPr>
              <w:spacing w:line="360" w:lineRule="auto"/>
              <w:jc w:val="both"/>
              <w:rPr>
                <w:rFonts w:hint="eastAsia" w:ascii="宋体" w:hAnsi="宋体" w:eastAsia="宋体" w:cs="宋体"/>
                <w:color w:val="C00000"/>
                <w:kern w:val="0"/>
                <w:sz w:val="24"/>
                <w:szCs w:val="24"/>
                <w:highlight w:val="none"/>
                <w:lang w:val="en-US" w:eastAsia="zh-CN" w:bidi="ar"/>
              </w:rPr>
            </w:pPr>
            <w:r>
              <w:rPr>
                <w:rFonts w:hint="eastAsia" w:ascii="宋体" w:hAnsi="宋体" w:eastAsia="宋体" w:cs="宋体"/>
                <w:snapToGrid w:val="0"/>
                <w:color w:val="auto"/>
                <w:kern w:val="0"/>
                <w:sz w:val="24"/>
                <w:szCs w:val="24"/>
                <w:lang w:val="en-US" w:eastAsia="zh-CN" w:bidi="ar"/>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未提供原件的，颁发机构不符合要求的，按第2项标准处理。</w:t>
            </w:r>
          </w:p>
        </w:tc>
      </w:tr>
      <w:tr w14:paraId="642A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gridSpan w:val="2"/>
            <w:vMerge w:val="continue"/>
            <w:vAlign w:val="center"/>
          </w:tcPr>
          <w:p w14:paraId="1E917250">
            <w:pPr>
              <w:pStyle w:val="42"/>
              <w:wordWrap w:val="0"/>
              <w:adjustRightInd w:val="0"/>
              <w:snapToGrid w:val="0"/>
              <w:spacing w:line="240" w:lineRule="auto"/>
              <w:jc w:val="center"/>
              <w:rPr>
                <w:rFonts w:hint="eastAsia" w:ascii="宋体" w:hAnsi="宋体" w:eastAsia="宋体" w:cs="宋体"/>
                <w:color w:val="C00000"/>
                <w:sz w:val="24"/>
                <w:szCs w:val="24"/>
              </w:rPr>
            </w:pPr>
          </w:p>
        </w:tc>
        <w:tc>
          <w:tcPr>
            <w:tcW w:w="4305" w:type="dxa"/>
            <w:shd w:val="clear" w:color="auto" w:fill="auto"/>
            <w:vAlign w:val="center"/>
          </w:tcPr>
          <w:p w14:paraId="1D3974FD">
            <w:pPr>
              <w:pStyle w:val="10"/>
              <w:widowControl w:val="0"/>
              <w:wordWrap w:val="0"/>
              <w:adjustRightInd w:val="0"/>
              <w:snapToGrid w:val="0"/>
              <w:spacing w:after="0" w:line="400" w:lineRule="exact"/>
              <w:jc w:val="both"/>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color w:val="auto"/>
                <w:sz w:val="24"/>
                <w:szCs w:val="24"/>
                <w:highlight w:val="none"/>
              </w:rPr>
              <w:t>企业近5年来（20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年1月1日至</w:t>
            </w:r>
            <w:r>
              <w:rPr>
                <w:rFonts w:hint="eastAsia" w:ascii="宋体" w:hAnsi="宋体" w:eastAsia="宋体" w:cs="宋体"/>
                <w:color w:val="auto"/>
                <w:sz w:val="24"/>
                <w:szCs w:val="24"/>
                <w:highlight w:val="none"/>
                <w:lang w:val="en-US" w:eastAsia="zh-CN"/>
              </w:rPr>
              <w:t>今</w:t>
            </w:r>
            <w:r>
              <w:rPr>
                <w:rFonts w:hint="eastAsia" w:ascii="宋体" w:hAnsi="宋体" w:eastAsia="宋体" w:cs="宋体"/>
                <w:color w:val="auto"/>
                <w:sz w:val="24"/>
                <w:szCs w:val="24"/>
                <w:highlight w:val="none"/>
              </w:rPr>
              <w:t>）获得</w:t>
            </w:r>
            <w:r>
              <w:rPr>
                <w:rFonts w:hint="eastAsia" w:ascii="宋体" w:hAnsi="宋体" w:eastAsia="宋体" w:cs="宋体"/>
                <w:color w:val="auto"/>
                <w:sz w:val="24"/>
                <w:szCs w:val="24"/>
                <w:highlight w:val="none"/>
                <w:lang w:val="en-US" w:eastAsia="zh-CN"/>
              </w:rPr>
              <w:t>过</w:t>
            </w:r>
            <w:r>
              <w:rPr>
                <w:rFonts w:hint="eastAsia" w:ascii="宋体" w:hAnsi="宋体" w:eastAsia="宋体" w:cs="宋体"/>
                <w:color w:val="auto"/>
                <w:sz w:val="24"/>
                <w:szCs w:val="24"/>
                <w:highlight w:val="none"/>
              </w:rPr>
              <w:t>“AAA级信用企业”</w:t>
            </w:r>
            <w:r>
              <w:rPr>
                <w:rFonts w:hint="eastAsia" w:ascii="宋体" w:hAnsi="宋体" w:eastAsia="宋体" w:cs="宋体"/>
                <w:snapToGrid w:val="0"/>
                <w:color w:val="auto"/>
                <w:sz w:val="24"/>
                <w:szCs w:val="24"/>
                <w:highlight w:val="none"/>
                <w:lang w:val="en-US" w:eastAsia="zh-CN" w:bidi="ar-SA"/>
              </w:rPr>
              <w:t>称号</w:t>
            </w:r>
            <w:r>
              <w:rPr>
                <w:rFonts w:hint="eastAsia" w:ascii="宋体" w:hAnsi="宋体" w:eastAsia="宋体" w:cs="宋体"/>
                <w:color w:val="auto"/>
                <w:sz w:val="24"/>
                <w:szCs w:val="24"/>
                <w:highlight w:val="none"/>
                <w:lang w:val="en-US" w:eastAsia="zh-CN"/>
              </w:rPr>
              <w:t>满1年的得2分，超过1年的每增加满1年加2分。本项最高得4分。</w:t>
            </w:r>
          </w:p>
        </w:tc>
        <w:tc>
          <w:tcPr>
            <w:tcW w:w="4324" w:type="dxa"/>
            <w:shd w:val="clear" w:color="auto" w:fill="auto"/>
            <w:vAlign w:val="center"/>
          </w:tcPr>
          <w:p w14:paraId="59D20E7A">
            <w:pPr>
              <w:widowControl w:val="0"/>
              <w:numPr>
                <w:ilvl w:val="0"/>
                <w:numId w:val="0"/>
              </w:numPr>
              <w:spacing w:line="360" w:lineRule="auto"/>
              <w:jc w:val="both"/>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val="0"/>
                <w:bCs w:val="0"/>
                <w:snapToGrid w:val="0"/>
                <w:color w:val="000000" w:themeColor="text1"/>
                <w:sz w:val="24"/>
                <w:szCs w:val="24"/>
                <w:lang w:val="en-US" w:eastAsia="zh-CN" w:bidi="ar-SA"/>
                <w14:textFill>
                  <w14:solidFill>
                    <w14:schemeClr w14:val="tx1"/>
                  </w14:solidFill>
                </w14:textFill>
              </w:rPr>
              <w:t>1．</w:t>
            </w:r>
            <w:r>
              <w:rPr>
                <w:rFonts w:hint="eastAsia" w:ascii="宋体" w:hAnsi="宋体" w:eastAsia="宋体" w:cs="宋体"/>
                <w:color w:val="auto"/>
                <w:sz w:val="24"/>
                <w:szCs w:val="24"/>
                <w:highlight w:val="none"/>
                <w:lang w:val="en-US" w:eastAsia="zh-CN"/>
              </w:rPr>
              <w:t>需附相关证书原件彩色扫描件，</w:t>
            </w:r>
            <w:r>
              <w:rPr>
                <w:rFonts w:hint="eastAsia" w:ascii="宋体" w:hAnsi="宋体" w:eastAsia="宋体" w:cs="宋体"/>
                <w:b/>
                <w:bCs/>
                <w:color w:val="000000" w:themeColor="text1"/>
                <w:sz w:val="24"/>
                <w:szCs w:val="24"/>
                <w:lang w:eastAsia="zh-CN"/>
                <w14:textFill>
                  <w14:solidFill>
                    <w14:schemeClr w14:val="tx1"/>
                  </w14:solidFill>
                </w14:textFill>
              </w:rPr>
              <w:t>同时提供原件供核对（证书为电子证书的除外）。</w:t>
            </w:r>
          </w:p>
          <w:p w14:paraId="3616CF1C">
            <w:pPr>
              <w:widowControl w:val="0"/>
              <w:numPr>
                <w:ilvl w:val="0"/>
                <w:numId w:val="0"/>
              </w:numPr>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2．证书须由</w:t>
            </w:r>
            <w:r>
              <w:rPr>
                <w:rFonts w:hint="eastAsia" w:ascii="宋体" w:hAnsi="宋体" w:eastAsia="宋体" w:cs="宋体"/>
                <w:b w:val="0"/>
                <w:bCs w:val="0"/>
                <w:color w:val="auto"/>
                <w:sz w:val="24"/>
                <w:szCs w:val="24"/>
                <w:highlight w:val="none"/>
                <w:lang w:val="en-US" w:eastAsia="zh-CN"/>
              </w:rPr>
              <w:t>中国企业联合会和中国企业家协会</w:t>
            </w:r>
            <w:r>
              <w:rPr>
                <w:rFonts w:hint="eastAsia" w:ascii="宋体" w:hAnsi="宋体" w:eastAsia="宋体" w:cs="宋体"/>
                <w:color w:val="auto"/>
                <w:sz w:val="24"/>
                <w:szCs w:val="24"/>
                <w:highlight w:val="none"/>
                <w:lang w:val="en-US" w:eastAsia="zh-CN"/>
              </w:rPr>
              <w:t>同时颁发（需经民政部门备案）且处于有效期内，时间从颁发日期起计算为准。</w:t>
            </w:r>
          </w:p>
          <w:p w14:paraId="76B73411">
            <w:pPr>
              <w:widowControl w:val="0"/>
              <w:spacing w:line="360" w:lineRule="auto"/>
              <w:jc w:val="both"/>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3．未提供原件的；颁发机构、获奖时间不符合评分标准和备注规定的，不予得分。</w:t>
            </w:r>
          </w:p>
        </w:tc>
      </w:tr>
      <w:tr w14:paraId="2948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trPr>
        <w:tc>
          <w:tcPr>
            <w:tcW w:w="1225" w:type="dxa"/>
            <w:gridSpan w:val="2"/>
            <w:vMerge w:val="continue"/>
            <w:vAlign w:val="center"/>
          </w:tcPr>
          <w:p w14:paraId="11E2C080">
            <w:pPr>
              <w:pStyle w:val="42"/>
              <w:wordWrap w:val="0"/>
              <w:adjustRightInd w:val="0"/>
              <w:snapToGrid w:val="0"/>
              <w:spacing w:line="240" w:lineRule="auto"/>
              <w:jc w:val="center"/>
              <w:rPr>
                <w:rFonts w:hint="eastAsia" w:ascii="宋体" w:hAnsi="宋体" w:eastAsia="宋体" w:cs="宋体"/>
                <w:color w:val="C00000"/>
                <w:sz w:val="24"/>
                <w:szCs w:val="24"/>
              </w:rPr>
            </w:pPr>
          </w:p>
        </w:tc>
        <w:tc>
          <w:tcPr>
            <w:tcW w:w="4305" w:type="dxa"/>
            <w:shd w:val="clear" w:color="auto" w:fill="auto"/>
            <w:vAlign w:val="center"/>
          </w:tcPr>
          <w:p w14:paraId="76FB6625">
            <w:pPr>
              <w:widowControl w:val="0"/>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企业201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年度至202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其中有1～3</w:t>
            </w:r>
            <w:r>
              <w:rPr>
                <w:rFonts w:hint="eastAsia" w:ascii="宋体" w:hAnsi="宋体" w:eastAsia="宋体" w:cs="宋体"/>
                <w:color w:val="auto"/>
                <w:sz w:val="24"/>
                <w:szCs w:val="24"/>
                <w:highlight w:val="none"/>
              </w:rPr>
              <w:t>年获得纳税信用A级纳税人的，得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w:t>
            </w:r>
          </w:p>
          <w:p w14:paraId="7660D838">
            <w:pPr>
              <w:widowControl w:val="0"/>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其中有4～5</w:t>
            </w:r>
            <w:r>
              <w:rPr>
                <w:rFonts w:hint="eastAsia" w:ascii="宋体" w:hAnsi="宋体" w:eastAsia="宋体" w:cs="宋体"/>
                <w:color w:val="auto"/>
                <w:sz w:val="24"/>
                <w:szCs w:val="24"/>
                <w:highlight w:val="none"/>
              </w:rPr>
              <w:t>年获得纳税信用A级纳税人的，得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w:t>
            </w:r>
          </w:p>
          <w:p w14:paraId="34186BF8">
            <w:pPr>
              <w:widowControl w:val="0"/>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其中有6</w:t>
            </w:r>
            <w:r>
              <w:rPr>
                <w:rFonts w:hint="eastAsia" w:ascii="宋体" w:hAnsi="宋体" w:eastAsia="宋体" w:cs="宋体"/>
                <w:color w:val="auto"/>
                <w:sz w:val="24"/>
                <w:szCs w:val="24"/>
                <w:highlight w:val="none"/>
              </w:rPr>
              <w:t>年获得纳税信用A级纳税人的，得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w:t>
            </w:r>
          </w:p>
          <w:p w14:paraId="67D53D60">
            <w:pPr>
              <w:pStyle w:val="3"/>
              <w:jc w:val="both"/>
              <w:rPr>
                <w:rFonts w:hint="eastAsia" w:ascii="宋体" w:hAnsi="宋体" w:eastAsia="宋体" w:cs="宋体"/>
                <w:color w:val="C00000"/>
                <w:kern w:val="0"/>
                <w:sz w:val="24"/>
                <w:szCs w:val="24"/>
                <w:lang w:val="en-US" w:eastAsia="zh-CN" w:bidi="ar"/>
              </w:rPr>
            </w:pPr>
            <w:r>
              <w:rPr>
                <w:rFonts w:hint="eastAsia" w:ascii="宋体" w:hAnsi="宋体" w:eastAsia="宋体" w:cs="宋体"/>
                <w:color w:val="auto"/>
                <w:sz w:val="24"/>
                <w:szCs w:val="24"/>
                <w:highlight w:val="none"/>
                <w:lang w:val="en-US" w:eastAsia="zh-CN"/>
              </w:rPr>
              <w:t>本项最高可得6分。</w:t>
            </w:r>
          </w:p>
        </w:tc>
        <w:tc>
          <w:tcPr>
            <w:tcW w:w="4324" w:type="dxa"/>
            <w:shd w:val="clear" w:color="auto" w:fill="auto"/>
            <w:vAlign w:val="center"/>
          </w:tcPr>
          <w:p w14:paraId="2C1EC22A">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1.必须提供企业纳税信用A级纳税人证明材料（或证书）彩色扫描件</w:t>
            </w:r>
            <w:r>
              <w:rPr>
                <w:rFonts w:hint="eastAsia" w:ascii="宋体" w:hAnsi="宋体" w:eastAsia="宋体" w:cs="宋体"/>
                <w:color w:val="auto"/>
                <w:sz w:val="24"/>
                <w:szCs w:val="24"/>
                <w:highlight w:val="none"/>
                <w:lang w:val="en-US" w:eastAsia="zh-CN"/>
              </w:rPr>
              <w:t>及国家税务总局网上查询截图</w:t>
            </w:r>
            <w:r>
              <w:rPr>
                <w:rFonts w:hint="eastAsia" w:ascii="宋体" w:hAnsi="宋体" w:eastAsia="宋体" w:cs="宋体"/>
                <w:color w:val="auto"/>
                <w:sz w:val="24"/>
                <w:szCs w:val="24"/>
                <w:highlight w:val="none"/>
              </w:rPr>
              <w:t>，否则不得分。</w:t>
            </w:r>
          </w:p>
          <w:p w14:paraId="2A5352E2">
            <w:pPr>
              <w:widowControl w:val="0"/>
              <w:spacing w:line="360" w:lineRule="auto"/>
              <w:jc w:val="both"/>
              <w:rPr>
                <w:rFonts w:hint="eastAsia" w:ascii="宋体" w:hAnsi="宋体" w:eastAsia="宋体" w:cs="宋体"/>
                <w:color w:val="C00000"/>
                <w:kern w:val="0"/>
                <w:sz w:val="24"/>
                <w:szCs w:val="24"/>
                <w:lang w:val="en-US" w:eastAsia="zh-CN" w:bidi="ar"/>
              </w:rPr>
            </w:pPr>
            <w:r>
              <w:rPr>
                <w:rFonts w:hint="eastAsia" w:ascii="宋体" w:hAnsi="宋体" w:eastAsia="宋体" w:cs="宋体"/>
                <w:color w:val="auto"/>
                <w:sz w:val="24"/>
                <w:szCs w:val="24"/>
                <w:highlight w:val="none"/>
              </w:rPr>
              <w:t>2.只计算投标人自身（不计算投标人的分公司、子公司及分支机构）。</w:t>
            </w:r>
          </w:p>
        </w:tc>
      </w:tr>
      <w:tr w14:paraId="6CF1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gridSpan w:val="2"/>
            <w:vMerge w:val="continue"/>
            <w:vAlign w:val="center"/>
          </w:tcPr>
          <w:p w14:paraId="1C5CED3B">
            <w:pPr>
              <w:pStyle w:val="42"/>
              <w:wordWrap w:val="0"/>
              <w:adjustRightInd w:val="0"/>
              <w:snapToGrid w:val="0"/>
              <w:spacing w:line="240" w:lineRule="auto"/>
              <w:jc w:val="center"/>
              <w:rPr>
                <w:rFonts w:hint="eastAsia" w:ascii="宋体" w:hAnsi="宋体" w:eastAsia="宋体" w:cs="宋体"/>
                <w:color w:val="C00000"/>
                <w:sz w:val="24"/>
                <w:szCs w:val="24"/>
              </w:rPr>
            </w:pPr>
          </w:p>
        </w:tc>
        <w:tc>
          <w:tcPr>
            <w:tcW w:w="4305" w:type="dxa"/>
            <w:shd w:val="clear" w:color="auto" w:fill="auto"/>
            <w:vAlign w:val="center"/>
          </w:tcPr>
          <w:p w14:paraId="49EA7A58">
            <w:pPr>
              <w:widowControl w:val="0"/>
              <w:numPr>
                <w:ilvl w:val="0"/>
                <w:numId w:val="0"/>
              </w:numPr>
              <w:spacing w:line="360" w:lineRule="auto"/>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1.近5年来（2020年1月1日至今）投标人未发生事故等级为一般事故及以上的生产安全事故、一般质量事故及以上的工程质量事故的，得2分；</w:t>
            </w:r>
          </w:p>
          <w:p w14:paraId="774E4F63">
            <w:pPr>
              <w:widowControl w:val="0"/>
              <w:numPr>
                <w:ilvl w:val="0"/>
                <w:numId w:val="0"/>
              </w:numPr>
              <w:spacing w:line="360" w:lineRule="auto"/>
              <w:ind w:left="0" w:leftChars="0" w:firstLine="0" w:firstLineChars="0"/>
              <w:jc w:val="both"/>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2.其他情形的，不予计分。</w:t>
            </w:r>
          </w:p>
        </w:tc>
        <w:tc>
          <w:tcPr>
            <w:tcW w:w="4324" w:type="dxa"/>
            <w:shd w:val="clear" w:color="auto" w:fill="auto"/>
            <w:vAlign w:val="center"/>
          </w:tcPr>
          <w:p w14:paraId="7C957057">
            <w:pPr>
              <w:widowControl w:val="0"/>
              <w:numPr>
                <w:ilvl w:val="0"/>
                <w:numId w:val="0"/>
              </w:numPr>
              <w:spacing w:line="360" w:lineRule="auto"/>
              <w:jc w:val="both"/>
              <w:rPr>
                <w:rFonts w:hint="eastAsia" w:ascii="宋体" w:hAnsi="宋体" w:eastAsia="宋体" w:cs="宋体"/>
                <w:snapToGrid w:val="0"/>
                <w:color w:val="C00000"/>
                <w:kern w:val="0"/>
                <w:sz w:val="24"/>
                <w:szCs w:val="24"/>
                <w:highlight w:val="none"/>
                <w:lang w:val="en-US" w:eastAsia="zh-CN" w:bidi="ar-SA"/>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需提供本单位承诺书(格式自定)并加盖本单位公章。未提供本单位承诺书并加盖本单位公章的，按第2项标准处理。</w:t>
            </w:r>
          </w:p>
        </w:tc>
      </w:tr>
      <w:tr w14:paraId="7288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4"/>
          </w:tcPr>
          <w:p w14:paraId="3D0F1BCE">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技术部分（施工组织设计），满分：20分。</w:t>
            </w:r>
          </w:p>
        </w:tc>
      </w:tr>
      <w:tr w14:paraId="56BC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Align w:val="center"/>
          </w:tcPr>
          <w:p w14:paraId="0395427D">
            <w:pPr>
              <w:widowControl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评分因素</w:t>
            </w:r>
          </w:p>
        </w:tc>
        <w:tc>
          <w:tcPr>
            <w:tcW w:w="4317" w:type="dxa"/>
            <w:gridSpan w:val="2"/>
            <w:vAlign w:val="center"/>
          </w:tcPr>
          <w:p w14:paraId="084F94A1">
            <w:pPr>
              <w:widowControl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评分标准</w:t>
            </w:r>
          </w:p>
        </w:tc>
        <w:tc>
          <w:tcPr>
            <w:tcW w:w="4324" w:type="dxa"/>
            <w:vAlign w:val="center"/>
          </w:tcPr>
          <w:p w14:paraId="0F8E97B5">
            <w:pPr>
              <w:widowControl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备注</w:t>
            </w:r>
          </w:p>
        </w:tc>
      </w:tr>
      <w:tr w14:paraId="5D17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0" w:hRule="atLeast"/>
        </w:trPr>
        <w:tc>
          <w:tcPr>
            <w:tcW w:w="1213" w:type="dxa"/>
            <w:shd w:val="clear" w:color="auto" w:fill="auto"/>
            <w:vAlign w:val="center"/>
          </w:tcPr>
          <w:p w14:paraId="63A57639">
            <w:pPr>
              <w:pStyle w:val="64"/>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总体概述</w:t>
            </w:r>
          </w:p>
          <w:p w14:paraId="1122125F">
            <w:pPr>
              <w:pStyle w:val="10"/>
              <w:widowControl w:val="0"/>
              <w:wordWrap w:val="0"/>
              <w:adjustRightInd w:val="0"/>
              <w:snapToGrid w:val="0"/>
              <w:spacing w:after="0"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4317" w:type="dxa"/>
            <w:gridSpan w:val="2"/>
            <w:shd w:val="clear" w:color="auto" w:fill="auto"/>
            <w:vAlign w:val="center"/>
          </w:tcPr>
          <w:p w14:paraId="2581D94D">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5DA0B048">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508721B4">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6AF6B182">
            <w:pPr>
              <w:pStyle w:val="10"/>
              <w:widowControl w:val="0"/>
              <w:wordWrap w:val="0"/>
              <w:adjustRightInd w:val="0"/>
              <w:snapToGrid w:val="0"/>
              <w:spacing w:after="0" w:line="400" w:lineRule="exact"/>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324" w:type="dxa"/>
            <w:shd w:val="clear" w:color="auto" w:fill="auto"/>
            <w:vAlign w:val="center"/>
          </w:tcPr>
          <w:p w14:paraId="229955E8">
            <w:pPr>
              <w:pStyle w:val="10"/>
              <w:widowControl w:val="0"/>
              <w:wordWrap w:val="0"/>
              <w:adjustRightInd w:val="0"/>
              <w:snapToGrid w:val="0"/>
              <w:spacing w:after="0"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13B228A1">
            <w:pPr>
              <w:pStyle w:val="10"/>
              <w:widowControl w:val="0"/>
              <w:wordWrap w:val="0"/>
              <w:adjustRightInd w:val="0"/>
              <w:snapToGrid w:val="0"/>
              <w:spacing w:after="0"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【良】对项目总体有一定认识，表述清晰、完整，措施具体有效；施工段划分呼应总体表述，划分清晰，符合规范要求。</w:t>
            </w:r>
          </w:p>
          <w:p w14:paraId="541A77FB">
            <w:pPr>
              <w:pStyle w:val="10"/>
              <w:widowControl w:val="0"/>
              <w:wordWrap w:val="0"/>
              <w:adjustRightInd w:val="0"/>
              <w:snapToGrid w:val="0"/>
              <w:spacing w:after="0"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【中】对项目总体有认识，有一定的措施但部分不具体；施工段划分较合理，符合规范要求。</w:t>
            </w:r>
          </w:p>
          <w:p w14:paraId="7B326BF1">
            <w:pPr>
              <w:pStyle w:val="10"/>
              <w:widowControl w:val="0"/>
              <w:wordWrap w:val="0"/>
              <w:adjustRightInd w:val="0"/>
              <w:snapToGrid w:val="0"/>
              <w:spacing w:after="0" w:line="400" w:lineRule="exact"/>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【差】对项目认识不足，表述不清晰，措施不具体；施工段划分不合理。</w:t>
            </w:r>
          </w:p>
        </w:tc>
      </w:tr>
      <w:tr w14:paraId="2895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shd w:val="clear" w:color="auto" w:fill="auto"/>
            <w:vAlign w:val="center"/>
          </w:tcPr>
          <w:p w14:paraId="153CB019">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施工总进</w:t>
            </w:r>
          </w:p>
          <w:p w14:paraId="1ACF35C5">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度计划及</w:t>
            </w:r>
          </w:p>
          <w:p w14:paraId="304EFF44">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7782AB7E">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4317" w:type="dxa"/>
            <w:gridSpan w:val="2"/>
            <w:shd w:val="clear" w:color="auto" w:fill="auto"/>
            <w:vAlign w:val="center"/>
          </w:tcPr>
          <w:p w14:paraId="3A4D6CE7">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03CB86CE">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110744EC">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47C94877">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324" w:type="dxa"/>
            <w:shd w:val="clear" w:color="auto" w:fill="auto"/>
            <w:vAlign w:val="center"/>
          </w:tcPr>
          <w:p w14:paraId="4FA340EA">
            <w:pPr>
              <w:pStyle w:val="44"/>
              <w:wordWrap w:val="0"/>
              <w:adjustRightInd w:val="0"/>
              <w:snapToGrid w:val="0"/>
              <w:spacing w:line="400" w:lineRule="exac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 w:val="24"/>
                <w:szCs w:val="24"/>
                <w:highlight w:val="none"/>
              </w:rPr>
              <w:t>经济赔偿合理。</w:t>
            </w:r>
          </w:p>
          <w:p w14:paraId="297214D7">
            <w:pPr>
              <w:pStyle w:val="44"/>
              <w:wordWrap w:val="0"/>
              <w:adjustRightInd w:val="0"/>
              <w:snapToGrid w:val="0"/>
              <w:spacing w:line="400" w:lineRule="exac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 w:val="24"/>
                <w:szCs w:val="24"/>
                <w:highlight w:val="none"/>
              </w:rPr>
              <w:t>经济赔偿较合理。</w:t>
            </w:r>
          </w:p>
          <w:p w14:paraId="791ABD7E">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6206FD23">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【差】关键线路不准确，计划编制不合理。关键节点的控制不可行。人、材、机需求和进场计划与进度计划不相呼应，不能满足施工需要。没有违约责任承诺。</w:t>
            </w:r>
          </w:p>
        </w:tc>
      </w:tr>
      <w:tr w14:paraId="1AF0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shd w:val="clear" w:color="auto" w:fill="auto"/>
            <w:vAlign w:val="center"/>
          </w:tcPr>
          <w:p w14:paraId="09AF64A2">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w:t>
            </w:r>
          </w:p>
          <w:p w14:paraId="505573C9">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15910056">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4</w:t>
            </w:r>
            <w:r>
              <w:rPr>
                <w:rFonts w:hint="eastAsia" w:ascii="宋体" w:hAnsi="宋体" w:eastAsia="宋体" w:cs="宋体"/>
                <w:snapToGrid w:val="0"/>
                <w:color w:val="auto"/>
                <w:kern w:val="0"/>
                <w:sz w:val="24"/>
                <w:szCs w:val="24"/>
                <w:highlight w:val="none"/>
              </w:rPr>
              <w:t>分）</w:t>
            </w:r>
          </w:p>
        </w:tc>
        <w:tc>
          <w:tcPr>
            <w:tcW w:w="4317" w:type="dxa"/>
            <w:gridSpan w:val="2"/>
            <w:shd w:val="clear" w:color="auto" w:fill="auto"/>
            <w:vAlign w:val="center"/>
          </w:tcPr>
          <w:p w14:paraId="572AE768">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767B049E">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10C1A288">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66DA90B4">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324" w:type="dxa"/>
            <w:shd w:val="clear" w:color="auto" w:fill="auto"/>
            <w:vAlign w:val="center"/>
          </w:tcPr>
          <w:p w14:paraId="5CE773C2">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0188BB3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3492355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【中】具体措施可行。满足招标文件的质量</w:t>
            </w:r>
            <w:r>
              <w:rPr>
                <w:rFonts w:hint="eastAsia" w:ascii="宋体" w:hAnsi="宋体" w:eastAsia="宋体" w:cs="宋体"/>
                <w:color w:val="auto"/>
                <w:sz w:val="24"/>
                <w:szCs w:val="24"/>
                <w:lang w:eastAsia="zh-CN"/>
              </w:rPr>
              <w:t>要</w:t>
            </w:r>
            <w:r>
              <w:rPr>
                <w:rFonts w:hint="eastAsia" w:ascii="宋体" w:hAnsi="宋体" w:eastAsia="宋体" w:cs="宋体"/>
                <w:color w:val="auto"/>
                <w:sz w:val="24"/>
                <w:szCs w:val="24"/>
              </w:rPr>
              <w:t>求。投标人企业注册地或分支机构所在地与项目所在地的距离或全资子公司与项目所在地距离300公里内、投标人在相同地质条件业绩情况等相关证明资料。</w:t>
            </w:r>
          </w:p>
          <w:p w14:paraId="44FD57C5">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rPr>
              <w:t>【差】措施不可行，没有质量违约责任承诺。</w:t>
            </w:r>
          </w:p>
        </w:tc>
      </w:tr>
      <w:tr w14:paraId="699A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shd w:val="clear" w:color="auto" w:fill="auto"/>
            <w:vAlign w:val="center"/>
          </w:tcPr>
          <w:p w14:paraId="7E0C03A2">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w:t>
            </w:r>
          </w:p>
          <w:p w14:paraId="5201D1D0">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技术措施</w:t>
            </w:r>
          </w:p>
          <w:p w14:paraId="69CED7BA">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分）</w:t>
            </w:r>
          </w:p>
        </w:tc>
        <w:tc>
          <w:tcPr>
            <w:tcW w:w="4317" w:type="dxa"/>
            <w:gridSpan w:val="2"/>
            <w:shd w:val="clear" w:color="auto" w:fill="auto"/>
            <w:vAlign w:val="center"/>
          </w:tcPr>
          <w:p w14:paraId="62F49E93">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4B868761">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4997568B">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33625EA6">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324" w:type="dxa"/>
            <w:shd w:val="clear" w:color="auto" w:fill="auto"/>
            <w:vAlign w:val="center"/>
          </w:tcPr>
          <w:p w14:paraId="6679B4BC">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 w:val="24"/>
                <w:szCs w:val="24"/>
                <w:highlight w:val="none"/>
              </w:rPr>
              <w:t>经济赔偿合理。</w:t>
            </w:r>
          </w:p>
          <w:p w14:paraId="731A6902">
            <w:pPr>
              <w:pStyle w:val="44"/>
              <w:wordWrap w:val="0"/>
              <w:adjustRightInd w:val="0"/>
              <w:snapToGrid w:val="0"/>
              <w:spacing w:line="400" w:lineRule="exac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 w:val="24"/>
                <w:szCs w:val="24"/>
                <w:highlight w:val="none"/>
              </w:rPr>
              <w:t>经济赔偿较合理。</w:t>
            </w:r>
          </w:p>
          <w:p w14:paraId="31E1134E">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0ECF0326">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【差】对项目关键技术有表述，对重点、难点有建议，解决方案不可行。采用的新技术针对性不强或验证材料不可靠，对节约投资、工期没有具体收益。无违约责任承诺。</w:t>
            </w:r>
          </w:p>
        </w:tc>
      </w:tr>
      <w:tr w14:paraId="7803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shd w:val="clear" w:color="auto" w:fill="auto"/>
            <w:vAlign w:val="center"/>
          </w:tcPr>
          <w:p w14:paraId="57A175FE">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绿色施工、</w:t>
            </w:r>
          </w:p>
          <w:p w14:paraId="2A884B33">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安全防护、</w:t>
            </w:r>
          </w:p>
          <w:p w14:paraId="3C8A20D9">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文明施工</w:t>
            </w:r>
          </w:p>
          <w:p w14:paraId="5894DFD1">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措施计划</w:t>
            </w:r>
          </w:p>
          <w:p w14:paraId="2D91A4B6">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4317" w:type="dxa"/>
            <w:gridSpan w:val="2"/>
            <w:shd w:val="clear" w:color="auto" w:fill="auto"/>
            <w:vAlign w:val="center"/>
          </w:tcPr>
          <w:p w14:paraId="59D36C0A">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3FBFACBB">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2BFD07C4">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4393A1DD">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324" w:type="dxa"/>
            <w:shd w:val="clear" w:color="auto" w:fill="auto"/>
            <w:vAlign w:val="center"/>
          </w:tcPr>
          <w:p w14:paraId="17C01D19">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【优】针对项目实际情况，有先进、具体、完整、可行的措施，采用规范准确、清晰。</w:t>
            </w:r>
          </w:p>
          <w:p w14:paraId="43A42947">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【良】针对项目实际情况，有合理的措施且具体、完整，采用规范准确。</w:t>
            </w:r>
          </w:p>
          <w:p w14:paraId="46AAF557">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【中】有基本合理的措施，采用规范准确。</w:t>
            </w:r>
          </w:p>
          <w:p w14:paraId="2D0E7D5F">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【差】措施不力，采用规范不正确。</w:t>
            </w:r>
          </w:p>
        </w:tc>
      </w:tr>
      <w:tr w14:paraId="7B0C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shd w:val="clear" w:color="auto" w:fill="auto"/>
            <w:vAlign w:val="center"/>
          </w:tcPr>
          <w:p w14:paraId="1C79CB1C">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施工平面</w:t>
            </w:r>
          </w:p>
          <w:p w14:paraId="5D974646">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布置和临时设施布置</w:t>
            </w:r>
          </w:p>
          <w:p w14:paraId="70F1AD70">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分）</w:t>
            </w:r>
          </w:p>
        </w:tc>
        <w:tc>
          <w:tcPr>
            <w:tcW w:w="4317" w:type="dxa"/>
            <w:gridSpan w:val="2"/>
            <w:shd w:val="clear" w:color="auto" w:fill="auto"/>
            <w:vAlign w:val="center"/>
          </w:tcPr>
          <w:p w14:paraId="6AB0554E">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0F8ABB48">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68D43D3A">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50BA640A">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324" w:type="dxa"/>
            <w:shd w:val="clear" w:color="auto" w:fill="auto"/>
            <w:vAlign w:val="center"/>
          </w:tcPr>
          <w:p w14:paraId="36A894E8">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【优】总体布置有针对性、合理，较好满足施工需要，符合绿色施工、安全防护、文明施工要求。</w:t>
            </w:r>
          </w:p>
          <w:p w14:paraId="0FBDC27C">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【良】总体布置合理，能满足施工需要，基本符合绿色施工、安全防护、文明施工要求。</w:t>
            </w:r>
          </w:p>
          <w:p w14:paraId="1256F751">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【中】总体布置基本合理，基本满足施工需要。</w:t>
            </w:r>
          </w:p>
          <w:p w14:paraId="63CBDBD1">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【差】总体布置不合理，不符合绿色施工、安全防护、文明施工要求。</w:t>
            </w:r>
          </w:p>
        </w:tc>
      </w:tr>
      <w:tr w14:paraId="1A3C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shd w:val="clear" w:color="auto" w:fill="auto"/>
            <w:vAlign w:val="center"/>
          </w:tcPr>
          <w:p w14:paraId="7FC4D738">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w:t>
            </w:r>
          </w:p>
          <w:p w14:paraId="14E28005">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管理机构</w:t>
            </w:r>
          </w:p>
          <w:p w14:paraId="5ACB4C6B">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4317" w:type="dxa"/>
            <w:gridSpan w:val="2"/>
            <w:shd w:val="clear" w:color="auto" w:fill="auto"/>
            <w:vAlign w:val="center"/>
          </w:tcPr>
          <w:p w14:paraId="190990A0">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31925A76">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7980F0FF">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4A085E56">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324" w:type="dxa"/>
            <w:shd w:val="clear" w:color="auto" w:fill="auto"/>
            <w:vAlign w:val="center"/>
          </w:tcPr>
          <w:p w14:paraId="71575887">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【优】组织机构形式合理，有完善的指挥系统，生产及质量、绿色施工、安全、文明施工、创优达标监控系统、联络协调系统，项目管理人员内高级职称人员</w:t>
            </w:r>
            <w:r>
              <w:rPr>
                <w:rFonts w:hint="eastAsia" w:ascii="宋体" w:hAnsi="宋体" w:eastAsia="宋体" w:cs="宋体"/>
                <w:snapToGrid w:val="0"/>
                <w:color w:val="auto"/>
                <w:kern w:val="0"/>
                <w:sz w:val="24"/>
                <w:szCs w:val="24"/>
                <w:highlight w:val="none"/>
                <w:lang w:val="en-US" w:eastAsia="zh-CN"/>
              </w:rPr>
              <w:t>15</w:t>
            </w:r>
            <w:r>
              <w:rPr>
                <w:rFonts w:hint="eastAsia" w:ascii="宋体" w:hAnsi="宋体" w:eastAsia="宋体" w:cs="宋体"/>
                <w:snapToGrid w:val="0"/>
                <w:color w:val="auto"/>
                <w:kern w:val="0"/>
                <w:sz w:val="24"/>
                <w:szCs w:val="24"/>
                <w:highlight w:val="none"/>
              </w:rPr>
              <w:t>%（含</w:t>
            </w:r>
            <w:r>
              <w:rPr>
                <w:rFonts w:hint="eastAsia" w:ascii="宋体" w:hAnsi="宋体" w:eastAsia="宋体" w:cs="宋体"/>
                <w:snapToGrid w:val="0"/>
                <w:color w:val="auto"/>
                <w:kern w:val="0"/>
                <w:sz w:val="24"/>
                <w:szCs w:val="24"/>
                <w:highlight w:val="none"/>
                <w:lang w:val="en-US" w:eastAsia="zh-CN"/>
              </w:rPr>
              <w:t>15</w:t>
            </w:r>
            <w:r>
              <w:rPr>
                <w:rFonts w:hint="eastAsia" w:ascii="宋体" w:hAnsi="宋体" w:eastAsia="宋体" w:cs="宋体"/>
                <w:snapToGrid w:val="0"/>
                <w:color w:val="auto"/>
                <w:kern w:val="0"/>
                <w:sz w:val="24"/>
                <w:szCs w:val="24"/>
                <w:highlight w:val="none"/>
              </w:rPr>
              <w:t>%）以上、中级职称人员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60%（含60%）以上。</w:t>
            </w:r>
          </w:p>
          <w:p w14:paraId="1945A2A9">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【良】组织机构形式合理，指挥系统，生产及质量、绿色施工、安全、文明施工、创优达标监控系统、联络协调系统齐全，项目管理人员内高级职称人员</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15</w:t>
            </w:r>
            <w:r>
              <w:rPr>
                <w:rFonts w:hint="eastAsia" w:ascii="宋体" w:hAnsi="宋体" w:eastAsia="宋体" w:cs="宋体"/>
                <w:snapToGrid w:val="0"/>
                <w:color w:val="auto"/>
                <w:kern w:val="0"/>
                <w:sz w:val="24"/>
                <w:szCs w:val="24"/>
                <w:highlight w:val="none"/>
              </w:rPr>
              <w:t>%（含</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%）、中级职称</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人员50%～60%（含50%）。</w:t>
            </w:r>
          </w:p>
          <w:p w14:paraId="0BEA0482">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【中】组织机构形式基本合理，有指挥系统，生产及质量、绿色施工、安全、文明施工、创优达标监控系统、联络协调系统，项目管理人员内高级职称人员</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%（含</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40%～50%（含40%）。</w:t>
            </w:r>
          </w:p>
          <w:p w14:paraId="5AFFFA65">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【差】组织机构形式合理，指挥系统，生产及质量、绿色施工、安全、文明施工、创优达标监控系统、联络协调系统不齐全，项目管理人员内高级职称人员10%以下、中级职称人员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40%以下。</w:t>
            </w:r>
          </w:p>
        </w:tc>
      </w:tr>
      <w:tr w14:paraId="23CB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4"/>
          </w:tcPr>
          <w:p w14:paraId="30D9DD1E">
            <w:pPr>
              <w:widowControl w:val="0"/>
              <w:spacing w:line="360" w:lineRule="auto"/>
              <w:jc w:val="both"/>
              <w:rPr>
                <w:rFonts w:hint="eastAsia" w:ascii="宋体" w:hAnsi="宋体" w:eastAsia="宋体" w:cs="宋体"/>
                <w:color w:val="auto"/>
                <w:sz w:val="24"/>
                <w:szCs w:val="24"/>
                <w:vertAlign w:val="baseline"/>
              </w:rPr>
            </w:pPr>
            <w:r>
              <w:rPr>
                <w:rFonts w:hint="eastAsia" w:ascii="宋体" w:hAnsi="宋体" w:eastAsia="宋体" w:cs="宋体"/>
                <w:snapToGrid w:val="0"/>
                <w:color w:val="auto"/>
                <w:kern w:val="0"/>
                <w:sz w:val="24"/>
                <w:szCs w:val="24"/>
              </w:rPr>
              <w:t>投标报价部分，满分：100分。</w:t>
            </w:r>
          </w:p>
        </w:tc>
      </w:tr>
      <w:tr w14:paraId="14AD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Align w:val="center"/>
          </w:tcPr>
          <w:p w14:paraId="17A2E7A9">
            <w:pPr>
              <w:widowControl w:val="0"/>
              <w:wordWrap w:val="0"/>
              <w:adjustRightInd w:val="0"/>
              <w:snapToGrid w:val="0"/>
              <w:spacing w:line="360" w:lineRule="auto"/>
              <w:jc w:val="center"/>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rPr>
              <w:t>评分事项</w:t>
            </w:r>
          </w:p>
        </w:tc>
        <w:tc>
          <w:tcPr>
            <w:tcW w:w="8641" w:type="dxa"/>
            <w:gridSpan w:val="3"/>
            <w:vAlign w:val="center"/>
          </w:tcPr>
          <w:p w14:paraId="0C822854">
            <w:pPr>
              <w:widowControl w:val="0"/>
              <w:wordWrap w:val="0"/>
              <w:adjustRightInd w:val="0"/>
              <w:snapToGrid w:val="0"/>
              <w:spacing w:line="360" w:lineRule="auto"/>
              <w:jc w:val="center"/>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rPr>
              <w:t>评分方法</w:t>
            </w:r>
          </w:p>
        </w:tc>
      </w:tr>
      <w:tr w14:paraId="06F0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shd w:val="clear" w:color="auto" w:fill="auto"/>
            <w:vAlign w:val="center"/>
          </w:tcPr>
          <w:p w14:paraId="7C2C4CAE">
            <w:pPr>
              <w:pStyle w:val="35"/>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评标基准价D</w:t>
            </w:r>
          </w:p>
        </w:tc>
        <w:tc>
          <w:tcPr>
            <w:tcW w:w="8641" w:type="dxa"/>
            <w:gridSpan w:val="3"/>
            <w:shd w:val="clear" w:color="auto" w:fill="auto"/>
            <w:vAlign w:val="center"/>
          </w:tcPr>
          <w:p w14:paraId="612E9196">
            <w:pPr>
              <w:widowControl w:val="0"/>
              <w:wordWrap w:val="0"/>
              <w:adjustRightInd w:val="0"/>
              <w:snapToGrid w:val="0"/>
              <w:spacing w:line="36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（1）确定</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下浮系数n：用1～21号球分别代表一个下浮系数，由评委代表从这21个号码中随机抽取</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次，每次抽取1个号码，抽出的号球不参与下次抽取。所抽取的3个号码对应下浮系数的算术平均值作为招标控制价下浮系数n。具体号码对应的下浮系数可参考下表。</w:t>
            </w:r>
          </w:p>
          <w:tbl>
            <w:tblPr>
              <w:tblStyle w:val="24"/>
              <w:tblW w:w="0" w:type="auto"/>
              <w:jc w:val="center"/>
              <w:tblLayout w:type="autofit"/>
              <w:tblCellMar>
                <w:top w:w="0" w:type="dxa"/>
                <w:left w:w="108" w:type="dxa"/>
                <w:bottom w:w="0" w:type="dxa"/>
                <w:right w:w="108" w:type="dxa"/>
              </w:tblCellMar>
            </w:tblPr>
            <w:tblGrid>
              <w:gridCol w:w="1818"/>
              <w:gridCol w:w="828"/>
              <w:gridCol w:w="865"/>
              <w:gridCol w:w="901"/>
              <w:gridCol w:w="885"/>
              <w:gridCol w:w="921"/>
              <w:gridCol w:w="864"/>
              <w:gridCol w:w="854"/>
            </w:tblGrid>
            <w:tr w14:paraId="1908EE79">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3BD9191">
                  <w:pPr>
                    <w:wordWrap w:val="0"/>
                    <w:adjustRightInd w:val="0"/>
                    <w:snapToGrid w:val="0"/>
                    <w:spacing w:line="36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82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B5309A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6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191C60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90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02A373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8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540176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92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B00050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6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EAEB6EB">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85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BAB25B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6A05BF4E">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noWrap w:val="0"/>
                  <w:vAlign w:val="center"/>
                </w:tcPr>
                <w:p w14:paraId="0C9A36B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B79F34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75DF5B6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7B8CB39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6806469B">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3F9063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3CDF3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69404FFC">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74EDACA4">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9C02E81">
                  <w:pPr>
                    <w:wordWrap w:val="0"/>
                    <w:adjustRightInd w:val="0"/>
                    <w:snapToGrid w:val="0"/>
                    <w:spacing w:line="36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82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CE464F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86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15BCBD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90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51CEE9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8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79127EC">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92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1E6C6F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6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02D7C5C">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5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8DF224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6E0B29C5">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noWrap w:val="0"/>
                  <w:vAlign w:val="center"/>
                </w:tcPr>
                <w:p w14:paraId="2E4AE75F">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AC46DD3">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3A11ABB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32B11AC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3767274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79A810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437E42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16C0531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243661CE">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7344409">
                  <w:pPr>
                    <w:wordWrap w:val="0"/>
                    <w:adjustRightInd w:val="0"/>
                    <w:snapToGrid w:val="0"/>
                    <w:spacing w:line="36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82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C20142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6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02C813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90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C310CE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8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9E716D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92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CFF286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6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DE5E9B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5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D9F412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02029A12">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noWrap w:val="0"/>
                  <w:vAlign w:val="center"/>
                </w:tcPr>
                <w:p w14:paraId="7CFEE0DC">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77BCE3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1F59312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070B76A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3345736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E8D712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B498B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741E8E7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3.0</w:t>
                  </w:r>
                </w:p>
              </w:tc>
            </w:tr>
          </w:tbl>
          <w:p w14:paraId="2BB8D307">
            <w:pPr>
              <w:widowControl w:val="0"/>
              <w:wordWrap w:val="0"/>
              <w:adjustRightInd w:val="0"/>
              <w:snapToGrid w:val="0"/>
              <w:spacing w:line="360" w:lineRule="exact"/>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（2）评标基准价D＝招标控制价×（1－n）</w:t>
            </w:r>
          </w:p>
        </w:tc>
      </w:tr>
      <w:tr w14:paraId="538B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shd w:val="clear" w:color="auto" w:fill="auto"/>
            <w:vAlign w:val="center"/>
          </w:tcPr>
          <w:p w14:paraId="67E23FD4">
            <w:pPr>
              <w:pStyle w:val="35"/>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5215C3F5">
            <w:pPr>
              <w:pStyle w:val="35"/>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得分N</w:t>
            </w:r>
          </w:p>
        </w:tc>
        <w:tc>
          <w:tcPr>
            <w:tcW w:w="8641" w:type="dxa"/>
            <w:gridSpan w:val="3"/>
            <w:shd w:val="clear" w:color="auto" w:fill="auto"/>
            <w:vAlign w:val="center"/>
          </w:tcPr>
          <w:p w14:paraId="0922947F">
            <w:pPr>
              <w:widowControl w:val="0"/>
              <w:wordWrap w:val="0"/>
              <w:adjustRightInd w:val="0"/>
              <w:snapToGrid w:val="0"/>
              <w:spacing w:line="36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027C8612">
            <w:pPr>
              <w:widowControl w:val="0"/>
              <w:wordWrap w:val="0"/>
              <w:adjustRightInd w:val="0"/>
              <w:snapToGrid w:val="0"/>
              <w:spacing w:line="36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1AC37A3D">
            <w:pPr>
              <w:widowControl w:val="0"/>
              <w:wordWrap w:val="0"/>
              <w:adjustRightInd w:val="0"/>
              <w:snapToGrid w:val="0"/>
              <w:spacing w:line="360" w:lineRule="exact"/>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式中：D为评标基准价；Di为某投标人的投标总价；E为扣分因子，当Di＞D时，E＝1；当Di＜D时，E＝0.5。</w:t>
            </w:r>
          </w:p>
        </w:tc>
      </w:tr>
    </w:tbl>
    <w:p w14:paraId="418D5172">
      <w:pPr>
        <w:spacing w:before="38" w:line="360" w:lineRule="auto"/>
        <w:rPr>
          <w:rFonts w:hint="eastAsia" w:ascii="宋体" w:hAnsi="宋体" w:eastAsia="宋体" w:cs="宋体"/>
          <w:b w:val="0"/>
          <w:bCs w:val="0"/>
          <w:color w:val="auto"/>
          <w:spacing w:val="-2"/>
          <w:sz w:val="24"/>
          <w:szCs w:val="24"/>
          <w:highlight w:val="none"/>
        </w:rPr>
      </w:pPr>
      <w:bookmarkStart w:id="133" w:name="_Toc31744"/>
      <w:bookmarkStart w:id="134" w:name="_Toc5769"/>
      <w:bookmarkStart w:id="135" w:name="_Toc9725"/>
      <w:bookmarkStart w:id="136" w:name="_Toc178"/>
      <w:r>
        <w:rPr>
          <w:rFonts w:hint="eastAsia" w:ascii="宋体" w:hAnsi="宋体" w:eastAsia="宋体" w:cs="宋体"/>
          <w:b/>
          <w:bCs/>
          <w:color w:val="auto"/>
          <w:spacing w:val="-2"/>
          <w:sz w:val="24"/>
          <w:szCs w:val="24"/>
          <w:highlight w:val="none"/>
        </w:rPr>
        <w:t xml:space="preserve">15.5.2  </w:t>
      </w:r>
      <w:r>
        <w:rPr>
          <w:rFonts w:hint="eastAsia" w:ascii="宋体" w:hAnsi="宋体" w:eastAsia="宋体" w:cs="宋体"/>
          <w:b w:val="0"/>
          <w:bCs w:val="0"/>
          <w:color w:val="auto"/>
          <w:spacing w:val="-2"/>
          <w:sz w:val="24"/>
          <w:szCs w:val="24"/>
          <w:highlight w:val="none"/>
        </w:rPr>
        <w:t>否决投标说明</w:t>
      </w:r>
      <w:bookmarkEnd w:id="133"/>
      <w:bookmarkEnd w:id="134"/>
      <w:bookmarkEnd w:id="135"/>
      <w:bookmarkEnd w:id="136"/>
    </w:p>
    <w:p w14:paraId="4FE43509">
      <w:pPr>
        <w:spacing w:before="150" w:line="360" w:lineRule="auto"/>
        <w:ind w:right="195" w:firstLine="46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5"/>
          <w:sz w:val="24"/>
          <w:szCs w:val="24"/>
          <w:highlight w:val="none"/>
        </w:rPr>
        <w:t xml:space="preserve">4 </w:t>
      </w:r>
      <w:r>
        <w:rPr>
          <w:rFonts w:hint="eastAsia" w:ascii="宋体" w:hAnsi="宋体" w:eastAsia="宋体" w:cs="宋体"/>
          <w:color w:val="auto"/>
          <w:spacing w:val="-5"/>
          <w:sz w:val="24"/>
          <w:szCs w:val="24"/>
          <w:highlight w:val="none"/>
        </w:rPr>
        <w:t>条中集</w:t>
      </w:r>
      <w:r>
        <w:rPr>
          <w:rFonts w:hint="eastAsia" w:ascii="宋体" w:hAnsi="宋体" w:eastAsia="宋体" w:cs="宋体"/>
          <w:color w:val="auto"/>
          <w:spacing w:val="-1"/>
          <w:sz w:val="24"/>
          <w:szCs w:val="24"/>
          <w:highlight w:val="none"/>
        </w:rPr>
        <w:t>中列示。投标人有其中所列任何一种情形的，由评标委员会</w:t>
      </w:r>
      <w:r>
        <w:rPr>
          <w:rFonts w:hint="eastAsia" w:ascii="宋体" w:hAnsi="宋体" w:eastAsia="宋体" w:cs="宋体"/>
          <w:color w:val="auto"/>
          <w:spacing w:val="-5"/>
          <w:sz w:val="24"/>
          <w:szCs w:val="24"/>
          <w:highlight w:val="none"/>
        </w:rPr>
        <w:t>否决其投标。评标委员会经评审，认为所有投标都不符合招标文件要求的，可否决所有投标，项目的所有投标被否决的，招标人应依法重新组织招标。</w:t>
      </w:r>
    </w:p>
    <w:p w14:paraId="2B7FCCB7">
      <w:pPr>
        <w:spacing w:before="59" w:line="36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2A888BCA">
      <w:pPr>
        <w:spacing w:before="78" w:line="360" w:lineRule="auto"/>
        <w:ind w:left="496"/>
        <w:outlineLvl w:val="2"/>
        <w:rPr>
          <w:rFonts w:hint="eastAsia" w:ascii="宋体" w:hAnsi="宋体" w:eastAsia="宋体" w:cs="宋体"/>
          <w:color w:val="auto"/>
          <w:sz w:val="24"/>
          <w:szCs w:val="24"/>
          <w:highlight w:val="none"/>
        </w:rPr>
      </w:pPr>
      <w:bookmarkStart w:id="137" w:name="bookmark137"/>
      <w:bookmarkEnd w:id="137"/>
      <w:bookmarkStart w:id="138" w:name="_Toc269"/>
      <w:bookmarkStart w:id="139" w:name="_Toc29518"/>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7"/>
          <w:sz w:val="24"/>
          <w:szCs w:val="24"/>
          <w:highlight w:val="none"/>
        </w:rPr>
        <w:t>中标候选人公示</w:t>
      </w:r>
      <w:bookmarkEnd w:id="138"/>
      <w:bookmarkEnd w:id="139"/>
    </w:p>
    <w:p w14:paraId="14D4EA81">
      <w:pPr>
        <w:spacing w:before="135" w:line="360" w:lineRule="auto"/>
        <w:ind w:left="2" w:right="105" w:firstLine="49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16.1  </w:t>
      </w:r>
      <w:r>
        <w:rPr>
          <w:rFonts w:hint="eastAsia" w:ascii="宋体" w:hAnsi="宋体" w:eastAsia="宋体" w:cs="宋体"/>
          <w:color w:val="auto"/>
          <w:spacing w:val="1"/>
          <w:sz w:val="24"/>
          <w:szCs w:val="24"/>
          <w:highlight w:val="none"/>
        </w:rPr>
        <w:t>招标人自收到评标委员会提交的书面评标报告和中标候选人名单之日起3日</w:t>
      </w:r>
      <w:r>
        <w:rPr>
          <w:rFonts w:hint="eastAsia" w:ascii="宋体" w:hAnsi="宋体" w:eastAsia="宋体" w:cs="宋体"/>
          <w:color w:val="auto"/>
          <w:spacing w:val="-1"/>
          <w:sz w:val="24"/>
          <w:szCs w:val="24"/>
          <w:highlight w:val="none"/>
        </w:rPr>
        <w:t>内，将评标结果（即中标候选人名单）、中标候选人投标</w:t>
      </w:r>
      <w:r>
        <w:rPr>
          <w:rFonts w:hint="eastAsia" w:ascii="宋体" w:hAnsi="宋体" w:eastAsia="宋体" w:cs="宋体"/>
          <w:color w:val="auto"/>
          <w:spacing w:val="-2"/>
          <w:sz w:val="24"/>
          <w:szCs w:val="24"/>
          <w:highlight w:val="none"/>
        </w:rPr>
        <w:t>文件（指商务标书分册）、评</w:t>
      </w:r>
      <w:r>
        <w:rPr>
          <w:rFonts w:hint="eastAsia" w:ascii="宋体" w:hAnsi="宋体" w:eastAsia="宋体" w:cs="宋体"/>
          <w:color w:val="auto"/>
          <w:sz w:val="24"/>
          <w:szCs w:val="24"/>
          <w:highlight w:val="none"/>
        </w:rPr>
        <w:t>标过程（评标专家姓名用代码标记）一并在广东省招标投标监管网（http://zbtb.gd</w:t>
      </w:r>
      <w:r>
        <w:rPr>
          <w:rFonts w:hint="eastAsia" w:ascii="宋体" w:hAnsi="宋体" w:eastAsia="宋体" w:cs="宋体"/>
          <w:color w:val="auto"/>
          <w:spacing w:val="-1"/>
          <w:sz w:val="24"/>
          <w:szCs w:val="24"/>
          <w:highlight w:val="none"/>
        </w:rPr>
        <w:t>.gov.cn）、全国公共资源交易平台（广东省·韶关市</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https://ygp.gdzwfw.gov.cn/ggzy-po</w:t>
      </w:r>
      <w:r>
        <w:rPr>
          <w:rFonts w:hint="eastAsia" w:ascii="宋体" w:hAnsi="宋体" w:eastAsia="宋体" w:cs="宋体"/>
          <w:color w:val="auto"/>
          <w:spacing w:val="-2"/>
          <w:sz w:val="24"/>
          <w:szCs w:val="24"/>
          <w:highlight w:val="none"/>
        </w:rPr>
        <w:t>rta</w:t>
      </w:r>
      <w:r>
        <w:rPr>
          <w:rFonts w:hint="eastAsia" w:ascii="宋体" w:hAnsi="宋体" w:eastAsia="宋体" w:cs="宋体"/>
          <w:color w:val="auto"/>
          <w:sz w:val="24"/>
          <w:szCs w:val="24"/>
          <w:highlight w:val="none"/>
        </w:rPr>
        <w:t>l/#/440200/index）进行</w:t>
      </w:r>
      <w:r>
        <w:rPr>
          <w:rFonts w:hint="eastAsia" w:ascii="宋体" w:hAnsi="宋体" w:eastAsia="宋体" w:cs="宋体"/>
          <w:color w:val="auto"/>
          <w:spacing w:val="-1"/>
          <w:sz w:val="24"/>
          <w:szCs w:val="24"/>
          <w:highlight w:val="none"/>
        </w:rPr>
        <w:t>公示，公示期不得少于3天。</w:t>
      </w:r>
    </w:p>
    <w:p w14:paraId="32B26EFF">
      <w:pPr>
        <w:spacing w:before="78" w:line="360" w:lineRule="auto"/>
        <w:ind w:left="11" w:firstLine="485"/>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16.2 </w:t>
      </w:r>
      <w:r>
        <w:rPr>
          <w:rFonts w:hint="eastAsia" w:ascii="宋体" w:hAnsi="宋体" w:eastAsia="宋体" w:cs="宋体"/>
          <w:color w:val="auto"/>
          <w:spacing w:val="-2"/>
          <w:sz w:val="24"/>
          <w:szCs w:val="24"/>
          <w:highlight w:val="none"/>
        </w:rPr>
        <w:t>投标人对评标结果、中标候选人投标文件、评标过程有异议的，必须在以上内容公示期间向招标人提出</w:t>
      </w:r>
      <w:r>
        <w:rPr>
          <w:rFonts w:hint="eastAsia" w:ascii="宋体" w:hAnsi="宋体" w:eastAsia="宋体" w:cs="宋体"/>
          <w:b/>
          <w:bCs/>
          <w:color w:val="auto"/>
          <w:spacing w:val="-2"/>
          <w:sz w:val="24"/>
          <w:szCs w:val="24"/>
          <w:highlight w:val="none"/>
        </w:rPr>
        <w:t>书面异议</w:t>
      </w:r>
      <w:r>
        <w:rPr>
          <w:rFonts w:hint="eastAsia" w:ascii="宋体" w:hAnsi="宋体" w:eastAsia="宋体" w:cs="宋体"/>
          <w:color w:val="auto"/>
          <w:spacing w:val="-2"/>
          <w:sz w:val="24"/>
          <w:szCs w:val="24"/>
          <w:highlight w:val="none"/>
        </w:rPr>
        <w:t>，否则招标人不予受理。经招标人书面答复，异议人仍不满意的，可在法律规定的时限内向行政监督部门提出书面投诉。异议（投诉）提出、处理的具体办法和要求，按照</w:t>
      </w:r>
      <w:r>
        <w:rPr>
          <w:rFonts w:hint="eastAsia" w:ascii="宋体" w:hAnsi="宋体" w:eastAsia="宋体" w:cs="宋体"/>
          <w:color w:val="auto"/>
          <w:spacing w:val="-2"/>
          <w:sz w:val="24"/>
          <w:szCs w:val="24"/>
          <w:highlight w:val="none"/>
          <w:lang w:val="en-US" w:eastAsia="zh-CN"/>
        </w:rPr>
        <w:t>韶关市发展和改革局关于发布《韶关市工程建设项目招标投标活动异议和投诉处理办法》的通告（韶发改〔2021〕44号）</w:t>
      </w:r>
      <w:r>
        <w:rPr>
          <w:rFonts w:hint="eastAsia" w:ascii="宋体" w:hAnsi="宋体" w:eastAsia="宋体" w:cs="宋体"/>
          <w:color w:val="auto"/>
          <w:spacing w:val="-2"/>
          <w:sz w:val="24"/>
          <w:szCs w:val="24"/>
          <w:highlight w:val="none"/>
        </w:rPr>
        <w:t>执行。</w:t>
      </w:r>
    </w:p>
    <w:p w14:paraId="15623CD0">
      <w:pPr>
        <w:spacing w:before="79" w:line="360" w:lineRule="auto"/>
        <w:ind w:left="12" w:right="42" w:firstLine="483"/>
        <w:rPr>
          <w:rFonts w:hint="eastAsia" w:ascii="宋体" w:hAnsi="宋体" w:eastAsia="宋体" w:cs="宋体"/>
          <w:color w:val="auto"/>
          <w:spacing w:val="-4"/>
          <w:sz w:val="24"/>
          <w:szCs w:val="24"/>
          <w:highlight w:val="none"/>
        </w:rPr>
      </w:pPr>
      <w:r>
        <w:rPr>
          <w:rFonts w:hint="eastAsia" w:ascii="宋体" w:hAnsi="宋体" w:eastAsia="宋体" w:cs="宋体"/>
          <w:b/>
          <w:bCs/>
          <w:color w:val="auto"/>
          <w:spacing w:val="-9"/>
          <w:sz w:val="24"/>
          <w:szCs w:val="24"/>
          <w:highlight w:val="none"/>
        </w:rPr>
        <w:t>16.3</w:t>
      </w:r>
      <w:r>
        <w:rPr>
          <w:rFonts w:hint="eastAsia" w:ascii="宋体" w:hAnsi="宋体" w:eastAsia="宋体" w:cs="宋体"/>
          <w:b/>
          <w:bCs/>
          <w:color w:val="auto"/>
          <w:spacing w:val="24"/>
          <w:w w:val="101"/>
          <w:sz w:val="24"/>
          <w:szCs w:val="24"/>
          <w:highlight w:val="none"/>
        </w:rPr>
        <w:t xml:space="preserve">  </w:t>
      </w:r>
      <w:r>
        <w:rPr>
          <w:rFonts w:hint="eastAsia" w:ascii="宋体" w:hAnsi="宋体" w:eastAsia="宋体" w:cs="宋体"/>
          <w:color w:val="auto"/>
          <w:spacing w:val="-9"/>
          <w:sz w:val="24"/>
          <w:szCs w:val="24"/>
          <w:highlight w:val="none"/>
        </w:rPr>
        <w:t>中标候选人公示期满无异议（投诉）后，招标人确定第一中标候选人为中标人，</w:t>
      </w:r>
      <w:r>
        <w:rPr>
          <w:rFonts w:hint="eastAsia" w:ascii="宋体" w:hAnsi="宋体" w:eastAsia="宋体" w:cs="宋体"/>
          <w:color w:val="auto"/>
          <w:spacing w:val="-2"/>
          <w:sz w:val="24"/>
          <w:szCs w:val="24"/>
          <w:highlight w:val="none"/>
        </w:rPr>
        <w:t>并在中标人确定之日起7日内向中标人发出中标通知书。在中标通知书发出后5个工作日内，韶关市公共资源交易中心将投标保证金（或银行保函）退还给中标候选人以外的</w:t>
      </w:r>
      <w:r>
        <w:rPr>
          <w:rFonts w:hint="eastAsia" w:ascii="宋体" w:hAnsi="宋体" w:eastAsia="宋体" w:cs="宋体"/>
          <w:color w:val="auto"/>
          <w:spacing w:val="-4"/>
          <w:sz w:val="24"/>
          <w:szCs w:val="24"/>
          <w:highlight w:val="none"/>
        </w:rPr>
        <w:t>投标人。</w:t>
      </w:r>
    </w:p>
    <w:p w14:paraId="6D2AF74B">
      <w:pPr>
        <w:rPr>
          <w:rFonts w:hint="eastAsia" w:ascii="宋体" w:hAnsi="宋体" w:eastAsia="宋体" w:cs="宋体"/>
        </w:rPr>
      </w:pPr>
    </w:p>
    <w:p w14:paraId="1DDF265E">
      <w:pPr>
        <w:rPr>
          <w:rFonts w:hint="eastAsia" w:ascii="宋体" w:hAnsi="宋体" w:eastAsia="宋体" w:cs="宋体"/>
        </w:rPr>
      </w:pPr>
    </w:p>
    <w:p w14:paraId="7DF90950">
      <w:pPr>
        <w:rPr>
          <w:rFonts w:hint="eastAsia" w:ascii="宋体" w:hAnsi="宋体" w:eastAsia="宋体" w:cs="宋体"/>
        </w:rPr>
      </w:pPr>
    </w:p>
    <w:p w14:paraId="35E9739C">
      <w:pPr>
        <w:rPr>
          <w:rFonts w:hint="eastAsia" w:ascii="宋体" w:hAnsi="宋体" w:eastAsia="宋体" w:cs="宋体"/>
        </w:rPr>
      </w:pPr>
    </w:p>
    <w:p w14:paraId="4FCD4E13">
      <w:pPr>
        <w:rPr>
          <w:rFonts w:hint="eastAsia" w:ascii="宋体" w:hAnsi="宋体" w:eastAsia="宋体" w:cs="宋体"/>
        </w:rPr>
      </w:pPr>
    </w:p>
    <w:p w14:paraId="404D8B87">
      <w:pPr>
        <w:pStyle w:val="2"/>
        <w:rPr>
          <w:rFonts w:hint="eastAsia" w:ascii="宋体" w:hAnsi="宋体" w:eastAsia="宋体" w:cs="宋体"/>
        </w:rPr>
      </w:pPr>
    </w:p>
    <w:p w14:paraId="47324E53">
      <w:pPr>
        <w:pStyle w:val="3"/>
        <w:rPr>
          <w:rFonts w:hint="eastAsia"/>
        </w:rPr>
      </w:pPr>
    </w:p>
    <w:p w14:paraId="2F85B030">
      <w:pPr>
        <w:rPr>
          <w:rFonts w:hint="eastAsia" w:ascii="宋体" w:hAnsi="宋体" w:eastAsia="宋体" w:cs="宋体"/>
        </w:rPr>
      </w:pPr>
    </w:p>
    <w:p w14:paraId="6F6EFB76">
      <w:pPr>
        <w:rPr>
          <w:rFonts w:hint="eastAsia" w:ascii="宋体" w:hAnsi="宋体" w:eastAsia="宋体" w:cs="宋体"/>
        </w:rPr>
      </w:pPr>
    </w:p>
    <w:p w14:paraId="60460445">
      <w:pPr>
        <w:rPr>
          <w:rFonts w:hint="eastAsia" w:ascii="宋体" w:hAnsi="宋体" w:eastAsia="宋体" w:cs="宋体"/>
        </w:rPr>
      </w:pPr>
    </w:p>
    <w:p w14:paraId="3735C937">
      <w:pPr>
        <w:rPr>
          <w:rFonts w:hint="eastAsia" w:ascii="宋体" w:hAnsi="宋体" w:eastAsia="宋体" w:cs="宋体"/>
        </w:rPr>
      </w:pPr>
    </w:p>
    <w:p w14:paraId="59C70264">
      <w:pPr>
        <w:rPr>
          <w:rFonts w:hint="eastAsia" w:ascii="宋体" w:hAnsi="宋体" w:eastAsia="宋体" w:cs="宋体"/>
        </w:rPr>
      </w:pPr>
    </w:p>
    <w:p w14:paraId="47493DA1">
      <w:pPr>
        <w:rPr>
          <w:rFonts w:hint="eastAsia" w:ascii="宋体" w:hAnsi="宋体" w:eastAsia="宋体" w:cs="宋体"/>
        </w:rPr>
      </w:pPr>
    </w:p>
    <w:p w14:paraId="4F7FAF64">
      <w:pPr>
        <w:pStyle w:val="2"/>
        <w:rPr>
          <w:rFonts w:hint="eastAsia" w:ascii="宋体" w:hAnsi="宋体" w:eastAsia="宋体" w:cs="宋体"/>
        </w:rPr>
      </w:pPr>
    </w:p>
    <w:p w14:paraId="08089855">
      <w:pPr>
        <w:pStyle w:val="3"/>
        <w:rPr>
          <w:rFonts w:hint="eastAsia" w:ascii="宋体" w:hAnsi="宋体" w:eastAsia="宋体" w:cs="宋体"/>
        </w:rPr>
      </w:pPr>
    </w:p>
    <w:p w14:paraId="102EF571">
      <w:pPr>
        <w:pStyle w:val="3"/>
        <w:rPr>
          <w:rFonts w:hint="eastAsia" w:ascii="宋体" w:hAnsi="宋体" w:eastAsia="宋体" w:cs="宋体"/>
        </w:rPr>
      </w:pPr>
    </w:p>
    <w:p w14:paraId="203B0DA9">
      <w:pPr>
        <w:pStyle w:val="3"/>
        <w:rPr>
          <w:rFonts w:hint="eastAsia" w:ascii="宋体" w:hAnsi="宋体" w:eastAsia="宋体" w:cs="宋体"/>
        </w:rPr>
      </w:pPr>
    </w:p>
    <w:p w14:paraId="7296DECC">
      <w:pPr>
        <w:pStyle w:val="3"/>
        <w:rPr>
          <w:rFonts w:hint="eastAsia" w:ascii="宋体" w:hAnsi="宋体" w:eastAsia="宋体" w:cs="宋体"/>
        </w:rPr>
      </w:pPr>
    </w:p>
    <w:p w14:paraId="5B4D429D">
      <w:pPr>
        <w:pStyle w:val="3"/>
        <w:rPr>
          <w:rFonts w:hint="eastAsia" w:ascii="宋体" w:hAnsi="宋体" w:eastAsia="宋体" w:cs="宋体"/>
        </w:rPr>
      </w:pPr>
    </w:p>
    <w:p w14:paraId="2C221923">
      <w:pPr>
        <w:pStyle w:val="3"/>
        <w:rPr>
          <w:rFonts w:hint="eastAsia" w:ascii="宋体" w:hAnsi="宋体" w:eastAsia="宋体" w:cs="宋体"/>
        </w:rPr>
      </w:pPr>
    </w:p>
    <w:p w14:paraId="79EED929">
      <w:pPr>
        <w:spacing w:before="156" w:line="360" w:lineRule="auto"/>
        <w:outlineLvl w:val="1"/>
        <w:rPr>
          <w:rFonts w:hint="eastAsia" w:ascii="宋体" w:hAnsi="宋体" w:eastAsia="宋体" w:cs="宋体"/>
          <w:b/>
          <w:bCs/>
          <w:color w:val="auto"/>
          <w:spacing w:val="-3"/>
          <w:sz w:val="24"/>
          <w:szCs w:val="24"/>
          <w:highlight w:val="none"/>
        </w:rPr>
      </w:pPr>
      <w:bookmarkStart w:id="140" w:name="bookmark138"/>
      <w:bookmarkEnd w:id="140"/>
      <w:bookmarkStart w:id="141" w:name="_Toc28455"/>
      <w:bookmarkStart w:id="142" w:name="_Toc1593"/>
      <w:r>
        <w:rPr>
          <w:rFonts w:hint="eastAsia" w:ascii="宋体" w:hAnsi="宋体" w:eastAsia="宋体" w:cs="宋体"/>
          <w:b/>
          <w:bCs/>
          <w:color w:val="auto"/>
          <w:spacing w:val="-3"/>
          <w:sz w:val="24"/>
          <w:szCs w:val="24"/>
          <w:highlight w:val="none"/>
        </w:rPr>
        <w:t>第四节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否决投标条件</w:t>
      </w:r>
      <w:bookmarkEnd w:id="141"/>
      <w:bookmarkEnd w:id="142"/>
    </w:p>
    <w:p w14:paraId="02741B16">
      <w:pPr>
        <w:spacing w:before="78" w:line="36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5898CA3C">
      <w:pPr>
        <w:spacing w:before="34" w:line="360" w:lineRule="auto"/>
        <w:ind w:left="495"/>
        <w:outlineLvl w:val="2"/>
        <w:rPr>
          <w:rFonts w:hint="eastAsia" w:ascii="宋体" w:hAnsi="宋体" w:eastAsia="宋体" w:cs="宋体"/>
          <w:color w:val="auto"/>
          <w:sz w:val="24"/>
          <w:szCs w:val="24"/>
          <w:highlight w:val="none"/>
        </w:rPr>
      </w:pPr>
      <w:bookmarkStart w:id="143" w:name="_Toc14475"/>
      <w:bookmarkStart w:id="144" w:name="_Toc8173"/>
      <w:bookmarkStart w:id="145" w:name="_Toc9553"/>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lang w:eastAsia="zh-CN"/>
        </w:rPr>
        <w:t>.</w:t>
      </w:r>
      <w:r>
        <w:rPr>
          <w:rFonts w:hint="eastAsia" w:ascii="宋体" w:hAnsi="宋体" w:eastAsia="宋体" w:cs="宋体"/>
          <w:b/>
          <w:bCs/>
          <w:color w:val="auto"/>
          <w:spacing w:val="-8"/>
          <w:sz w:val="24"/>
          <w:szCs w:val="24"/>
          <w:highlight w:val="none"/>
        </w:rPr>
        <w:t>资格评审环节</w:t>
      </w:r>
      <w:bookmarkEnd w:id="143"/>
      <w:bookmarkEnd w:id="144"/>
      <w:bookmarkEnd w:id="145"/>
    </w:p>
    <w:p w14:paraId="2CDF8C7C">
      <w:pPr>
        <w:spacing w:before="152" w:line="360" w:lineRule="auto"/>
        <w:ind w:left="13" w:right="65" w:firstLine="47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B415A91">
      <w:pPr>
        <w:spacing w:before="32" w:line="360" w:lineRule="auto"/>
        <w:ind w:left="5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（1）有本章第三节第</w:t>
      </w:r>
      <w:r>
        <w:rPr>
          <w:rFonts w:hint="eastAsia" w:ascii="宋体" w:hAnsi="宋体" w:eastAsia="宋体" w:cs="宋体"/>
          <w:color w:val="auto"/>
          <w:spacing w:val="-48"/>
          <w:sz w:val="24"/>
          <w:szCs w:val="24"/>
          <w:highlight w:val="none"/>
        </w:rPr>
        <w:t xml:space="preserve"> </w:t>
      </w:r>
      <w:r>
        <w:rPr>
          <w:rFonts w:hint="eastAsia" w:ascii="宋体" w:hAnsi="宋体" w:eastAsia="宋体" w:cs="宋体"/>
          <w:b/>
          <w:bCs/>
          <w:color w:val="auto"/>
          <w:spacing w:val="-2"/>
          <w:sz w:val="24"/>
          <w:szCs w:val="24"/>
          <w:highlight w:val="none"/>
        </w:rPr>
        <w:t xml:space="preserve">2.4 </w:t>
      </w:r>
      <w:r>
        <w:rPr>
          <w:rFonts w:hint="eastAsia" w:ascii="宋体" w:hAnsi="宋体" w:eastAsia="宋体" w:cs="宋体"/>
          <w:color w:val="auto"/>
          <w:spacing w:val="-2"/>
          <w:sz w:val="24"/>
          <w:szCs w:val="24"/>
          <w:highlight w:val="none"/>
        </w:rPr>
        <w:t>条“禁止投标条款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”规定的任何一种情形；</w:t>
      </w:r>
    </w:p>
    <w:p w14:paraId="6E8AB7C8">
      <w:pPr>
        <w:spacing w:before="154" w:line="360" w:lineRule="auto"/>
        <w:ind w:left="5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（2）投标人资质不符合规定的；</w:t>
      </w:r>
    </w:p>
    <w:p w14:paraId="2E25D147">
      <w:pPr>
        <w:keepNext w:val="0"/>
        <w:keepLines w:val="0"/>
        <w:pageBreakBefore w:val="0"/>
        <w:widowControl/>
        <w:kinsoku w:val="0"/>
        <w:wordWrap w:val="0"/>
        <w:overflowPunct/>
        <w:topLinePunct w:val="0"/>
        <w:autoSpaceDE w:val="0"/>
        <w:autoSpaceDN w:val="0"/>
        <w:bidi w:val="0"/>
        <w:adjustRightInd w:val="0"/>
        <w:snapToGrid w:val="0"/>
        <w:spacing w:before="153" w:line="360" w:lineRule="auto"/>
        <w:ind w:right="57" w:firstLine="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（3）投标人名称与营业执照、资质证书、安全生产许可证上的企业名称相互不一</w:t>
      </w:r>
      <w:r>
        <w:rPr>
          <w:rFonts w:hint="eastAsia" w:ascii="宋体" w:hAnsi="宋体" w:eastAsia="宋体" w:cs="宋体"/>
          <w:color w:val="auto"/>
          <w:spacing w:val="-1"/>
          <w:sz w:val="24"/>
          <w:szCs w:val="24"/>
          <w:highlight w:val="none"/>
        </w:rPr>
        <w:t>致的；其资质证书、安全生产许可证不是由住房城乡建设主管部门颁发的；营业执照、资质证书、安全生产许可证（含实时网页查询页，可参考网址https://zlaq.mohurd.gov.cnfwmh/bjxcjgl/fwmh/pages/construction_safety/qyaqscxkz/qyaqscxk）被吊销、暂扣或不在有效期内的；</w:t>
      </w:r>
    </w:p>
    <w:p w14:paraId="4D64198E">
      <w:pPr>
        <w:spacing w:before="153" w:line="360" w:lineRule="auto"/>
        <w:ind w:left="9" w:right="66"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注：投标人已经工商变更，但其企业资质证书、安全生产许可证</w:t>
      </w:r>
      <w:r>
        <w:rPr>
          <w:rFonts w:hint="eastAsia" w:ascii="宋体" w:hAnsi="宋体" w:eastAsia="宋体" w:cs="宋体"/>
          <w:b/>
          <w:bCs/>
          <w:color w:val="auto"/>
          <w:spacing w:val="-5"/>
          <w:sz w:val="24"/>
          <w:szCs w:val="24"/>
          <w:highlight w:val="none"/>
        </w:rPr>
        <w:t>的企业名称未完成</w:t>
      </w:r>
      <w:r>
        <w:rPr>
          <w:rFonts w:hint="eastAsia" w:ascii="宋体" w:hAnsi="宋体" w:eastAsia="宋体" w:cs="宋体"/>
          <w:b/>
          <w:bCs/>
          <w:color w:val="auto"/>
          <w:spacing w:val="-4"/>
          <w:sz w:val="24"/>
          <w:szCs w:val="24"/>
          <w:highlight w:val="none"/>
        </w:rPr>
        <w:t>变更的，不得否决其投标；投标人营业执照、资质证书、安全生产许可证之间登</w:t>
      </w:r>
      <w:r>
        <w:rPr>
          <w:rFonts w:hint="eastAsia" w:ascii="宋体" w:hAnsi="宋体" w:eastAsia="宋体" w:cs="宋体"/>
          <w:b/>
          <w:bCs/>
          <w:color w:val="auto"/>
          <w:spacing w:val="-5"/>
          <w:sz w:val="24"/>
          <w:szCs w:val="24"/>
          <w:highlight w:val="none"/>
        </w:rPr>
        <w:t>记的信</w:t>
      </w:r>
      <w:r>
        <w:rPr>
          <w:rFonts w:hint="eastAsia" w:ascii="宋体" w:hAnsi="宋体" w:eastAsia="宋体" w:cs="宋体"/>
          <w:b/>
          <w:bCs/>
          <w:color w:val="auto"/>
          <w:spacing w:val="-2"/>
          <w:sz w:val="24"/>
          <w:szCs w:val="24"/>
          <w:highlight w:val="none"/>
        </w:rPr>
        <w:t>息不一致，应当允许投标人澄清，不得直接否决其投</w:t>
      </w:r>
      <w:r>
        <w:rPr>
          <w:rFonts w:hint="eastAsia" w:ascii="宋体" w:hAnsi="宋体" w:eastAsia="宋体" w:cs="宋体"/>
          <w:b/>
          <w:bCs/>
          <w:color w:val="auto"/>
          <w:spacing w:val="-3"/>
          <w:sz w:val="24"/>
          <w:szCs w:val="24"/>
          <w:highlight w:val="none"/>
        </w:rPr>
        <w:t>标。</w:t>
      </w:r>
    </w:p>
    <w:p w14:paraId="1E0C4F2F">
      <w:pPr>
        <w:spacing w:before="32" w:line="360" w:lineRule="auto"/>
        <w:ind w:left="10" w:right="65" w:firstLine="490"/>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（4）拟派项目经理、项目技术负责人、专职安全员的条件不符合规定的；拟派专</w:t>
      </w:r>
      <w:r>
        <w:rPr>
          <w:rFonts w:hint="eastAsia" w:ascii="宋体" w:hAnsi="宋体" w:eastAsia="宋体" w:cs="宋体"/>
          <w:color w:val="auto"/>
          <w:spacing w:val="-2"/>
          <w:sz w:val="24"/>
          <w:szCs w:val="24"/>
          <w:highlight w:val="none"/>
        </w:rPr>
        <w:t>职安全员数量不符合规</w:t>
      </w:r>
      <w:r>
        <w:rPr>
          <w:rFonts w:hint="eastAsia" w:ascii="宋体" w:hAnsi="宋体" w:eastAsia="宋体" w:cs="宋体"/>
          <w:color w:val="auto"/>
          <w:spacing w:val="1"/>
          <w:sz w:val="24"/>
          <w:szCs w:val="24"/>
          <w:highlight w:val="none"/>
        </w:rPr>
        <w:t>定的；技术负责人未在投标文件《项目技术负责人简历表》中签</w:t>
      </w:r>
      <w:r>
        <w:rPr>
          <w:rFonts w:hint="eastAsia" w:ascii="宋体" w:hAnsi="宋体" w:eastAsia="宋体" w:cs="宋体"/>
          <w:color w:val="auto"/>
          <w:spacing w:val="1"/>
          <w:sz w:val="24"/>
          <w:szCs w:val="24"/>
          <w:highlight w:val="none"/>
          <w:lang w:eastAsia="zh-CN"/>
        </w:rPr>
        <w:t>字确认。</w:t>
      </w:r>
    </w:p>
    <w:p w14:paraId="0EC64185">
      <w:pPr>
        <w:spacing w:before="34" w:line="360" w:lineRule="auto"/>
        <w:ind w:left="8" w:right="65" w:firstLine="492"/>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（5）《项目经理简历表》中拟派项目经理与</w:t>
      </w:r>
      <w:r>
        <w:rPr>
          <w:rFonts w:hint="eastAsia" w:ascii="宋体" w:hAnsi="宋体" w:eastAsia="宋体" w:cs="宋体"/>
          <w:color w:val="auto"/>
          <w:spacing w:val="-2"/>
          <w:sz w:val="24"/>
          <w:szCs w:val="24"/>
          <w:highlight w:val="none"/>
        </w:rPr>
        <w:t>《开标一览表》不一致的；拟派的项目经理未在投标文件《项目经理简历表》中签字确认；一级建造师的注册证书不是国家住建部颁发的；二级建造师的电子注册证书不是省级住建厅颁发的；建造师的注册单位</w:t>
      </w:r>
      <w:r>
        <w:rPr>
          <w:rFonts w:hint="eastAsia" w:ascii="宋体" w:hAnsi="宋体" w:eastAsia="宋体" w:cs="宋体"/>
          <w:color w:val="auto"/>
          <w:spacing w:val="-8"/>
          <w:sz w:val="24"/>
          <w:szCs w:val="24"/>
          <w:highlight w:val="none"/>
        </w:rPr>
        <w:t>与投标人不一致的；项目管理班子组成人员的各类证书、证件、证明不在有效期内的（建造师注册证书不在使用有效期内的）；擅</w:t>
      </w:r>
      <w:r>
        <w:rPr>
          <w:rFonts w:hint="eastAsia" w:ascii="宋体" w:hAnsi="宋体" w:eastAsia="宋体" w:cs="宋体"/>
          <w:color w:val="auto"/>
          <w:spacing w:val="-2"/>
          <w:sz w:val="24"/>
          <w:szCs w:val="24"/>
          <w:highlight w:val="none"/>
        </w:rPr>
        <w:t>自修改、遗漏《项</w:t>
      </w:r>
      <w:r>
        <w:rPr>
          <w:rFonts w:hint="eastAsia" w:ascii="宋体" w:hAnsi="宋体" w:eastAsia="宋体" w:cs="宋体"/>
          <w:color w:val="auto"/>
          <w:spacing w:val="-3"/>
          <w:sz w:val="24"/>
          <w:szCs w:val="24"/>
          <w:highlight w:val="none"/>
        </w:rPr>
        <w:t>目经理任职声明》实质性内容的；</w:t>
      </w:r>
    </w:p>
    <w:p w14:paraId="5184D12E">
      <w:pPr>
        <w:spacing w:before="1" w:line="360" w:lineRule="auto"/>
        <w:ind w:left="28" w:right="66" w:firstLine="462"/>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注：投标人已经工商变更，但其员工执业资格注册证书的注册单</w:t>
      </w:r>
      <w:r>
        <w:rPr>
          <w:rFonts w:hint="eastAsia" w:ascii="宋体" w:hAnsi="宋体" w:eastAsia="宋体" w:cs="宋体"/>
          <w:b/>
          <w:bCs/>
          <w:color w:val="auto"/>
          <w:spacing w:val="-5"/>
          <w:sz w:val="24"/>
          <w:szCs w:val="24"/>
          <w:highlight w:val="none"/>
        </w:rPr>
        <w:t>位名称未完成变更的，不得否决其投标。</w:t>
      </w:r>
    </w:p>
    <w:p w14:paraId="3ED90A44">
      <w:pPr>
        <w:spacing w:before="1" w:line="360" w:lineRule="auto"/>
        <w:ind w:left="28" w:right="66" w:firstLine="462"/>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鉴于目前继续教育开展的实际情况，建筑和市政工程施工现场专业人员（例如：施</w:t>
      </w:r>
      <w:bookmarkStart w:id="146" w:name="bookmark139"/>
      <w:bookmarkEnd w:id="146"/>
      <w:r>
        <w:rPr>
          <w:rFonts w:hint="eastAsia" w:ascii="宋体" w:hAnsi="宋体" w:eastAsia="宋体" w:cs="宋体"/>
          <w:b/>
          <w:bCs/>
          <w:color w:val="auto"/>
          <w:spacing w:val="-4"/>
          <w:sz w:val="24"/>
          <w:szCs w:val="24"/>
          <w:highlight w:val="none"/>
        </w:rPr>
        <w:t>工员、质量员、材料员、资料员）的岗位证书或培训证书不审查其证书的有效期。</w:t>
      </w:r>
    </w:p>
    <w:p w14:paraId="2B29F3F6">
      <w:pPr>
        <w:spacing w:before="146"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（6）招标文件规定不接受联合体投标，但以联合体投标的；</w:t>
      </w:r>
    </w:p>
    <w:p w14:paraId="3741F56B">
      <w:pPr>
        <w:spacing w:before="154" w:line="360" w:lineRule="auto"/>
        <w:ind w:right="94" w:firstLine="49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rPr>
        <w:t>（7）联合体投标，未提交《联合体协议书》的；擅自修改</w:t>
      </w:r>
      <w:r>
        <w:rPr>
          <w:rFonts w:hint="eastAsia" w:ascii="宋体" w:hAnsi="宋体" w:eastAsia="宋体" w:cs="宋体"/>
          <w:color w:val="auto"/>
          <w:spacing w:val="-3"/>
          <w:sz w:val="24"/>
          <w:szCs w:val="24"/>
          <w:highlight w:val="none"/>
        </w:rPr>
        <w:t>、遗漏《联合体协议书》</w:t>
      </w:r>
      <w:r>
        <w:rPr>
          <w:rFonts w:hint="eastAsia" w:ascii="宋体" w:hAnsi="宋体" w:eastAsia="宋体" w:cs="宋体"/>
          <w:color w:val="auto"/>
          <w:spacing w:val="-2"/>
          <w:sz w:val="24"/>
          <w:szCs w:val="24"/>
          <w:highlight w:val="none"/>
        </w:rPr>
        <w:t>实质性内容的；联合体成员的数量、资质不符合规定的；联合体成员同时以自己名义单</w:t>
      </w:r>
      <w:r>
        <w:rPr>
          <w:rFonts w:hint="eastAsia" w:ascii="宋体" w:hAnsi="宋体" w:eastAsia="宋体" w:cs="宋体"/>
          <w:color w:val="auto"/>
          <w:spacing w:val="-1"/>
          <w:sz w:val="24"/>
          <w:szCs w:val="24"/>
          <w:highlight w:val="none"/>
        </w:rPr>
        <w:t>独投标或者参加其他联合体投标的</w:t>
      </w:r>
      <w:r>
        <w:rPr>
          <w:rFonts w:hint="eastAsia" w:ascii="宋体" w:hAnsi="宋体" w:eastAsia="宋体" w:cs="宋体"/>
          <w:color w:val="auto"/>
          <w:spacing w:val="-1"/>
          <w:sz w:val="24"/>
          <w:szCs w:val="24"/>
          <w:highlight w:val="none"/>
          <w:lang w:eastAsia="zh-CN"/>
        </w:rPr>
        <w:t>。</w:t>
      </w:r>
    </w:p>
    <w:p w14:paraId="16A42CB0">
      <w:pPr>
        <w:spacing w:before="150" w:line="360" w:lineRule="auto"/>
        <w:ind w:right="200" w:firstLine="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（8）投标人为外省建筑企业，但未提供“进粤企业和人员诚信信息登记平台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”企</w:t>
      </w:r>
      <w:r>
        <w:rPr>
          <w:rFonts w:hint="eastAsia" w:ascii="宋体" w:hAnsi="宋体" w:eastAsia="宋体" w:cs="宋体"/>
          <w:color w:val="auto"/>
          <w:spacing w:val="-1"/>
          <w:sz w:val="24"/>
          <w:szCs w:val="24"/>
          <w:highlight w:val="none"/>
        </w:rPr>
        <w:t>业和拟派人员信息情况打印页或网页截图的。</w:t>
      </w:r>
    </w:p>
    <w:p w14:paraId="46F2E778">
      <w:pPr>
        <w:spacing w:before="154" w:line="360" w:lineRule="auto"/>
        <w:ind w:left="477"/>
        <w:outlineLvl w:val="2"/>
        <w:rPr>
          <w:rFonts w:hint="eastAsia" w:ascii="宋体" w:hAnsi="宋体" w:eastAsia="宋体" w:cs="宋体"/>
          <w:color w:val="auto"/>
          <w:sz w:val="24"/>
          <w:szCs w:val="24"/>
          <w:highlight w:val="none"/>
        </w:rPr>
      </w:pPr>
      <w:bookmarkStart w:id="147" w:name="_Toc29071"/>
      <w:bookmarkStart w:id="148" w:name="_Toc17711"/>
      <w:bookmarkStart w:id="149" w:name="_Toc12644"/>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7"/>
          <w:sz w:val="24"/>
          <w:szCs w:val="24"/>
          <w:highlight w:val="none"/>
        </w:rPr>
        <w:t>形式评审环节</w:t>
      </w:r>
      <w:bookmarkEnd w:id="147"/>
      <w:bookmarkEnd w:id="148"/>
      <w:bookmarkEnd w:id="149"/>
    </w:p>
    <w:p w14:paraId="17FA0E7B">
      <w:pPr>
        <w:spacing w:before="151" w:line="360" w:lineRule="auto"/>
        <w:ind w:right="200" w:firstLine="48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488D5B8">
      <w:pPr>
        <w:spacing w:before="32"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01C21B1D">
      <w:pPr>
        <w:spacing w:before="153" w:line="360" w:lineRule="auto"/>
        <w:ind w:left="1" w:right="200" w:firstLine="49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7C87715B">
      <w:pPr>
        <w:spacing w:before="136" w:line="360" w:lineRule="auto"/>
        <w:ind w:left="8" w:right="200" w:firstLine="42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64A608C1">
      <w:pPr>
        <w:spacing w:before="209" w:line="360"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5001A17B">
      <w:pPr>
        <w:spacing w:before="206" w:line="360" w:lineRule="auto"/>
        <w:ind w:left="1" w:firstLine="4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（5）招标文件规定施工组织设计采用“暗标</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”方式进行评审，但施工组织设计的</w:t>
      </w:r>
      <w:r>
        <w:rPr>
          <w:rFonts w:hint="eastAsia" w:ascii="宋体" w:hAnsi="宋体" w:eastAsia="宋体" w:cs="宋体"/>
          <w:color w:val="auto"/>
          <w:spacing w:val="-4"/>
          <w:sz w:val="24"/>
          <w:szCs w:val="24"/>
          <w:highlight w:val="none"/>
        </w:rPr>
        <w:t>规格颜色、文字排版、正文篇幅（若有）不符合规定的；其任何部位出现手写以及涂改、</w:t>
      </w:r>
      <w:r>
        <w:rPr>
          <w:rFonts w:hint="eastAsia" w:ascii="宋体" w:hAnsi="宋体" w:eastAsia="宋体" w:cs="宋体"/>
          <w:color w:val="auto"/>
          <w:spacing w:val="-3"/>
          <w:sz w:val="24"/>
          <w:szCs w:val="24"/>
          <w:highlight w:val="none"/>
        </w:rPr>
        <w:t>行间插字或删除痕迹的；其任何部位出现投标人的名称和其它可识别投标人身份的字符、</w:t>
      </w:r>
      <w:r>
        <w:rPr>
          <w:rFonts w:hint="eastAsia" w:ascii="宋体" w:hAnsi="宋体" w:eastAsia="宋体" w:cs="宋体"/>
          <w:color w:val="auto"/>
          <w:spacing w:val="-1"/>
          <w:sz w:val="24"/>
          <w:szCs w:val="24"/>
          <w:highlight w:val="none"/>
        </w:rPr>
        <w:t>徽标、人员名称以及其他特殊标记的。</w:t>
      </w:r>
    </w:p>
    <w:p w14:paraId="7F1D1627">
      <w:pPr>
        <w:spacing w:before="227" w:line="360" w:lineRule="auto"/>
        <w:ind w:left="475"/>
        <w:outlineLvl w:val="2"/>
        <w:rPr>
          <w:rFonts w:hint="eastAsia" w:ascii="宋体" w:hAnsi="宋体" w:eastAsia="宋体" w:cs="宋体"/>
          <w:color w:val="auto"/>
          <w:sz w:val="24"/>
          <w:szCs w:val="24"/>
          <w:highlight w:val="none"/>
        </w:rPr>
      </w:pPr>
      <w:bookmarkStart w:id="150" w:name="_Toc26522"/>
      <w:bookmarkStart w:id="151" w:name="_Toc8217"/>
      <w:bookmarkStart w:id="152" w:name="_Toc4409"/>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6"/>
          <w:sz w:val="24"/>
          <w:szCs w:val="24"/>
          <w:highlight w:val="none"/>
        </w:rPr>
        <w:t>响应性评审环节</w:t>
      </w:r>
      <w:bookmarkEnd w:id="150"/>
      <w:bookmarkEnd w:id="151"/>
      <w:bookmarkEnd w:id="152"/>
    </w:p>
    <w:p w14:paraId="54C4FB24">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1" w:right="198" w:firstLine="48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2E235325">
      <w:pPr>
        <w:keepNext w:val="0"/>
        <w:keepLines w:val="0"/>
        <w:pageBreakBefore w:val="0"/>
        <w:widowControl w:val="0"/>
        <w:kinsoku w:val="0"/>
        <w:wordWrap/>
        <w:overflowPunct/>
        <w:topLinePunct w:val="0"/>
        <w:autoSpaceDE w:val="0"/>
        <w:autoSpaceDN w:val="0"/>
        <w:bidi w:val="0"/>
        <w:adjustRightInd w:val="0"/>
        <w:snapToGrid w:val="0"/>
        <w:spacing w:before="31" w:line="360" w:lineRule="auto"/>
        <w:ind w:left="40" w:right="198" w:firstLine="45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4086BFDC">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2" w:right="198"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（2）编制《投标总价》的造价工程师，其注册证书不是住建部门颁发的；其注册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2434B2FC">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right="200" w:firstLine="48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10D18E6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2" w:right="81"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（3）投标人委托造价咨询单位编制《投标总价》，但未在《投标总价扉页》（即扉—3）“投标人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63FE82E3">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right="21"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rPr>
        <w:t>最高投标限价</w:t>
      </w:r>
      <w:r>
        <w:rPr>
          <w:rFonts w:hint="eastAsia" w:ascii="宋体" w:hAnsi="宋体" w:eastAsia="宋体" w:cs="宋体"/>
          <w:color w:val="auto"/>
          <w:spacing w:val="-2"/>
          <w:sz w:val="24"/>
          <w:szCs w:val="24"/>
          <w:highlight w:val="none"/>
        </w:rPr>
        <w:t>的；绿色施工安全防护措施费少于规定的；暂列金额、暂估</w:t>
      </w:r>
      <w:r>
        <w:rPr>
          <w:rFonts w:hint="eastAsia" w:ascii="宋体" w:hAnsi="宋体" w:eastAsia="宋体" w:cs="宋体"/>
          <w:color w:val="auto"/>
          <w:spacing w:val="-3"/>
          <w:sz w:val="24"/>
          <w:szCs w:val="24"/>
          <w:highlight w:val="none"/>
        </w:rPr>
        <w:t>价未按照招标工程量清单统一报价的；投标总价下浮率超过15%，又未提供相应书面说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A4B5CD1">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right="81"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1590734">
      <w:pPr>
        <w:spacing w:before="151" w:line="360" w:lineRule="auto"/>
        <w:ind w:left="476"/>
        <w:outlineLvl w:val="2"/>
        <w:rPr>
          <w:rFonts w:hint="eastAsia" w:ascii="宋体" w:hAnsi="宋体" w:eastAsia="宋体" w:cs="宋体"/>
          <w:color w:val="auto"/>
          <w:sz w:val="24"/>
          <w:szCs w:val="24"/>
          <w:highlight w:val="none"/>
        </w:rPr>
      </w:pPr>
      <w:bookmarkStart w:id="153" w:name="_Toc29500"/>
      <w:bookmarkStart w:id="154" w:name="_Toc2557"/>
      <w:bookmarkStart w:id="155" w:name="_Toc21929"/>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11"/>
          <w:sz w:val="24"/>
          <w:szCs w:val="24"/>
          <w:highlight w:val="none"/>
        </w:rPr>
        <w:t>其他</w:t>
      </w:r>
      <w:bookmarkEnd w:id="153"/>
      <w:bookmarkEnd w:id="154"/>
      <w:bookmarkEnd w:id="155"/>
    </w:p>
    <w:p w14:paraId="46C810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在任何评标环节（或阶段），投标人有下列情形之一的，评标委员会应否决其投标。被否决的投标人，不进入下一环节（或阶段）。</w:t>
      </w:r>
    </w:p>
    <w:p w14:paraId="6A70F2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（1）不按评标委员会要求澄清、说明或补正的；</w:t>
      </w:r>
    </w:p>
    <w:p w14:paraId="4CBBCC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（2）有下列情形之一，被评标委员会认定属于串通投标的：</w:t>
      </w:r>
    </w:p>
    <w:p w14:paraId="271141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①不同投标人的投标文件两处以上（含两处）错、漏一致；</w:t>
      </w:r>
    </w:p>
    <w:p w14:paraId="55C46F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②不同投标人的投标总价相近且各分项报价、综合单价分析表内容混乱不能相互对应、乱调乱压或乱抬的，而在询标时没有合理的解释或者不能提供计算依据和报价依据；</w:t>
      </w:r>
    </w:p>
    <w:p w14:paraId="087B17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③不同投标人的投标各项报价存在异常一致或者呈规律性变化；</w:t>
      </w:r>
    </w:p>
    <w:p w14:paraId="291903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④不同投标人的投标文件由同一单位或者同一个人编制；</w:t>
      </w:r>
    </w:p>
    <w:p w14:paraId="724112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⑤不同投标人的投标文件中投标资料（包括电子资料）相互混装或项目班子成员出现同一人；</w:t>
      </w:r>
    </w:p>
    <w:p w14:paraId="2E9AD5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⑥不同投标人的投标文件由同一电脑编制或同一台附属设备打印，或投标报价用同一个预算编制软件密码锁制作或出自同一电子文档；</w:t>
      </w:r>
    </w:p>
    <w:p w14:paraId="6E160A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⑦不同投标人的投标保证由同一企业或同一账户资金缴纳；</w:t>
      </w:r>
    </w:p>
    <w:p w14:paraId="60106A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⑧不同投标人委托同一个人或注册在同一家企业的注册人员或同一家企业为其投标提供投标咨询、商务报价、技术咨询（招标项目本身要求采用专有技术的除外）等服务。</w:t>
      </w:r>
    </w:p>
    <w:p w14:paraId="53EB2D8B">
      <w:pPr>
        <w:spacing w:before="78" w:line="360" w:lineRule="auto"/>
        <w:jc w:val="center"/>
        <w:outlineLvl w:val="0"/>
        <w:rPr>
          <w:rFonts w:hint="eastAsia" w:ascii="宋体" w:hAnsi="宋体" w:eastAsia="宋体" w:cs="宋体"/>
          <w:b/>
          <w:bCs/>
          <w:color w:val="auto"/>
          <w:spacing w:val="-3"/>
          <w:sz w:val="24"/>
          <w:szCs w:val="24"/>
          <w:highlight w:val="none"/>
        </w:rPr>
      </w:pPr>
      <w:bookmarkStart w:id="156" w:name="bookmark57"/>
      <w:bookmarkEnd w:id="156"/>
      <w:bookmarkStart w:id="157" w:name="_Toc7642"/>
      <w:bookmarkStart w:id="158" w:name="_Toc20000"/>
      <w:r>
        <w:rPr>
          <w:rFonts w:hint="eastAsia" w:ascii="宋体" w:hAnsi="宋体" w:eastAsia="宋体" w:cs="宋体"/>
          <w:b/>
          <w:bCs/>
          <w:color w:val="auto"/>
          <w:spacing w:val="-3"/>
          <w:sz w:val="24"/>
          <w:szCs w:val="24"/>
          <w:highlight w:val="none"/>
        </w:rPr>
        <w:t>第二章</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中标人须知</w:t>
      </w:r>
      <w:bookmarkEnd w:id="157"/>
      <w:bookmarkEnd w:id="158"/>
    </w:p>
    <w:p w14:paraId="33D1480D">
      <w:pPr>
        <w:spacing w:before="151" w:line="360" w:lineRule="auto"/>
        <w:ind w:left="476"/>
        <w:outlineLvl w:val="2"/>
        <w:rPr>
          <w:rFonts w:hint="eastAsia" w:ascii="宋体" w:hAnsi="宋体" w:eastAsia="宋体" w:cs="宋体"/>
          <w:b/>
          <w:bCs/>
          <w:color w:val="auto"/>
          <w:spacing w:val="-11"/>
          <w:sz w:val="24"/>
          <w:szCs w:val="24"/>
          <w:highlight w:val="none"/>
        </w:rPr>
      </w:pPr>
      <w:bookmarkStart w:id="159" w:name="_Toc11992"/>
      <w:bookmarkStart w:id="160" w:name="_Toc26962"/>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中标通知书</w:t>
      </w:r>
      <w:bookmarkEnd w:id="159"/>
      <w:bookmarkEnd w:id="160"/>
    </w:p>
    <w:p w14:paraId="51329CD9">
      <w:pPr>
        <w:spacing w:before="152" w:line="360" w:lineRule="auto"/>
        <w:ind w:left="17" w:firstLine="559"/>
        <w:jc w:val="both"/>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招标人确定第一中标候选人为中标人，并在中标人确定之日起7日内向中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6832A809">
      <w:pPr>
        <w:spacing w:before="151" w:line="360" w:lineRule="auto"/>
        <w:ind w:left="476"/>
        <w:outlineLvl w:val="2"/>
        <w:rPr>
          <w:rFonts w:hint="eastAsia" w:ascii="宋体" w:hAnsi="宋体" w:eastAsia="宋体" w:cs="宋体"/>
          <w:b/>
          <w:bCs/>
          <w:color w:val="auto"/>
          <w:spacing w:val="-11"/>
          <w:sz w:val="24"/>
          <w:szCs w:val="24"/>
          <w:highlight w:val="none"/>
        </w:rPr>
      </w:pPr>
      <w:bookmarkStart w:id="161" w:name="_Toc16049"/>
      <w:bookmarkStart w:id="162" w:name="_Toc7161"/>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中标结果公示</w:t>
      </w:r>
      <w:bookmarkEnd w:id="161"/>
      <w:bookmarkEnd w:id="162"/>
    </w:p>
    <w:p w14:paraId="5173095A">
      <w:pPr>
        <w:spacing w:before="115" w:line="360" w:lineRule="auto"/>
        <w:ind w:left="2" w:right="203" w:firstLine="595"/>
        <w:jc w:val="both"/>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w:t>
      </w:r>
      <w:r>
        <w:rPr>
          <w:rFonts w:hint="eastAsia" w:ascii="宋体" w:hAnsi="宋体" w:eastAsia="宋体" w:cs="宋体"/>
          <w:color w:val="auto"/>
          <w:spacing w:val="50"/>
          <w:w w:val="101"/>
          <w:sz w:val="24"/>
          <w:szCs w:val="24"/>
          <w:highlight w:val="none"/>
        </w:rPr>
        <w:t xml:space="preserve"> </w:t>
      </w:r>
      <w:r>
        <w:rPr>
          <w:rFonts w:hint="eastAsia" w:ascii="宋体" w:hAnsi="宋体" w:eastAsia="宋体" w:cs="宋体"/>
          <w:color w:val="auto"/>
          <w:spacing w:val="-2"/>
          <w:sz w:val="24"/>
          <w:szCs w:val="24"/>
          <w:highlight w:val="none"/>
        </w:rPr>
        <w:t>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AC0E276">
      <w:pPr>
        <w:spacing w:before="151" w:line="360" w:lineRule="auto"/>
        <w:ind w:left="476"/>
        <w:outlineLvl w:val="2"/>
        <w:rPr>
          <w:rFonts w:hint="eastAsia" w:ascii="宋体" w:hAnsi="宋体" w:eastAsia="宋体" w:cs="宋体"/>
          <w:b/>
          <w:bCs/>
          <w:color w:val="auto"/>
          <w:spacing w:val="-11"/>
          <w:sz w:val="24"/>
          <w:szCs w:val="24"/>
          <w:highlight w:val="none"/>
        </w:rPr>
      </w:pPr>
      <w:bookmarkStart w:id="163" w:name="_Toc15464"/>
      <w:bookmarkStart w:id="164" w:name="_Toc28790"/>
      <w:r>
        <w:rPr>
          <w:rFonts w:hint="eastAsia" w:ascii="宋体" w:hAnsi="宋体" w:eastAsia="宋体" w:cs="宋体"/>
          <w:b/>
          <w:bCs/>
          <w:color w:val="auto"/>
          <w:spacing w:val="-11"/>
          <w:sz w:val="24"/>
          <w:szCs w:val="24"/>
          <w:highlight w:val="none"/>
        </w:rPr>
        <w:t>3</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履约保证</w:t>
      </w:r>
      <w:bookmarkEnd w:id="163"/>
      <w:bookmarkEnd w:id="164"/>
    </w:p>
    <w:p w14:paraId="6B965CAC">
      <w:pPr>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10</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5</w:t>
      </w:r>
      <w:r>
        <w:rPr>
          <w:rFonts w:hint="eastAsia" w:ascii="宋体" w:hAnsi="宋体" w:eastAsia="宋体" w:cs="宋体"/>
          <w:color w:val="auto"/>
          <w:spacing w:val="-1"/>
          <w:position w:val="2"/>
          <w:sz w:val="24"/>
          <w:szCs w:val="24"/>
          <w:highlight w:val="none"/>
          <w:u w:val="single"/>
        </w:rPr>
        <w:t>%</w:t>
      </w:r>
      <w:r>
        <w:rPr>
          <w:rFonts w:hint="eastAsia" w:ascii="宋体" w:hAnsi="宋体" w:eastAsia="宋体" w:cs="宋体"/>
          <w:color w:val="auto"/>
          <w:spacing w:val="-1"/>
          <w:position w:val="2"/>
          <w:sz w:val="24"/>
          <w:szCs w:val="24"/>
          <w:highlight w:val="none"/>
        </w:rPr>
        <w:t>的履约保证。联合体中标的，由联合体牵头人提交。</w:t>
      </w:r>
    </w:p>
    <w:p w14:paraId="419293D0">
      <w:pPr>
        <w:keepNext w:val="0"/>
        <w:keepLines w:val="0"/>
        <w:pageBreakBefore w:val="0"/>
        <w:widowControl w:val="0"/>
        <w:kinsoku w:val="0"/>
        <w:overflowPunct/>
        <w:topLinePunct w:val="0"/>
        <w:autoSpaceDE w:val="0"/>
        <w:autoSpaceDN w:val="0"/>
        <w:bidi w:val="0"/>
        <w:adjustRightInd w:val="0"/>
        <w:snapToGrid w:val="0"/>
        <w:spacing w:before="89" w:line="360" w:lineRule="auto"/>
        <w:ind w:left="12" w:right="108" w:firstLine="473"/>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29CA7BCE">
      <w:pPr>
        <w:keepNext w:val="0"/>
        <w:keepLines w:val="0"/>
        <w:pageBreakBefore w:val="0"/>
        <w:widowControl w:val="0"/>
        <w:kinsoku w:val="0"/>
        <w:wordWrap w:val="0"/>
        <w:overflowPunct/>
        <w:topLinePunct w:val="0"/>
        <w:autoSpaceDE w:val="0"/>
        <w:autoSpaceDN w:val="0"/>
        <w:bidi w:val="0"/>
        <w:adjustRightInd w:val="0"/>
        <w:snapToGrid w:val="0"/>
        <w:spacing w:line="360" w:lineRule="auto"/>
        <w:ind w:firstLine="562"/>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0C149FC0">
      <w:pPr>
        <w:keepNext w:val="0"/>
        <w:keepLines w:val="0"/>
        <w:pageBreakBefore w:val="0"/>
        <w:widowControl w:val="0"/>
        <w:kinsoku w:val="0"/>
        <w:overflowPunct/>
        <w:topLinePunct w:val="0"/>
        <w:autoSpaceDE w:val="0"/>
        <w:autoSpaceDN w:val="0"/>
        <w:bidi w:val="0"/>
        <w:adjustRightInd w:val="0"/>
        <w:snapToGrid w:val="0"/>
        <w:spacing w:before="145" w:line="360" w:lineRule="auto"/>
        <w:ind w:left="12" w:right="108"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中标人在领取中标通知书之日起10个工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出第一次提醒函；在领取中标通知书之日起15个工作日内仍未提交的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二次提醒函；在领取中标通知书之日起20个工作日内仍未提交的，视其放弃中标。并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03CC3AE0">
      <w:pPr>
        <w:keepNext w:val="0"/>
        <w:keepLines w:val="0"/>
        <w:pageBreakBefore w:val="0"/>
        <w:widowControl w:val="0"/>
        <w:kinsoku w:val="0"/>
        <w:overflowPunct/>
        <w:topLinePunct w:val="0"/>
        <w:autoSpaceDE w:val="0"/>
        <w:autoSpaceDN w:val="0"/>
        <w:bidi w:val="0"/>
        <w:adjustRightInd w:val="0"/>
        <w:snapToGrid w:val="0"/>
        <w:spacing w:before="152" w:line="360" w:lineRule="auto"/>
        <w:ind w:left="12" w:right="108"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3E738746">
      <w:pPr>
        <w:keepNext w:val="0"/>
        <w:keepLines w:val="0"/>
        <w:pageBreakBefore w:val="0"/>
        <w:widowControl w:val="0"/>
        <w:kinsoku w:val="0"/>
        <w:overflowPunct/>
        <w:topLinePunct w:val="0"/>
        <w:autoSpaceDE w:val="0"/>
        <w:autoSpaceDN w:val="0"/>
        <w:bidi w:val="0"/>
        <w:adjustRightInd w:val="0"/>
        <w:snapToGrid w:val="0"/>
        <w:spacing w:before="154" w:line="360" w:lineRule="auto"/>
        <w:ind w:left="486"/>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2AC22F1D">
      <w:pPr>
        <w:spacing w:before="151" w:line="360" w:lineRule="auto"/>
        <w:ind w:left="476"/>
        <w:outlineLvl w:val="2"/>
        <w:rPr>
          <w:rFonts w:hint="eastAsia" w:ascii="宋体" w:hAnsi="宋体" w:eastAsia="宋体" w:cs="宋体"/>
          <w:b/>
          <w:bCs/>
          <w:color w:val="auto"/>
          <w:spacing w:val="-11"/>
          <w:sz w:val="24"/>
          <w:szCs w:val="24"/>
          <w:highlight w:val="none"/>
        </w:rPr>
      </w:pPr>
      <w:bookmarkStart w:id="165" w:name="_Toc31215"/>
      <w:bookmarkStart w:id="166" w:name="_Toc8851"/>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合同订立</w:t>
      </w:r>
      <w:bookmarkEnd w:id="165"/>
      <w:bookmarkEnd w:id="166"/>
    </w:p>
    <w:p w14:paraId="7ECD82C0">
      <w:pPr>
        <w:spacing w:before="150" w:line="360"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6CC66F44">
      <w:pPr>
        <w:spacing w:before="150" w:line="360" w:lineRule="auto"/>
        <w:ind w:left="13" w:right="108" w:firstLine="474"/>
        <w:rPr>
          <w:rFonts w:hint="eastAsia" w:ascii="宋体" w:hAnsi="宋体" w:eastAsia="宋体" w:cs="宋体"/>
          <w:b w:val="0"/>
          <w:bCs w:val="0"/>
          <w:color w:val="auto"/>
          <w:sz w:val="24"/>
          <w:szCs w:val="24"/>
          <w:highlight w:val="none"/>
        </w:rPr>
      </w:pPr>
      <w:bookmarkStart w:id="167" w:name="_Toc24043"/>
      <w:r>
        <w:rPr>
          <w:rFonts w:hint="eastAsia" w:ascii="宋体" w:hAnsi="宋体" w:eastAsia="宋体" w:cs="宋体"/>
          <w:b/>
          <w:bCs/>
          <w:color w:val="auto"/>
          <w:sz w:val="24"/>
          <w:szCs w:val="24"/>
          <w:highlight w:val="none"/>
        </w:rPr>
        <w:t xml:space="preserve">4.2  </w:t>
      </w:r>
      <w:r>
        <w:rPr>
          <w:rFonts w:hint="eastAsia" w:ascii="宋体" w:hAnsi="宋体" w:eastAsia="宋体" w:cs="宋体"/>
          <w:b w:val="0"/>
          <w:bCs w:val="0"/>
          <w:color w:val="auto"/>
          <w:sz w:val="24"/>
          <w:szCs w:val="24"/>
          <w:highlight w:val="none"/>
        </w:rPr>
        <w:t>不正常报价的梳理和确认</w:t>
      </w:r>
      <w:bookmarkEnd w:id="167"/>
    </w:p>
    <w:p w14:paraId="0F0E66BC">
      <w:pPr>
        <w:spacing w:before="154" w:line="360"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权编制本项目招标控制价的造价咨询单位实施。</w:t>
      </w:r>
    </w:p>
    <w:p w14:paraId="60493062">
      <w:pPr>
        <w:spacing w:before="121" w:line="360"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7BB0AF98">
      <w:pPr>
        <w:spacing w:before="157" w:line="360"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1AF8E3BC">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不平衡报价的认定。经修正算术性错误后的中标人已标价工程量清单中，对于投标报价中综合单价相对招标控制价《分部分项工程和单价措施项目清单与计价表》中对应综合单价的偏差大于±15%的清</w:t>
      </w:r>
      <w:r>
        <w:rPr>
          <w:rFonts w:hint="eastAsia" w:ascii="宋体" w:hAnsi="宋体" w:eastAsia="宋体" w:cs="宋体"/>
          <w:color w:val="auto"/>
          <w:spacing w:val="-3"/>
          <w:sz w:val="24"/>
          <w:szCs w:val="24"/>
          <w:highlight w:val="none"/>
        </w:rPr>
        <w:t>单项目，视为不平衡报价项目。</w:t>
      </w:r>
    </w:p>
    <w:p w14:paraId="48F72EBF">
      <w:pPr>
        <w:spacing w:before="146" w:line="36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489EB373">
      <w:pPr>
        <w:spacing w:before="34" w:line="360"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46FD6D81">
      <w:pPr>
        <w:spacing w:before="33" w:line="360"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3442E2E5">
      <w:pPr>
        <w:spacing w:before="120" w:line="360" w:lineRule="auto"/>
        <w:ind w:left="11" w:right="28" w:firstLine="476"/>
        <w:rPr>
          <w:rFonts w:hint="eastAsia" w:ascii="宋体" w:hAnsi="宋体" w:eastAsia="宋体" w:cs="宋体"/>
          <w:b/>
          <w:bCs/>
          <w:color w:val="auto"/>
          <w:spacing w:val="-4"/>
          <w:sz w:val="24"/>
          <w:szCs w:val="24"/>
          <w:highlight w:val="none"/>
        </w:rPr>
      </w:pPr>
      <w:bookmarkStart w:id="168" w:name="_Toc17784"/>
      <w:r>
        <w:rPr>
          <w:rFonts w:hint="eastAsia" w:ascii="宋体" w:hAnsi="宋体" w:eastAsia="宋体" w:cs="宋体"/>
          <w:b/>
          <w:bCs/>
          <w:color w:val="auto"/>
          <w:spacing w:val="-4"/>
          <w:sz w:val="24"/>
          <w:szCs w:val="24"/>
          <w:highlight w:val="none"/>
        </w:rPr>
        <w:t xml:space="preserve">4.3  </w:t>
      </w:r>
      <w:r>
        <w:rPr>
          <w:rFonts w:hint="eastAsia" w:ascii="宋体" w:hAnsi="宋体" w:eastAsia="宋体" w:cs="宋体"/>
          <w:b w:val="0"/>
          <w:bCs w:val="0"/>
          <w:color w:val="auto"/>
          <w:spacing w:val="-4"/>
          <w:sz w:val="24"/>
          <w:szCs w:val="24"/>
          <w:highlight w:val="none"/>
        </w:rPr>
        <w:t>本招标项目合同计价方式为：</w:t>
      </w:r>
      <w:r>
        <w:rPr>
          <w:rFonts w:hint="eastAsia" w:ascii="宋体" w:hAnsi="宋体" w:eastAsia="宋体" w:cs="宋体"/>
          <w:b w:val="0"/>
          <w:bCs w:val="0"/>
          <w:color w:val="auto"/>
          <w:spacing w:val="-4"/>
          <w:sz w:val="24"/>
          <w:szCs w:val="24"/>
          <w:highlight w:val="none"/>
          <w:u w:val="single"/>
          <w:lang w:eastAsia="zh-CN"/>
        </w:rPr>
        <w:t>单</w:t>
      </w:r>
      <w:r>
        <w:rPr>
          <w:rFonts w:hint="eastAsia" w:ascii="宋体" w:hAnsi="宋体" w:eastAsia="宋体" w:cs="宋体"/>
          <w:b w:val="0"/>
          <w:bCs w:val="0"/>
          <w:color w:val="auto"/>
          <w:spacing w:val="-4"/>
          <w:sz w:val="24"/>
          <w:szCs w:val="24"/>
          <w:highlight w:val="none"/>
          <w:u w:val="single"/>
        </w:rPr>
        <w:t>价</w:t>
      </w:r>
      <w:r>
        <w:rPr>
          <w:rFonts w:hint="eastAsia" w:ascii="宋体" w:hAnsi="宋体" w:eastAsia="宋体" w:cs="宋体"/>
          <w:b w:val="0"/>
          <w:bCs w:val="0"/>
          <w:color w:val="auto"/>
          <w:spacing w:val="-4"/>
          <w:sz w:val="24"/>
          <w:szCs w:val="24"/>
          <w:highlight w:val="none"/>
        </w:rPr>
        <w:t>合同。</w:t>
      </w:r>
      <w:bookmarkEnd w:id="168"/>
    </w:p>
    <w:p w14:paraId="2F349CEC">
      <w:pPr>
        <w:spacing w:before="120" w:line="360"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7B139D88">
      <w:pPr>
        <w:spacing w:before="158" w:line="360"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 天内仍未签订，视其放弃中标。</w:t>
      </w:r>
    </w:p>
    <w:p w14:paraId="5665F3E1">
      <w:pPr>
        <w:spacing w:before="155" w:line="360" w:lineRule="auto"/>
        <w:ind w:left="12" w:right="82" w:firstLine="474"/>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在书面合同订立之日起2个工作日内，由中标人或招标代理机构将合同上传至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建设工程交易系统，并发起退还投标保证的申请。韶关市公共资源交易中心在收到申请之日起3个工作日内，将投标保证金（或银行保函）退还给中标人和其他中标候选人。</w:t>
      </w:r>
    </w:p>
    <w:p w14:paraId="2C73A4D6">
      <w:pPr>
        <w:spacing w:before="151" w:line="360" w:lineRule="auto"/>
        <w:ind w:left="476"/>
        <w:outlineLvl w:val="2"/>
        <w:rPr>
          <w:rFonts w:hint="eastAsia" w:ascii="宋体" w:hAnsi="宋体" w:eastAsia="宋体" w:cs="宋体"/>
          <w:b/>
          <w:bCs/>
          <w:color w:val="auto"/>
          <w:spacing w:val="-11"/>
          <w:sz w:val="24"/>
          <w:szCs w:val="24"/>
          <w:highlight w:val="none"/>
        </w:rPr>
      </w:pPr>
      <w:bookmarkStart w:id="169" w:name="_Toc9178"/>
      <w:bookmarkStart w:id="170" w:name="_Toc23772"/>
      <w:r>
        <w:rPr>
          <w:rFonts w:hint="eastAsia" w:ascii="宋体" w:hAnsi="宋体" w:eastAsia="宋体" w:cs="宋体"/>
          <w:b/>
          <w:bCs/>
          <w:color w:val="auto"/>
          <w:spacing w:val="-11"/>
          <w:sz w:val="24"/>
          <w:szCs w:val="24"/>
          <w:highlight w:val="none"/>
        </w:rPr>
        <w:t>5</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放弃中标的处理</w:t>
      </w:r>
      <w:bookmarkEnd w:id="169"/>
      <w:bookmarkEnd w:id="170"/>
    </w:p>
    <w:p w14:paraId="6DEC4651">
      <w:pPr>
        <w:spacing w:before="150" w:line="360"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0EA4DAFF">
      <w:pPr>
        <w:spacing w:before="79" w:line="360" w:lineRule="auto"/>
        <w:ind w:left="10" w:right="91" w:firstLine="47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71" w:name="bookmark84"/>
      <w:bookmarkEnd w:id="171"/>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60A9BD5A">
      <w:pPr>
        <w:spacing w:before="79" w:line="360" w:lineRule="auto"/>
        <w:ind w:left="10" w:right="91" w:firstLine="479"/>
        <w:rPr>
          <w:rFonts w:hint="eastAsia" w:ascii="宋体" w:hAnsi="宋体" w:eastAsia="宋体" w:cs="宋体"/>
          <w:b/>
          <w:bCs/>
          <w:color w:val="auto"/>
          <w:spacing w:val="-2"/>
          <w:sz w:val="24"/>
          <w:szCs w:val="24"/>
          <w:highlight w:val="none"/>
        </w:rPr>
      </w:pPr>
      <w:bookmarkStart w:id="172" w:name="_Toc11017"/>
      <w:r>
        <w:rPr>
          <w:rFonts w:hint="eastAsia" w:ascii="宋体" w:hAnsi="宋体" w:eastAsia="宋体" w:cs="宋体"/>
          <w:b/>
          <w:bCs/>
          <w:color w:val="auto"/>
          <w:spacing w:val="-2"/>
          <w:sz w:val="24"/>
          <w:szCs w:val="24"/>
          <w:highlight w:val="none"/>
          <w:lang w:val="en-US" w:eastAsia="zh-CN"/>
        </w:rPr>
        <w:t>6.</w:t>
      </w:r>
      <w:r>
        <w:rPr>
          <w:rFonts w:hint="eastAsia" w:ascii="宋体" w:hAnsi="宋体" w:eastAsia="宋体" w:cs="宋体"/>
          <w:b/>
          <w:bCs/>
          <w:color w:val="auto"/>
          <w:spacing w:val="-2"/>
          <w:sz w:val="24"/>
          <w:szCs w:val="24"/>
          <w:highlight w:val="none"/>
        </w:rPr>
        <w:t>中标项目纳入百千万工程，按照市百千万工程关于配建定比例公益项目的政策落实相关工作，中标后在签订施工合同时明确捐建比例。</w:t>
      </w:r>
      <w:bookmarkEnd w:id="172"/>
    </w:p>
    <w:p w14:paraId="19A1573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173" w:name="_Toc16090"/>
      <w:r>
        <w:rPr>
          <w:rFonts w:hint="eastAsia" w:ascii="宋体" w:hAnsi="宋体" w:eastAsia="宋体" w:cs="宋体"/>
          <w:b/>
          <w:bCs/>
          <w:color w:val="auto"/>
          <w:spacing w:val="-11"/>
          <w:sz w:val="24"/>
          <w:szCs w:val="24"/>
          <w:highlight w:val="none"/>
          <w:lang w:val="en-US" w:eastAsia="zh-CN"/>
        </w:rPr>
        <w:t>7.违约责任条款</w:t>
      </w:r>
      <w:bookmarkEnd w:id="173"/>
    </w:p>
    <w:p w14:paraId="0E0E085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9" w:line="360" w:lineRule="auto"/>
        <w:ind w:right="91" w:rightChars="0" w:firstLine="474" w:firstLineChars="200"/>
        <w:textAlignment w:val="baseline"/>
        <w:rPr>
          <w:rFonts w:hint="eastAsia" w:ascii="宋体" w:hAnsi="宋体" w:eastAsia="宋体" w:cs="宋体"/>
          <w:color w:val="auto"/>
          <w:spacing w:val="-2"/>
          <w:sz w:val="24"/>
          <w:szCs w:val="24"/>
          <w:highlight w:val="none"/>
          <w:lang w:val="en-US" w:eastAsia="zh-CN"/>
        </w:rPr>
      </w:pPr>
      <w:r>
        <w:rPr>
          <w:rFonts w:hint="eastAsia" w:ascii="宋体" w:hAnsi="宋体" w:eastAsia="宋体" w:cs="宋体"/>
          <w:b/>
          <w:bCs/>
          <w:snapToGrid w:val="0"/>
          <w:color w:val="auto"/>
          <w:spacing w:val="-2"/>
          <w:sz w:val="24"/>
          <w:szCs w:val="24"/>
          <w:lang w:val="en-US" w:eastAsia="zh-CN" w:bidi="ar-SA"/>
        </w:rPr>
        <w:t>7.1</w:t>
      </w:r>
      <w:r>
        <w:rPr>
          <w:rFonts w:hint="eastAsia" w:ascii="宋体" w:hAnsi="宋体" w:eastAsia="宋体" w:cs="宋体"/>
          <w:snapToGrid w:val="0"/>
          <w:color w:val="auto"/>
          <w:spacing w:val="-2"/>
          <w:sz w:val="24"/>
          <w:szCs w:val="24"/>
          <w:lang w:val="en-US" w:eastAsia="zh-CN" w:bidi="ar-SA"/>
        </w:rPr>
        <w:t xml:space="preserve">  </w:t>
      </w:r>
      <w:r>
        <w:rPr>
          <w:rFonts w:hint="eastAsia" w:ascii="宋体" w:hAnsi="宋体" w:eastAsia="宋体" w:cs="宋体"/>
          <w:color w:val="auto"/>
          <w:spacing w:val="-2"/>
          <w:sz w:val="24"/>
          <w:szCs w:val="24"/>
          <w:highlight w:val="none"/>
          <w:lang w:val="en-US" w:eastAsia="zh-CN"/>
        </w:rPr>
        <w:t>因勘察、设计单位责任造成的设计错项、漏项等引起的累计工程变更调整费用总额超过项目施工合同价(暂列金、预留金除外)的10%以上(含)，由项目建设单位扣除勘察、设计合同费用的30%；超过项目施工合同价(暂列金、预留金除外)的20%以上(含)，全额扣减勘察、设计费用，并由相关部门在市场诚信管理、市场准入、资质管理等方面依法给予处理并进行通报。</w:t>
      </w:r>
    </w:p>
    <w:p w14:paraId="54D7A7A6">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9" w:line="360" w:lineRule="auto"/>
        <w:ind w:right="91" w:rightChars="0" w:firstLine="474" w:firstLineChars="200"/>
        <w:textAlignment w:val="baseline"/>
        <w:rPr>
          <w:rFonts w:hint="eastAsia" w:ascii="宋体" w:hAnsi="宋体" w:eastAsia="宋体" w:cs="宋体"/>
          <w:color w:val="auto"/>
          <w:spacing w:val="-2"/>
          <w:sz w:val="24"/>
          <w:szCs w:val="24"/>
          <w:highlight w:val="none"/>
          <w:lang w:val="en-US" w:eastAsia="zh-CN"/>
        </w:rPr>
      </w:pPr>
      <w:r>
        <w:rPr>
          <w:rFonts w:hint="eastAsia" w:ascii="宋体" w:hAnsi="宋体" w:eastAsia="宋体" w:cs="宋体"/>
          <w:b/>
          <w:bCs/>
          <w:snapToGrid w:val="0"/>
          <w:color w:val="auto"/>
          <w:spacing w:val="-2"/>
          <w:sz w:val="24"/>
          <w:szCs w:val="24"/>
          <w:lang w:val="en-US" w:eastAsia="zh-CN" w:bidi="ar-SA"/>
        </w:rPr>
        <w:t>7.2</w:t>
      </w:r>
      <w:r>
        <w:rPr>
          <w:rFonts w:hint="eastAsia" w:ascii="宋体" w:hAnsi="宋体" w:eastAsia="宋体" w:cs="宋体"/>
          <w:snapToGrid w:val="0"/>
          <w:color w:val="auto"/>
          <w:spacing w:val="-2"/>
          <w:sz w:val="24"/>
          <w:szCs w:val="24"/>
          <w:lang w:val="en-US" w:eastAsia="zh-CN" w:bidi="ar-SA"/>
        </w:rPr>
        <w:t xml:space="preserve">  </w:t>
      </w:r>
      <w:r>
        <w:rPr>
          <w:rFonts w:hint="eastAsia" w:ascii="宋体" w:hAnsi="宋体" w:eastAsia="宋体" w:cs="宋体"/>
          <w:color w:val="auto"/>
          <w:spacing w:val="-2"/>
          <w:sz w:val="24"/>
          <w:szCs w:val="24"/>
          <w:highlight w:val="none"/>
          <w:lang w:val="en-US" w:eastAsia="zh-CN"/>
        </w:rPr>
        <w:t>因监理单位、造价咨询单位履职不到位引起的累计工程变更调整费用总额超过项目施工合同价(暂列金、预留金除外)的10%以上(含)，由项目建设单位按照合同扣减其30%的委托费用；超过项目施工合同价(暂列金、预留金除外)的20%以上(含),全额扣减相关费用，并由相关部门在市场诚信管理、市场准入、资质管理等方面依法给予处理并进行通报。</w:t>
      </w:r>
    </w:p>
    <w:p w14:paraId="559C9D1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9" w:line="360" w:lineRule="auto"/>
        <w:ind w:right="91" w:rightChars="0" w:firstLine="474" w:firstLineChars="200"/>
        <w:textAlignment w:val="baseline"/>
        <w:rPr>
          <w:rFonts w:hint="eastAsia" w:ascii="宋体" w:hAnsi="宋体" w:eastAsia="宋体" w:cs="宋体"/>
          <w:color w:val="C00000"/>
          <w:spacing w:val="-2"/>
          <w:sz w:val="24"/>
          <w:szCs w:val="24"/>
          <w:highlight w:val="none"/>
          <w:lang w:val="en-US" w:eastAsia="zh-CN"/>
        </w:rPr>
      </w:pPr>
      <w:r>
        <w:rPr>
          <w:rFonts w:hint="eastAsia" w:ascii="宋体" w:hAnsi="宋体" w:eastAsia="宋体" w:cs="宋体"/>
          <w:b/>
          <w:bCs/>
          <w:snapToGrid w:val="0"/>
          <w:color w:val="auto"/>
          <w:spacing w:val="-2"/>
          <w:sz w:val="24"/>
          <w:szCs w:val="24"/>
          <w:lang w:val="en-US" w:eastAsia="zh-CN" w:bidi="ar-SA"/>
        </w:rPr>
        <w:t>7.3</w:t>
      </w:r>
      <w:r>
        <w:rPr>
          <w:rFonts w:hint="eastAsia" w:ascii="宋体" w:hAnsi="宋体" w:eastAsia="宋体" w:cs="宋体"/>
          <w:snapToGrid w:val="0"/>
          <w:color w:val="auto"/>
          <w:spacing w:val="-2"/>
          <w:sz w:val="24"/>
          <w:szCs w:val="24"/>
          <w:lang w:val="en-US" w:eastAsia="zh-CN" w:bidi="ar-SA"/>
        </w:rPr>
        <w:t xml:space="preserve">  </w:t>
      </w:r>
      <w:r>
        <w:rPr>
          <w:rFonts w:hint="eastAsia" w:ascii="宋体" w:hAnsi="宋体" w:eastAsia="宋体" w:cs="宋体"/>
          <w:color w:val="auto"/>
          <w:spacing w:val="-2"/>
          <w:sz w:val="24"/>
          <w:szCs w:val="24"/>
          <w:highlight w:val="none"/>
          <w:lang w:val="en-US" w:eastAsia="zh-CN"/>
        </w:rPr>
        <w:t>因施工单位主要责任造成的工程变更调整原则上不予审批，由施工单位自行承担相关责任和费用。</w:t>
      </w:r>
    </w:p>
    <w:p w14:paraId="395ACED5">
      <w:pPr>
        <w:rPr>
          <w:rFonts w:hint="eastAsia" w:ascii="宋体" w:hAnsi="宋体" w:eastAsia="宋体" w:cs="宋体"/>
          <w:lang w:val="en-US" w:eastAsia="zh-CN"/>
        </w:rPr>
      </w:pPr>
    </w:p>
    <w:p w14:paraId="326B6CF0">
      <w:pPr>
        <w:rPr>
          <w:rFonts w:hint="eastAsia" w:ascii="宋体" w:hAnsi="宋体" w:eastAsia="宋体" w:cs="宋体"/>
          <w:lang w:val="en-US" w:eastAsia="zh-CN"/>
        </w:rPr>
      </w:pPr>
    </w:p>
    <w:p w14:paraId="5B389023">
      <w:pPr>
        <w:rPr>
          <w:rFonts w:hint="eastAsia" w:ascii="宋体" w:hAnsi="宋体" w:eastAsia="宋体" w:cs="宋体"/>
          <w:lang w:val="en-US" w:eastAsia="zh-CN"/>
        </w:rPr>
      </w:pPr>
    </w:p>
    <w:p w14:paraId="6444F542">
      <w:pPr>
        <w:rPr>
          <w:rFonts w:hint="eastAsia" w:ascii="宋体" w:hAnsi="宋体" w:eastAsia="宋体" w:cs="宋体"/>
          <w:lang w:val="en-US" w:eastAsia="zh-CN"/>
        </w:rPr>
      </w:pPr>
    </w:p>
    <w:p w14:paraId="2DBEE4CB">
      <w:pPr>
        <w:pStyle w:val="2"/>
        <w:rPr>
          <w:rFonts w:hint="eastAsia" w:ascii="宋体" w:hAnsi="宋体" w:eastAsia="宋体" w:cs="宋体"/>
          <w:lang w:val="en-US" w:eastAsia="zh-CN"/>
        </w:rPr>
      </w:pPr>
    </w:p>
    <w:p w14:paraId="6F60C68B">
      <w:pPr>
        <w:pStyle w:val="3"/>
        <w:rPr>
          <w:rFonts w:hint="eastAsia" w:ascii="宋体" w:hAnsi="宋体" w:eastAsia="宋体" w:cs="宋体"/>
          <w:lang w:val="en-US" w:eastAsia="zh-CN"/>
        </w:rPr>
      </w:pPr>
    </w:p>
    <w:p w14:paraId="3090C290">
      <w:pPr>
        <w:pStyle w:val="3"/>
        <w:rPr>
          <w:rFonts w:hint="eastAsia" w:ascii="宋体" w:hAnsi="宋体" w:eastAsia="宋体" w:cs="宋体"/>
          <w:lang w:val="en-US" w:eastAsia="zh-CN"/>
        </w:rPr>
      </w:pPr>
    </w:p>
    <w:p w14:paraId="4BCCC1B3">
      <w:pPr>
        <w:pStyle w:val="3"/>
        <w:rPr>
          <w:rFonts w:hint="eastAsia" w:ascii="宋体" w:hAnsi="宋体" w:eastAsia="宋体" w:cs="宋体"/>
          <w:lang w:val="en-US" w:eastAsia="zh-CN"/>
        </w:rPr>
      </w:pPr>
    </w:p>
    <w:p w14:paraId="710A8039">
      <w:pPr>
        <w:pStyle w:val="3"/>
        <w:rPr>
          <w:rFonts w:hint="eastAsia" w:ascii="宋体" w:hAnsi="宋体" w:eastAsia="宋体" w:cs="宋体"/>
          <w:lang w:val="en-US" w:eastAsia="zh-CN"/>
        </w:rPr>
      </w:pPr>
    </w:p>
    <w:p w14:paraId="625B85DA">
      <w:pPr>
        <w:pStyle w:val="3"/>
        <w:rPr>
          <w:rFonts w:hint="eastAsia" w:ascii="宋体" w:hAnsi="宋体" w:eastAsia="宋体" w:cs="宋体"/>
          <w:lang w:val="en-US" w:eastAsia="zh-CN"/>
        </w:rPr>
      </w:pPr>
    </w:p>
    <w:p w14:paraId="69EC856A">
      <w:pPr>
        <w:pStyle w:val="3"/>
        <w:rPr>
          <w:rFonts w:hint="eastAsia" w:ascii="宋体" w:hAnsi="宋体" w:eastAsia="宋体" w:cs="宋体"/>
          <w:lang w:val="en-US" w:eastAsia="zh-CN"/>
        </w:rPr>
      </w:pPr>
    </w:p>
    <w:p w14:paraId="232B3946">
      <w:pPr>
        <w:pStyle w:val="3"/>
        <w:rPr>
          <w:rFonts w:hint="eastAsia" w:ascii="宋体" w:hAnsi="宋体" w:eastAsia="宋体" w:cs="宋体"/>
          <w:lang w:val="en-US" w:eastAsia="zh-CN"/>
        </w:rPr>
      </w:pPr>
    </w:p>
    <w:p w14:paraId="7A626C72">
      <w:pPr>
        <w:pStyle w:val="3"/>
        <w:rPr>
          <w:rFonts w:hint="eastAsia" w:ascii="宋体" w:hAnsi="宋体" w:eastAsia="宋体" w:cs="宋体"/>
          <w:lang w:val="en-US" w:eastAsia="zh-CN"/>
        </w:rPr>
      </w:pPr>
    </w:p>
    <w:p w14:paraId="4B106805">
      <w:pPr>
        <w:pStyle w:val="3"/>
        <w:rPr>
          <w:rFonts w:hint="eastAsia" w:ascii="宋体" w:hAnsi="宋体" w:eastAsia="宋体" w:cs="宋体"/>
          <w:lang w:val="en-US" w:eastAsia="zh-CN"/>
        </w:rPr>
      </w:pPr>
    </w:p>
    <w:p w14:paraId="5CDE83D9">
      <w:pPr>
        <w:pStyle w:val="3"/>
        <w:rPr>
          <w:rFonts w:hint="eastAsia" w:ascii="宋体" w:hAnsi="宋体" w:eastAsia="宋体" w:cs="宋体"/>
          <w:lang w:val="en-US" w:eastAsia="zh-CN"/>
        </w:rPr>
      </w:pPr>
    </w:p>
    <w:p w14:paraId="115D0F48">
      <w:pPr>
        <w:pStyle w:val="3"/>
        <w:rPr>
          <w:rFonts w:hint="eastAsia" w:ascii="宋体" w:hAnsi="宋体" w:eastAsia="宋体" w:cs="宋体"/>
          <w:lang w:val="en-US" w:eastAsia="zh-CN"/>
        </w:rPr>
      </w:pPr>
    </w:p>
    <w:p w14:paraId="3880971A">
      <w:pPr>
        <w:pStyle w:val="3"/>
        <w:rPr>
          <w:rFonts w:hint="eastAsia" w:ascii="宋体" w:hAnsi="宋体" w:eastAsia="宋体" w:cs="宋体"/>
          <w:lang w:val="en-US" w:eastAsia="zh-CN"/>
        </w:rPr>
      </w:pPr>
    </w:p>
    <w:p w14:paraId="626284A0">
      <w:pPr>
        <w:pStyle w:val="3"/>
        <w:rPr>
          <w:rFonts w:hint="eastAsia" w:ascii="宋体" w:hAnsi="宋体" w:eastAsia="宋体" w:cs="宋体"/>
          <w:lang w:val="en-US" w:eastAsia="zh-CN"/>
        </w:rPr>
      </w:pPr>
    </w:p>
    <w:p w14:paraId="63559D49">
      <w:pPr>
        <w:pStyle w:val="3"/>
        <w:rPr>
          <w:rFonts w:hint="eastAsia" w:ascii="宋体" w:hAnsi="宋体" w:eastAsia="宋体" w:cs="宋体"/>
          <w:lang w:val="en-US" w:eastAsia="zh-CN"/>
        </w:rPr>
      </w:pPr>
    </w:p>
    <w:p w14:paraId="3012C022">
      <w:pPr>
        <w:pStyle w:val="3"/>
        <w:rPr>
          <w:rFonts w:hint="eastAsia" w:ascii="宋体" w:hAnsi="宋体" w:eastAsia="宋体" w:cs="宋体"/>
          <w:lang w:val="en-US" w:eastAsia="zh-CN"/>
        </w:rPr>
      </w:pPr>
    </w:p>
    <w:p w14:paraId="005F599A">
      <w:pPr>
        <w:pStyle w:val="3"/>
        <w:rPr>
          <w:rFonts w:hint="eastAsia" w:ascii="宋体" w:hAnsi="宋体" w:eastAsia="宋体" w:cs="宋体"/>
          <w:lang w:val="en-US" w:eastAsia="zh-CN"/>
        </w:rPr>
      </w:pPr>
    </w:p>
    <w:p w14:paraId="37F65D9D">
      <w:pPr>
        <w:pStyle w:val="3"/>
        <w:rPr>
          <w:rFonts w:hint="eastAsia" w:ascii="宋体" w:hAnsi="宋体" w:eastAsia="宋体" w:cs="宋体"/>
          <w:lang w:val="en-US" w:eastAsia="zh-CN"/>
        </w:rPr>
      </w:pPr>
    </w:p>
    <w:p w14:paraId="6116AF2C">
      <w:pPr>
        <w:pStyle w:val="3"/>
        <w:rPr>
          <w:rFonts w:hint="eastAsia" w:ascii="宋体" w:hAnsi="宋体" w:eastAsia="宋体" w:cs="宋体"/>
          <w:lang w:val="en-US" w:eastAsia="zh-CN"/>
        </w:rPr>
      </w:pPr>
    </w:p>
    <w:p w14:paraId="0422F8FB">
      <w:pPr>
        <w:pStyle w:val="3"/>
        <w:rPr>
          <w:rFonts w:hint="eastAsia" w:ascii="宋体" w:hAnsi="宋体" w:eastAsia="宋体" w:cs="宋体"/>
          <w:lang w:val="en-US" w:eastAsia="zh-CN"/>
        </w:rPr>
      </w:pPr>
    </w:p>
    <w:p w14:paraId="4CCADD31">
      <w:pPr>
        <w:pStyle w:val="3"/>
        <w:rPr>
          <w:rFonts w:hint="eastAsia" w:ascii="宋体" w:hAnsi="宋体" w:eastAsia="宋体" w:cs="宋体"/>
          <w:lang w:val="en-US" w:eastAsia="zh-CN"/>
        </w:rPr>
      </w:pPr>
    </w:p>
    <w:p w14:paraId="05789F80">
      <w:pPr>
        <w:pStyle w:val="3"/>
        <w:rPr>
          <w:rFonts w:hint="eastAsia" w:ascii="宋体" w:hAnsi="宋体" w:eastAsia="宋体" w:cs="宋体"/>
          <w:lang w:val="en-US" w:eastAsia="zh-CN"/>
        </w:rPr>
      </w:pPr>
    </w:p>
    <w:p w14:paraId="57461050">
      <w:pPr>
        <w:pStyle w:val="3"/>
        <w:rPr>
          <w:rFonts w:hint="eastAsia" w:ascii="宋体" w:hAnsi="宋体" w:eastAsia="宋体" w:cs="宋体"/>
          <w:lang w:val="en-US" w:eastAsia="zh-CN"/>
        </w:rPr>
      </w:pPr>
    </w:p>
    <w:p w14:paraId="58481775">
      <w:pPr>
        <w:pStyle w:val="3"/>
        <w:rPr>
          <w:rFonts w:hint="eastAsia" w:ascii="宋体" w:hAnsi="宋体" w:eastAsia="宋体" w:cs="宋体"/>
          <w:lang w:val="en-US" w:eastAsia="zh-CN"/>
        </w:rPr>
      </w:pPr>
    </w:p>
    <w:p w14:paraId="2E15B232">
      <w:pPr>
        <w:pStyle w:val="3"/>
        <w:rPr>
          <w:rFonts w:hint="eastAsia" w:ascii="宋体" w:hAnsi="宋体" w:eastAsia="宋体" w:cs="宋体"/>
          <w:lang w:val="en-US" w:eastAsia="zh-CN"/>
        </w:rPr>
      </w:pPr>
    </w:p>
    <w:p w14:paraId="00DB5AF1">
      <w:pPr>
        <w:pStyle w:val="3"/>
        <w:rPr>
          <w:rFonts w:hint="eastAsia" w:ascii="宋体" w:hAnsi="宋体" w:eastAsia="宋体" w:cs="宋体"/>
          <w:lang w:val="en-US" w:eastAsia="zh-CN"/>
        </w:rPr>
      </w:pPr>
    </w:p>
    <w:p w14:paraId="4062D6C0">
      <w:pPr>
        <w:pStyle w:val="3"/>
        <w:rPr>
          <w:rFonts w:hint="eastAsia" w:ascii="宋体" w:hAnsi="宋体" w:eastAsia="宋体" w:cs="宋体"/>
          <w:lang w:val="en-US" w:eastAsia="zh-CN"/>
        </w:rPr>
      </w:pPr>
    </w:p>
    <w:p w14:paraId="60BCDBEC">
      <w:pPr>
        <w:pStyle w:val="3"/>
        <w:rPr>
          <w:rFonts w:hint="eastAsia" w:ascii="宋体" w:hAnsi="宋体" w:eastAsia="宋体" w:cs="宋体"/>
          <w:lang w:val="en-US" w:eastAsia="zh-CN"/>
        </w:rPr>
      </w:pPr>
    </w:p>
    <w:p w14:paraId="33DC35FD">
      <w:pPr>
        <w:rPr>
          <w:rFonts w:hint="eastAsia" w:ascii="宋体" w:hAnsi="宋体" w:eastAsia="宋体" w:cs="宋体"/>
          <w:lang w:val="en-US" w:eastAsia="zh-CN"/>
        </w:rPr>
      </w:pPr>
    </w:p>
    <w:p w14:paraId="6E838CFD">
      <w:pPr>
        <w:rPr>
          <w:rFonts w:hint="eastAsia" w:ascii="宋体" w:hAnsi="宋体" w:eastAsia="宋体" w:cs="宋体"/>
          <w:lang w:val="en-US" w:eastAsia="zh-CN"/>
        </w:rPr>
      </w:pPr>
    </w:p>
    <w:p w14:paraId="1778A1B0">
      <w:pPr>
        <w:rPr>
          <w:rFonts w:hint="eastAsia" w:ascii="宋体" w:hAnsi="宋体" w:eastAsia="宋体" w:cs="宋体"/>
          <w:lang w:val="en-US" w:eastAsia="zh-CN"/>
        </w:rPr>
      </w:pPr>
    </w:p>
    <w:p w14:paraId="18DDD488">
      <w:pPr>
        <w:rPr>
          <w:rFonts w:hint="eastAsia" w:ascii="宋体" w:hAnsi="宋体" w:eastAsia="宋体" w:cs="宋体"/>
          <w:lang w:val="en-US" w:eastAsia="zh-CN"/>
        </w:rPr>
      </w:pPr>
    </w:p>
    <w:p w14:paraId="43A791B5">
      <w:pPr>
        <w:rPr>
          <w:rFonts w:hint="eastAsia" w:ascii="宋体" w:hAnsi="宋体" w:eastAsia="宋体" w:cs="宋体"/>
          <w:lang w:val="en-US" w:eastAsia="zh-CN"/>
        </w:rPr>
      </w:pPr>
    </w:p>
    <w:p w14:paraId="21CE945E">
      <w:pPr>
        <w:rPr>
          <w:rFonts w:hint="eastAsia" w:ascii="宋体" w:hAnsi="宋体" w:eastAsia="宋体" w:cs="宋体"/>
          <w:lang w:val="en-US" w:eastAsia="zh-CN"/>
        </w:rPr>
      </w:pPr>
    </w:p>
    <w:p w14:paraId="32A3C541">
      <w:pPr>
        <w:spacing w:before="78" w:line="360" w:lineRule="auto"/>
        <w:ind w:left="2923"/>
        <w:outlineLvl w:val="0"/>
        <w:rPr>
          <w:rFonts w:hint="eastAsia" w:ascii="宋体" w:hAnsi="宋体" w:eastAsia="宋体" w:cs="宋体"/>
          <w:color w:val="auto"/>
          <w:highlight w:val="none"/>
        </w:rPr>
      </w:pPr>
      <w:bookmarkStart w:id="174" w:name="bookmark86"/>
      <w:bookmarkEnd w:id="174"/>
      <w:bookmarkStart w:id="175" w:name="_Toc24083"/>
      <w:bookmarkStart w:id="176" w:name="_Toc7865"/>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拟签订合同的主要条款</w:t>
      </w:r>
      <w:bookmarkEnd w:id="175"/>
      <w:bookmarkEnd w:id="176"/>
    </w:p>
    <w:p w14:paraId="3ABC111F">
      <w:pPr>
        <w:spacing w:before="151" w:line="360" w:lineRule="auto"/>
        <w:ind w:left="476"/>
        <w:outlineLvl w:val="2"/>
        <w:rPr>
          <w:rFonts w:hint="eastAsia" w:ascii="宋体" w:hAnsi="宋体" w:eastAsia="宋体" w:cs="宋体"/>
          <w:b/>
          <w:bCs/>
          <w:color w:val="auto"/>
          <w:spacing w:val="-11"/>
          <w:sz w:val="24"/>
          <w:szCs w:val="24"/>
          <w:highlight w:val="none"/>
        </w:rPr>
      </w:pPr>
      <w:bookmarkStart w:id="177" w:name="_Toc9967"/>
      <w:bookmarkStart w:id="178" w:name="_Toc9942"/>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工程承包方式</w:t>
      </w:r>
      <w:bookmarkEnd w:id="177"/>
      <w:bookmarkEnd w:id="178"/>
    </w:p>
    <w:p w14:paraId="44A100EA">
      <w:pPr>
        <w:spacing w:before="153" w:line="360" w:lineRule="auto"/>
        <w:ind w:left="11" w:right="295" w:firstLine="487"/>
        <w:rPr>
          <w:rFonts w:hint="eastAsia" w:ascii="宋体" w:hAnsi="宋体" w:eastAsia="宋体" w:cs="宋体"/>
          <w:sz w:val="24"/>
          <w:szCs w:val="24"/>
        </w:rPr>
      </w:pPr>
      <w:r>
        <w:rPr>
          <w:rFonts w:hint="eastAsia" w:ascii="宋体" w:hAnsi="宋体" w:eastAsia="宋体" w:cs="宋体"/>
          <w:b/>
          <w:bCs/>
          <w:color w:val="auto"/>
          <w:sz w:val="24"/>
          <w:szCs w:val="24"/>
          <w:highlight w:val="none"/>
        </w:rPr>
        <w:t xml:space="preserve">1.1  </w:t>
      </w:r>
      <w:r>
        <w:rPr>
          <w:rFonts w:hint="eastAsia" w:ascii="宋体" w:hAnsi="宋体" w:eastAsia="宋体" w:cs="宋体"/>
          <w:sz w:val="24"/>
          <w:szCs w:val="24"/>
        </w:rPr>
        <w:t>承包人以中标价按包工包料、包质量、包安全包文明施工、包工期方式总承包施工，不允许转包和违法分包，如果确需分包须与发包人协商，在得到发包人和监理单位同意后报建设行政主管部门备案。</w:t>
      </w:r>
    </w:p>
    <w:p w14:paraId="357A5275">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498F9F49">
      <w:pPr>
        <w:spacing w:before="156"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7B11DC55">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2599FB52">
      <w:pPr>
        <w:spacing w:before="154" w:line="360" w:lineRule="auto"/>
        <w:ind w:left="580"/>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325AF9D0">
      <w:pPr>
        <w:spacing w:before="151" w:line="360" w:lineRule="auto"/>
        <w:ind w:left="476"/>
        <w:outlineLvl w:val="2"/>
        <w:rPr>
          <w:rFonts w:hint="eastAsia" w:ascii="宋体" w:hAnsi="宋体" w:eastAsia="宋体" w:cs="宋体"/>
          <w:b/>
          <w:bCs/>
          <w:color w:val="auto"/>
          <w:spacing w:val="-11"/>
          <w:sz w:val="24"/>
          <w:szCs w:val="24"/>
          <w:highlight w:val="none"/>
        </w:rPr>
      </w:pPr>
      <w:bookmarkStart w:id="179" w:name="bookmark88"/>
      <w:bookmarkEnd w:id="179"/>
      <w:bookmarkStart w:id="180" w:name="_Toc4294"/>
      <w:bookmarkStart w:id="181" w:name="_Toc27206"/>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工程结算原则</w:t>
      </w:r>
      <w:bookmarkEnd w:id="180"/>
      <w:bookmarkEnd w:id="181"/>
    </w:p>
    <w:p w14:paraId="6CAE90BE">
      <w:pPr>
        <w:spacing w:before="155" w:line="360" w:lineRule="auto"/>
        <w:ind w:left="12" w:right="231" w:firstLine="476"/>
        <w:rPr>
          <w:rFonts w:hint="eastAsia" w:ascii="宋体" w:hAnsi="宋体" w:eastAsia="宋体" w:cs="宋体"/>
          <w:b w:val="0"/>
          <w:bCs w:val="0"/>
          <w:color w:val="auto"/>
          <w:spacing w:val="2"/>
          <w:sz w:val="24"/>
          <w:szCs w:val="24"/>
          <w:highlight w:val="none"/>
        </w:rPr>
      </w:pPr>
      <w:bookmarkStart w:id="182" w:name="_Toc15115"/>
      <w:r>
        <w:rPr>
          <w:rFonts w:hint="eastAsia" w:ascii="宋体" w:hAnsi="宋体" w:eastAsia="宋体" w:cs="宋体"/>
          <w:b/>
          <w:bCs/>
          <w:color w:val="auto"/>
          <w:spacing w:val="2"/>
          <w:sz w:val="24"/>
          <w:szCs w:val="24"/>
          <w:highlight w:val="none"/>
        </w:rPr>
        <w:t xml:space="preserve">2.1 </w:t>
      </w:r>
      <w:r>
        <w:rPr>
          <w:rFonts w:hint="eastAsia" w:ascii="宋体" w:hAnsi="宋体" w:eastAsia="宋体" w:cs="宋体"/>
          <w:b w:val="0"/>
          <w:bCs w:val="0"/>
          <w:color w:val="auto"/>
          <w:spacing w:val="2"/>
          <w:sz w:val="24"/>
          <w:szCs w:val="24"/>
          <w:highlight w:val="none"/>
        </w:rPr>
        <w:t>承包人的投标总价为中标价，即为签约合同价。</w:t>
      </w:r>
      <w:bookmarkEnd w:id="182"/>
    </w:p>
    <w:p w14:paraId="467FC701">
      <w:pPr>
        <w:spacing w:before="155" w:line="360"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量按《建设工程工程量清单计价规范》（GB50500—2013）对工程计量的规定进行计量，</w:t>
      </w:r>
      <w:r>
        <w:rPr>
          <w:rFonts w:hint="eastAsia" w:ascii="宋体" w:hAnsi="宋体" w:eastAsia="宋体" w:cs="宋体"/>
          <w:color w:val="auto"/>
          <w:spacing w:val="-2"/>
          <w:sz w:val="24"/>
          <w:szCs w:val="24"/>
          <w:highlight w:val="none"/>
        </w:rPr>
        <w:t>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198451DE">
      <w:pPr>
        <w:keepNext w:val="0"/>
        <w:keepLines w:val="0"/>
        <w:pageBreakBefore w:val="0"/>
        <w:widowControl w:val="0"/>
        <w:kinsoku w:val="0"/>
        <w:wordWrap/>
        <w:overflowPunct/>
        <w:topLinePunct w:val="0"/>
        <w:autoSpaceDE w:val="0"/>
        <w:autoSpaceDN w:val="0"/>
        <w:bidi w:val="0"/>
        <w:adjustRightInd w:val="0"/>
        <w:snapToGrid w:val="0"/>
        <w:spacing w:before="38" w:line="360" w:lineRule="auto"/>
        <w:ind w:left="12" w:right="183"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54A4EF37">
      <w:pPr>
        <w:keepNext w:val="0"/>
        <w:keepLines w:val="0"/>
        <w:pageBreakBefore w:val="0"/>
        <w:widowControl w:val="0"/>
        <w:kinsoku w:val="0"/>
        <w:wordWrap/>
        <w:overflowPunct/>
        <w:topLinePunct w:val="0"/>
        <w:autoSpaceDE w:val="0"/>
        <w:autoSpaceDN w:val="0"/>
        <w:bidi w:val="0"/>
        <w:adjustRightInd w:val="0"/>
        <w:snapToGrid w:val="0"/>
        <w:spacing w:before="22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56C8E9DF">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491AEAF4">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12" w:right="183" w:firstLine="479"/>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”）前28天。</w:t>
      </w:r>
    </w:p>
    <w:p w14:paraId="4F023809">
      <w:pPr>
        <w:keepNext w:val="0"/>
        <w:keepLines w:val="0"/>
        <w:pageBreakBefore w:val="0"/>
        <w:widowControl w:val="0"/>
        <w:kinsoku w:val="0"/>
        <w:wordWrap/>
        <w:overflowPunct/>
        <w:topLinePunct w:val="0"/>
        <w:autoSpaceDE w:val="0"/>
        <w:autoSpaceDN w:val="0"/>
        <w:bidi w:val="0"/>
        <w:adjustRightInd w:val="0"/>
        <w:snapToGrid w:val="0"/>
        <w:spacing w:before="33" w:line="360" w:lineRule="auto"/>
        <w:ind w:left="1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1EE4469D">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0ED2F0AF">
      <w:pPr>
        <w:keepNext w:val="0"/>
        <w:keepLines w:val="0"/>
        <w:pageBreakBefore w:val="0"/>
        <w:widowControl w:val="0"/>
        <w:kinsoku w:val="0"/>
        <w:wordWrap/>
        <w:overflowPunct/>
        <w:topLinePunct w:val="0"/>
        <w:autoSpaceDE w:val="0"/>
        <w:autoSpaceDN w:val="0"/>
        <w:bidi w:val="0"/>
        <w:adjustRightInd w:val="0"/>
        <w:snapToGrid w:val="0"/>
        <w:spacing w:before="158"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合同履行期间，当应予计算的实际工程量与招标工程量清单出现偏差或因工程变更引起已标价工程量清单项目的工程数量发生变化时，工程量偏差或变化在15%以</w:t>
      </w:r>
      <w:r>
        <w:rPr>
          <w:rFonts w:hint="eastAsia" w:ascii="宋体" w:hAnsi="宋体" w:eastAsia="宋体" w:cs="宋体"/>
          <w:color w:val="auto"/>
          <w:spacing w:val="-4"/>
          <w:sz w:val="24"/>
          <w:szCs w:val="24"/>
          <w:highlight w:val="none"/>
        </w:rPr>
        <w:t>内（含15%）的，其综合单价不予调整；工程量偏差或变化超过15%的，按照以下规定</w:t>
      </w:r>
      <w:r>
        <w:rPr>
          <w:rFonts w:hint="eastAsia" w:ascii="宋体" w:hAnsi="宋体" w:eastAsia="宋体" w:cs="宋体"/>
          <w:color w:val="auto"/>
          <w:spacing w:val="-3"/>
          <w:sz w:val="24"/>
          <w:szCs w:val="24"/>
          <w:highlight w:val="none"/>
        </w:rPr>
        <w:t>调整：</w:t>
      </w:r>
    </w:p>
    <w:p w14:paraId="0C3E80F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2" w:firstLine="478"/>
        <w:jc w:val="both"/>
        <w:textAlignment w:val="baseline"/>
        <w:rPr>
          <w:rFonts w:hint="eastAsia" w:ascii="宋体" w:hAnsi="宋体" w:eastAsia="宋体" w:cs="宋体"/>
          <w:color w:val="auto"/>
          <w:sz w:val="24"/>
          <w:szCs w:val="24"/>
          <w:highlight w:val="none"/>
        </w:rPr>
      </w:pPr>
      <w:bookmarkStart w:id="183" w:name="bookmark142"/>
      <w:bookmarkEnd w:id="183"/>
      <w:r>
        <w:rPr>
          <w:rFonts w:hint="eastAsia" w:ascii="宋体" w:hAnsi="宋体" w:eastAsia="宋体" w:cs="宋体"/>
          <w:color w:val="auto"/>
          <w:spacing w:val="-3"/>
          <w:sz w:val="24"/>
          <w:szCs w:val="24"/>
          <w:highlight w:val="none"/>
        </w:rPr>
        <w:t>对于合理报价的清单项目，当工程量增加超过15%时，增加部分的工程量的综合单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r>
        <w:rPr>
          <w:rFonts w:hint="eastAsia" w:ascii="宋体" w:hAnsi="宋体" w:eastAsia="宋体" w:cs="宋体"/>
          <w:color w:val="auto"/>
          <w:spacing w:val="-1"/>
          <w:sz w:val="24"/>
          <w:szCs w:val="24"/>
          <w:highlight w:val="none"/>
        </w:rPr>
        <w:t>。</w:t>
      </w:r>
    </w:p>
    <w:p w14:paraId="592BA3DF">
      <w:pPr>
        <w:spacing w:before="97" w:line="360"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06C0A7F8">
      <w:pPr>
        <w:spacing w:before="36" w:line="360" w:lineRule="auto"/>
        <w:ind w:firstLine="462"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以招标控制价中《分部分项工程和单价措施项目清单与计价表》子目相对应综合单</w:t>
      </w:r>
      <w:r>
        <w:rPr>
          <w:rFonts w:hint="eastAsia" w:ascii="宋体" w:hAnsi="宋体" w:eastAsia="宋体" w:cs="宋体"/>
          <w:b/>
          <w:bCs/>
          <w:color w:val="auto"/>
          <w:spacing w:val="-3"/>
          <w:sz w:val="24"/>
          <w:szCs w:val="24"/>
          <w:highlight w:val="none"/>
        </w:rPr>
        <w:t>价×（1-中标下浮率）。</w:t>
      </w:r>
    </w:p>
    <w:p w14:paraId="61298CCC">
      <w:pPr>
        <w:spacing w:before="36" w:line="360" w:lineRule="auto"/>
        <w:ind w:firstLine="462" w:firstLineChars="200"/>
        <w:rPr>
          <w:rFonts w:hint="eastAsia" w:ascii="宋体" w:hAnsi="宋体" w:eastAsia="宋体" w:cs="宋体"/>
          <w:b/>
          <w:bCs/>
          <w:color w:val="auto"/>
          <w:spacing w:val="-5"/>
          <w:sz w:val="24"/>
          <w:szCs w:val="24"/>
          <w:highlight w:val="none"/>
        </w:rPr>
      </w:pPr>
      <w:bookmarkStart w:id="184" w:name="_Toc12035"/>
      <w:bookmarkStart w:id="185" w:name="_Toc18478"/>
      <w:bookmarkStart w:id="186" w:name="_Toc13345"/>
      <w:r>
        <w:rPr>
          <w:rFonts w:hint="eastAsia" w:ascii="宋体" w:hAnsi="宋体" w:eastAsia="宋体" w:cs="宋体"/>
          <w:b/>
          <w:bCs/>
          <w:color w:val="auto"/>
          <w:spacing w:val="-5"/>
          <w:sz w:val="24"/>
          <w:szCs w:val="24"/>
          <w:highlight w:val="none"/>
        </w:rPr>
        <w:t>中标下浮率=[1-（中标价-中标绿色施工安全防护措施费-暂列金额-暂估价）/（</w:t>
      </w:r>
      <w:bookmarkEnd w:id="184"/>
      <w:bookmarkEnd w:id="185"/>
      <w:bookmarkStart w:id="187" w:name="_Toc15512"/>
      <w:bookmarkStart w:id="188" w:name="_Toc13602"/>
      <w:r>
        <w:rPr>
          <w:rFonts w:hint="eastAsia" w:ascii="宋体" w:hAnsi="宋体" w:eastAsia="宋体" w:cs="宋体"/>
          <w:b/>
          <w:bCs/>
          <w:color w:val="auto"/>
          <w:spacing w:val="-5"/>
          <w:sz w:val="24"/>
          <w:szCs w:val="24"/>
          <w:highlight w:val="none"/>
        </w:rPr>
        <w:t>招标控制价-控制价绿色施工安全防护措施费-暂列金额-暂估价）]×100%</w:t>
      </w:r>
      <w:bookmarkEnd w:id="186"/>
      <w:bookmarkEnd w:id="187"/>
      <w:bookmarkEnd w:id="188"/>
    </w:p>
    <w:p w14:paraId="39BE2C13">
      <w:pPr>
        <w:spacing w:before="123" w:line="360"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782B9F57">
      <w:pPr>
        <w:keepNext w:val="0"/>
        <w:keepLines w:val="0"/>
        <w:pageBreakBefore w:val="0"/>
        <w:widowControl w:val="0"/>
        <w:kinsoku w:val="0"/>
        <w:wordWrap/>
        <w:overflowPunct/>
        <w:topLinePunct w:val="0"/>
        <w:autoSpaceDE w:val="0"/>
        <w:autoSpaceDN w:val="0"/>
        <w:bidi w:val="0"/>
        <w:adjustRightInd w:val="0"/>
        <w:snapToGrid w:val="0"/>
        <w:spacing w:before="129" w:line="360" w:lineRule="auto"/>
        <w:ind w:left="12" w:right="179"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2.3.2.1</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7886ACB1">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29131641">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19" w:right="179" w:firstLine="46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2F17D402">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before="78" w:line="360" w:lineRule="auto"/>
        <w:ind w:firstLine="242" w:firstLineChars="100"/>
        <w:textAlignment w:val="baseline"/>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89" w:name="bookmark143"/>
      <w:bookmarkEnd w:id="189"/>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b/>
          <w:bCs/>
          <w:color w:val="auto"/>
          <w:spacing w:val="-8"/>
          <w:sz w:val="24"/>
          <w:szCs w:val="24"/>
          <w:highlight w:val="none"/>
        </w:rPr>
        <w:t>4.2条被认定为不平衡报价的清单项目，</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本章2.3.2.1的</w:t>
      </w:r>
      <w:r>
        <w:rPr>
          <w:rFonts w:hint="eastAsia" w:ascii="宋体" w:hAnsi="宋体" w:eastAsia="宋体" w:cs="宋体"/>
          <w:b/>
          <w:bCs/>
          <w:color w:val="auto"/>
          <w:spacing w:val="-2"/>
          <w:sz w:val="24"/>
          <w:szCs w:val="24"/>
          <w:highlight w:val="none"/>
        </w:rPr>
        <w:t>方法调整。】</w:t>
      </w:r>
    </w:p>
    <w:p w14:paraId="5D4EF1F6">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8" w:line="360" w:lineRule="auto"/>
        <w:ind w:firstLine="237"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条被认定为不平衡报价的清单项目，变更工程项目的单价按照本章2.3.2.1的方法调整。</w:t>
      </w:r>
    </w:p>
    <w:p w14:paraId="4FD0666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38" w:line="360" w:lineRule="auto"/>
        <w:ind w:right="81" w:rightChars="0" w:firstLine="242" w:firstLineChars="1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0D466BC9">
      <w:pPr>
        <w:keepNext w:val="0"/>
        <w:keepLines w:val="0"/>
        <w:pageBreakBefore w:val="0"/>
        <w:widowControl w:val="0"/>
        <w:kinsoku w:val="0"/>
        <w:wordWrap/>
        <w:overflowPunct/>
        <w:topLinePunct w:val="0"/>
        <w:autoSpaceDE w:val="0"/>
        <w:autoSpaceDN w:val="0"/>
        <w:bidi w:val="0"/>
        <w:adjustRightInd w:val="0"/>
        <w:snapToGrid w:val="0"/>
        <w:spacing w:before="126" w:line="360" w:lineRule="auto"/>
        <w:ind w:left="29" w:right="21" w:firstLine="50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中标下浮率=[1-（中标价-中标绿色施工安全防护措施费-暂列</w:t>
      </w:r>
      <w:r>
        <w:rPr>
          <w:rFonts w:hint="eastAsia" w:ascii="宋体" w:hAnsi="宋体" w:eastAsia="宋体" w:cs="宋体"/>
          <w:b/>
          <w:bCs/>
          <w:color w:val="auto"/>
          <w:spacing w:val="-3"/>
          <w:sz w:val="24"/>
          <w:szCs w:val="24"/>
          <w:highlight w:val="none"/>
        </w:rPr>
        <w:t>金额-暂估价）/（招标控制价-控制价绿色施工安全防护措施费-暂列金额-暂估价）]×100%</w:t>
      </w:r>
    </w:p>
    <w:p w14:paraId="313D8513">
      <w:pPr>
        <w:spacing w:before="145" w:line="360" w:lineRule="auto"/>
        <w:ind w:right="81" w:firstLine="242"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已标价工程量清单中没有适用也没有类似于变更工程项目，且施工当月项目</w:t>
      </w:r>
      <w:r>
        <w:rPr>
          <w:rFonts w:hint="eastAsia" w:ascii="宋体" w:hAnsi="宋体" w:eastAsia="宋体" w:cs="宋体"/>
          <w:color w:val="auto"/>
          <w:spacing w:val="-1"/>
          <w:sz w:val="24"/>
          <w:szCs w:val="24"/>
          <w:highlight w:val="none"/>
        </w:rPr>
        <w:t>所在地工程造价管理机构发布的价格信息缺</w:t>
      </w:r>
      <w:r>
        <w:rPr>
          <w:rFonts w:hint="eastAsia" w:ascii="宋体" w:hAnsi="宋体" w:eastAsia="宋体" w:cs="宋体"/>
          <w:color w:val="auto"/>
          <w:spacing w:val="-2"/>
          <w:sz w:val="24"/>
          <w:szCs w:val="24"/>
          <w:highlight w:val="none"/>
        </w:rPr>
        <w:t>项的，由承包人根据变更工程资料、计量规</w:t>
      </w:r>
      <w:r>
        <w:rPr>
          <w:rFonts w:hint="eastAsia" w:ascii="宋体" w:hAnsi="宋体" w:eastAsia="宋体" w:cs="宋体"/>
          <w:color w:val="auto"/>
          <w:spacing w:val="-1"/>
          <w:sz w:val="24"/>
          <w:szCs w:val="24"/>
          <w:highlight w:val="none"/>
        </w:rPr>
        <w:t>则、计价办法和通过市场调查等取得有合法</w:t>
      </w:r>
      <w:r>
        <w:rPr>
          <w:rFonts w:hint="eastAsia" w:ascii="宋体" w:hAnsi="宋体" w:eastAsia="宋体" w:cs="宋体"/>
          <w:color w:val="auto"/>
          <w:spacing w:val="-2"/>
          <w:sz w:val="24"/>
          <w:szCs w:val="24"/>
          <w:highlight w:val="none"/>
        </w:rPr>
        <w:t>依据的市场价格提出变更工程项目的单价，</w:t>
      </w:r>
      <w:r>
        <w:rPr>
          <w:rFonts w:hint="eastAsia" w:ascii="宋体" w:hAnsi="宋体" w:eastAsia="宋体" w:cs="宋体"/>
          <w:color w:val="auto"/>
          <w:spacing w:val="-1"/>
          <w:sz w:val="24"/>
          <w:szCs w:val="24"/>
          <w:highlight w:val="none"/>
        </w:rPr>
        <w:t>报发包人确认后调整。</w:t>
      </w:r>
    </w:p>
    <w:p w14:paraId="4CB9A71B">
      <w:pPr>
        <w:spacing w:before="156" w:line="360"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54AFFB1B">
      <w:pPr>
        <w:spacing w:before="152" w:line="360" w:lineRule="auto"/>
        <w:ind w:left="49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（1）绿色施工安全防护措施费应按照实际发生变化的措施项目计算。</w:t>
      </w:r>
    </w:p>
    <w:p w14:paraId="6BE2B1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（2）采用单价计算的措施项目费，应按照实际发生变化的措施项目，按本章</w:t>
      </w:r>
      <w:r>
        <w:rPr>
          <w:rFonts w:hint="eastAsia" w:ascii="宋体" w:hAnsi="宋体" w:eastAsia="宋体" w:cs="宋体"/>
          <w:sz w:val="24"/>
          <w:szCs w:val="24"/>
          <w:lang w:eastAsia="zh-CN"/>
        </w:rPr>
        <w:t>第</w:t>
      </w:r>
      <w:r>
        <w:rPr>
          <w:rFonts w:hint="eastAsia" w:ascii="宋体" w:hAnsi="宋体" w:eastAsia="宋体" w:cs="宋体"/>
          <w:sz w:val="24"/>
          <w:szCs w:val="24"/>
        </w:rPr>
        <w:t>2.3.3.1子目的规定确定单价。</w:t>
      </w:r>
    </w:p>
    <w:p w14:paraId="245221E6">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w:t>
      </w:r>
      <w:r>
        <w:rPr>
          <w:rFonts w:hint="eastAsia" w:ascii="宋体" w:hAnsi="宋体" w:eastAsia="宋体" w:cs="宋体"/>
          <w:color w:val="auto"/>
          <w:spacing w:val="-3"/>
          <w:sz w:val="24"/>
          <w:szCs w:val="24"/>
          <w:highlight w:val="none"/>
          <w:lang w:val="en-US" w:eastAsia="zh-CN"/>
        </w:rPr>
        <w:t>=</w:t>
      </w:r>
      <w:r>
        <w:rPr>
          <w:rFonts w:hint="eastAsia" w:ascii="宋体" w:hAnsi="宋体" w:eastAsia="宋体" w:cs="宋体"/>
          <w:color w:val="auto"/>
          <w:spacing w:val="-3"/>
          <w:sz w:val="24"/>
          <w:szCs w:val="24"/>
          <w:highlight w:val="none"/>
        </w:rPr>
        <w:t>按照实际变化调整后的金额×（1-中标下浮率）。</w:t>
      </w:r>
    </w:p>
    <w:p w14:paraId="3A0EE7AE">
      <w:pPr>
        <w:spacing w:before="157" w:line="360"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70B170F6">
      <w:pPr>
        <w:spacing w:before="35" w:line="360"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6426E076">
      <w:pPr>
        <w:spacing w:before="155"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181F3456">
      <w:pPr>
        <w:spacing w:before="78" w:line="360" w:lineRule="auto"/>
        <w:ind w:left="8" w:right="108" w:firstLine="480"/>
        <w:jc w:val="both"/>
        <w:rPr>
          <w:rFonts w:hint="eastAsia" w:ascii="宋体" w:hAnsi="宋体" w:eastAsia="宋体" w:cs="宋体"/>
          <w:color w:val="auto"/>
          <w:sz w:val="24"/>
          <w:szCs w:val="24"/>
          <w:highlight w:val="none"/>
        </w:rPr>
      </w:pPr>
      <w:bookmarkStart w:id="190" w:name="bookmark144"/>
      <w:bookmarkEnd w:id="190"/>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b/>
          <w:bCs/>
          <w:color w:val="auto"/>
          <w:sz w:val="24"/>
          <w:szCs w:val="24"/>
          <w:highlight w:val="none"/>
        </w:rPr>
        <w:t>2.3.3</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4B87AA0B">
      <w:pPr>
        <w:spacing w:before="38" w:line="360"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7D9446FA">
      <w:pPr>
        <w:spacing w:before="152" w:line="360"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子目的规定确定单价，并调整合同价款。</w:t>
      </w:r>
    </w:p>
    <w:p w14:paraId="28F35D72">
      <w:pPr>
        <w:spacing w:before="157" w:line="360"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38301309">
      <w:pPr>
        <w:spacing w:before="156" w:line="360"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32D6DE66">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snapToGrid w:val="0"/>
          <w:color w:val="000000"/>
          <w:kern w:val="0"/>
          <w:sz w:val="24"/>
          <w:szCs w:val="24"/>
          <w:highlight w:val="none"/>
        </w:rPr>
        <w:t>2.3.6</w:t>
      </w:r>
      <w:r>
        <w:rPr>
          <w:rFonts w:hint="eastAsia" w:ascii="宋体" w:hAnsi="宋体" w:eastAsia="宋体" w:cs="宋体"/>
          <w:bCs/>
          <w:snapToGrid w:val="0"/>
          <w:color w:val="000000"/>
          <w:kern w:val="0"/>
          <w:sz w:val="24"/>
          <w:szCs w:val="24"/>
          <w:highlight w:val="none"/>
        </w:rPr>
        <w:t xml:space="preserve"> 物价变化</w:t>
      </w:r>
    </w:p>
    <w:p w14:paraId="355D11F6">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snapToGrid w:val="0"/>
          <w:color w:val="000000"/>
          <w:kern w:val="0"/>
          <w:sz w:val="24"/>
          <w:szCs w:val="24"/>
          <w:highlight w:val="none"/>
        </w:rPr>
        <w:t>2.3.6.1</w:t>
      </w:r>
      <w:r>
        <w:rPr>
          <w:rFonts w:hint="eastAsia" w:ascii="宋体" w:hAnsi="宋体" w:eastAsia="宋体" w:cs="宋体"/>
          <w:bCs/>
          <w:snapToGrid w:val="0"/>
          <w:color w:val="000000"/>
          <w:kern w:val="0"/>
          <w:sz w:val="24"/>
          <w:szCs w:val="24"/>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000000"/>
          <w:kern w:val="0"/>
          <w:sz w:val="24"/>
          <w:szCs w:val="24"/>
          <w:highlight w:val="none"/>
        </w:rPr>
        <w:t>以下简称“中标人工费”</w:t>
      </w:r>
      <w:r>
        <w:rPr>
          <w:rFonts w:hint="eastAsia" w:ascii="宋体" w:hAnsi="宋体" w:eastAsia="宋体" w:cs="宋体"/>
          <w:bCs/>
          <w:snapToGrid w:val="0"/>
          <w:color w:val="000000"/>
          <w:kern w:val="0"/>
          <w:sz w:val="24"/>
          <w:szCs w:val="24"/>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284BC422">
      <w:pPr>
        <w:wordWrap w:val="0"/>
        <w:adjustRightInd w:val="0"/>
        <w:snapToGrid w:val="0"/>
        <w:spacing w:line="360" w:lineRule="auto"/>
        <w:ind w:firstLine="480" w:firstLineChars="200"/>
        <w:jc w:val="center"/>
        <w:rPr>
          <w:rFonts w:hint="eastAsia" w:ascii="宋体" w:hAnsi="宋体" w:eastAsia="宋体" w:cs="宋体"/>
          <w:bCs/>
          <w:snapToGrid w:val="0"/>
          <w:color w:val="000000"/>
          <w:kern w:val="0"/>
          <w:sz w:val="24"/>
          <w:szCs w:val="24"/>
          <w:highlight w:val="none"/>
        </w:rPr>
      </w:pPr>
      <w:r>
        <w:rPr>
          <w:rFonts w:hint="eastAsia" w:ascii="宋体" w:hAnsi="宋体" w:eastAsia="宋体" w:cs="宋体"/>
          <w:bCs/>
          <w:snapToGrid w:val="0"/>
          <w:color w:val="000000"/>
          <w:kern w:val="0"/>
          <w:sz w:val="24"/>
          <w:szCs w:val="24"/>
          <w:highlight w:val="none"/>
        </w:rPr>
        <w:t>结算人工费＝中标人工费×F</w:t>
      </w:r>
      <w:r>
        <w:rPr>
          <w:rFonts w:hint="eastAsia" w:ascii="宋体" w:hAnsi="宋体" w:eastAsia="宋体" w:cs="宋体"/>
          <w:bCs/>
          <w:snapToGrid w:val="0"/>
          <w:color w:val="000000"/>
          <w:kern w:val="0"/>
          <w:sz w:val="24"/>
          <w:szCs w:val="24"/>
          <w:highlight w:val="none"/>
          <w:vertAlign w:val="subscript"/>
        </w:rPr>
        <w:t>1</w:t>
      </w:r>
    </w:p>
    <w:p w14:paraId="4A78476B">
      <w:pPr>
        <w:wordWrap w:val="0"/>
        <w:adjustRightInd w:val="0"/>
        <w:snapToGrid w:val="0"/>
        <w:spacing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Cs/>
          <w:snapToGrid w:val="0"/>
          <w:color w:val="000000"/>
          <w:kern w:val="0"/>
          <w:sz w:val="24"/>
          <w:szCs w:val="24"/>
          <w:highlight w:val="none"/>
        </w:rPr>
        <w:t>式中，F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为施工当月项目所在地工程造价管理机构发布的动态人工调整系数。</w:t>
      </w:r>
    </w:p>
    <w:p w14:paraId="7E20A54D">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2.3.6.2</w:t>
      </w:r>
      <w:r>
        <w:rPr>
          <w:rFonts w:hint="eastAsia" w:ascii="宋体" w:hAnsi="宋体" w:eastAsia="宋体" w:cs="宋体"/>
          <w:snapToGrid w:val="0"/>
          <w:color w:val="000000"/>
          <w:kern w:val="0"/>
          <w:sz w:val="24"/>
          <w:szCs w:val="24"/>
          <w:highlight w:val="none"/>
        </w:rPr>
        <w:t xml:space="preserve"> 本招标项目约定，材料、工程设备单价涨跌风险幅度值A为</w:t>
      </w:r>
      <w:r>
        <w:rPr>
          <w:rFonts w:hint="eastAsia" w:ascii="宋体" w:hAnsi="宋体" w:eastAsia="宋体" w:cs="宋体"/>
          <w:snapToGrid w:val="0"/>
          <w:color w:val="000000"/>
          <w:kern w:val="0"/>
          <w:sz w:val="24"/>
          <w:szCs w:val="24"/>
          <w:highlight w:val="none"/>
          <w:u w:val="single"/>
        </w:rPr>
        <w:t xml:space="preserve"> 5% </w:t>
      </w:r>
      <w:r>
        <w:rPr>
          <w:rFonts w:hint="eastAsia" w:ascii="宋体" w:hAnsi="宋体" w:eastAsia="宋体" w:cs="宋体"/>
          <w:snapToGrid w:val="0"/>
          <w:color w:val="000000"/>
          <w:kern w:val="0"/>
          <w:sz w:val="24"/>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739995F">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a</w:t>
      </w:r>
      <w:r>
        <w:rPr>
          <w:rFonts w:hint="eastAsia" w:ascii="宋体" w:hAnsi="宋体" w:eastAsia="宋体" w:cs="宋体"/>
          <w:snapToGrid w:val="0"/>
          <w:color w:val="000000"/>
          <w:kern w:val="0"/>
          <w:sz w:val="24"/>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79394416">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5" o:spt="75" type="#_x0000_t75" style="height:33.95pt;width:200.95pt;" o:ole="t" filled="f" stroked="f" coordsize="21600,21600">
            <v:path/>
            <v:fill on="f" focussize="0,0"/>
            <v:stroke on="f"/>
            <v:imagedata r:id="rId9" o:title=""/>
            <o:lock v:ext="edit" grouping="f" rotation="f" text="f" aspectratio="t"/>
            <w10:wrap type="none"/>
            <w10:anchorlock/>
          </v:shape>
          <o:OLEObject Type="Embed" ProgID="Equation.KSEE3" ShapeID="_x0000_i1025" DrawAspect="Content" ObjectID="_1468075725" r:id="rId8">
            <o:LockedField>false</o:LockedField>
          </o:OLEObject>
        </w:object>
      </w:r>
    </w:p>
    <w:p w14:paraId="0E0A46F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26" o:spt="75" type="#_x0000_t75" style="height:33.95pt;width:198.95pt;" o:ole="t" filled="f" stroked="f" coordsize="21600,21600">
            <v:path/>
            <v:fill on="f" focussize="0,0"/>
            <v:stroke on="f"/>
            <v:imagedata r:id="rId11" o:title=""/>
            <o:lock v:ext="edit" grouping="f" rotation="f" text="f" aspectratio="t"/>
            <w10:wrap type="none"/>
            <w10:anchorlock/>
          </v:shape>
          <o:OLEObject Type="Embed" ProgID="Equation.KSEE3" ShapeID="_x0000_i1026" DrawAspect="Content" ObjectID="_1468075726" r:id="rId10">
            <o:LockedField>false</o:LockedField>
          </o:OLEObject>
        </w:object>
      </w:r>
    </w:p>
    <w:p w14:paraId="469FBED9">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b</w:t>
      </w:r>
      <w:r>
        <w:rPr>
          <w:rFonts w:hint="eastAsia" w:ascii="宋体" w:hAnsi="宋体" w:eastAsia="宋体" w:cs="宋体"/>
          <w:snapToGrid w:val="0"/>
          <w:color w:val="000000"/>
          <w:kern w:val="0"/>
          <w:sz w:val="24"/>
          <w:szCs w:val="24"/>
          <w:highlight w:val="none"/>
        </w:rPr>
        <w:t>．如果中标单价高于基准单价，该材料、工程设备的结算单价调整公式为：</w:t>
      </w:r>
    </w:p>
    <w:p w14:paraId="05E199EB">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7" o:spt="75" type="#_x0000_t75" style="height:33.95pt;width:198.95pt;" o:ole="t" filled="f" stroked="f" coordsize="21600,21600">
            <v:path/>
            <v:fill on="f" focussize="0,0"/>
            <v:stroke on="f"/>
            <v:imagedata r:id="rId13" o:title=""/>
            <o:lock v:ext="edit" grouping="f" rotation="f" text="f" aspectratio="t"/>
            <w10:wrap type="none"/>
            <w10:anchorlock/>
          </v:shape>
          <o:OLEObject Type="Embed" ProgID="Equation.KSEE3" ShapeID="_x0000_i1027" DrawAspect="Content" ObjectID="_1468075727" r:id="rId12">
            <o:LockedField>false</o:LockedField>
          </o:OLEObject>
        </w:object>
      </w:r>
    </w:p>
    <w:p w14:paraId="650BCA82">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28" o:spt="75" type="#_x0000_t75" style="height:33.95pt;width:200.95pt;" o:ole="t" filled="f" stroked="f" coordsize="21600,21600">
            <v:path/>
            <v:fill on="f" focussize="0,0"/>
            <v:stroke on="f"/>
            <v:imagedata r:id="rId15" o:title=""/>
            <o:lock v:ext="edit" grouping="f" rotation="f" text="f" aspectratio="t"/>
            <w10:wrap type="none"/>
            <w10:anchorlock/>
          </v:shape>
          <o:OLEObject Type="Embed" ProgID="Equation.KSEE3" ShapeID="_x0000_i1028" DrawAspect="Content" ObjectID="_1468075728" r:id="rId14">
            <o:LockedField>false</o:LockedField>
          </o:OLEObject>
        </w:object>
      </w:r>
    </w:p>
    <w:p w14:paraId="7D15EB0B">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c</w:t>
      </w:r>
      <w:r>
        <w:rPr>
          <w:rFonts w:hint="eastAsia" w:ascii="宋体" w:hAnsi="宋体" w:eastAsia="宋体" w:cs="宋体"/>
          <w:snapToGrid w:val="0"/>
          <w:color w:val="000000"/>
          <w:kern w:val="0"/>
          <w:sz w:val="24"/>
          <w:szCs w:val="24"/>
          <w:highlight w:val="none"/>
        </w:rPr>
        <w:t>．如果中标单价等于基准单价，该材料、工程设备的结算单价调整公式为：</w:t>
      </w:r>
    </w:p>
    <w:p w14:paraId="033882D4">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9" o:spt="75" type="#_x0000_t75" style="height:33.95pt;width:200.95pt;" o:ole="t" filled="f" stroked="f" coordsize="21600,21600">
            <v:path/>
            <v:fill on="f" focussize="0,0"/>
            <v:stroke on="f"/>
            <v:imagedata r:id="rId17" o:title=""/>
            <o:lock v:ext="edit" grouping="f" rotation="f" text="f" aspectratio="t"/>
            <w10:wrap type="none"/>
            <w10:anchorlock/>
          </v:shape>
          <o:OLEObject Type="Embed" ProgID="Equation.KSEE3" ShapeID="_x0000_i1029" DrawAspect="Content" ObjectID="_1468075729" r:id="rId16">
            <o:LockedField>false</o:LockedField>
          </o:OLEObject>
        </w:object>
      </w:r>
    </w:p>
    <w:p w14:paraId="3D754D3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0" o:spt="75" type="#_x0000_t75" style="height:33.95pt;width:200.95pt;" o:ole="t" filled="f" o:preferrelative="t" stroked="f" coordsize="21600,21600">
            <v:path/>
            <v:fill on="f" focussize="0,0"/>
            <v:stroke on="f"/>
            <v:imagedata r:id="rId19" o:title=""/>
            <o:lock v:ext="edit" grouping="f" rotation="f" text="f" aspectratio="t"/>
            <w10:wrap type="none"/>
            <w10:anchorlock/>
          </v:shape>
          <o:OLEObject Type="Embed" ProgID="Equation.KSEE3" ShapeID="_x0000_i1030" DrawAspect="Content" ObjectID="_1468075730" r:id="rId18">
            <o:LockedField>false</o:LockedField>
          </o:OLEObject>
        </w:object>
      </w:r>
    </w:p>
    <w:p w14:paraId="4DA4E11E">
      <w:pPr>
        <w:wordWrap w:val="0"/>
        <w:adjustRightInd w:val="0"/>
        <w:snapToGrid w:val="0"/>
        <w:spacing w:line="360" w:lineRule="auto"/>
        <w:ind w:firstLine="480"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以上公式中，</w:t>
      </w:r>
      <w:r>
        <w:rPr>
          <w:rFonts w:hint="eastAsia" w:ascii="宋体" w:hAnsi="宋体" w:eastAsia="宋体" w:cs="宋体"/>
          <w:bCs/>
          <w:snapToGrid w:val="0"/>
          <w:color w:val="000000"/>
          <w:kern w:val="0"/>
          <w:sz w:val="24"/>
          <w:szCs w:val="24"/>
          <w:highlight w:val="none"/>
        </w:rPr>
        <w:t>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为中标单价；F</w:t>
      </w:r>
      <w:r>
        <w:rPr>
          <w:rFonts w:hint="eastAsia" w:ascii="宋体" w:hAnsi="宋体" w:eastAsia="宋体" w:cs="宋体"/>
          <w:bCs/>
          <w:snapToGrid w:val="0"/>
          <w:color w:val="000000"/>
          <w:kern w:val="0"/>
          <w:sz w:val="24"/>
          <w:szCs w:val="24"/>
          <w:highlight w:val="none"/>
          <w:vertAlign w:val="subscript"/>
        </w:rPr>
        <w:t>0</w:t>
      </w:r>
      <w:r>
        <w:rPr>
          <w:rFonts w:hint="eastAsia" w:ascii="宋体" w:hAnsi="宋体" w:eastAsia="宋体" w:cs="宋体"/>
          <w:bCs/>
          <w:snapToGrid w:val="0"/>
          <w:color w:val="000000"/>
          <w:kern w:val="0"/>
          <w:sz w:val="24"/>
          <w:szCs w:val="24"/>
          <w:highlight w:val="none"/>
        </w:rPr>
        <w:t>为基准单价； F</w:t>
      </w:r>
      <w:r>
        <w:rPr>
          <w:rFonts w:hint="eastAsia" w:ascii="宋体" w:hAnsi="宋体" w:eastAsia="宋体" w:cs="宋体"/>
          <w:bCs/>
          <w:snapToGrid w:val="0"/>
          <w:color w:val="000000"/>
          <w:kern w:val="0"/>
          <w:sz w:val="24"/>
          <w:szCs w:val="24"/>
          <w:highlight w:val="none"/>
          <w:vertAlign w:val="subscript"/>
        </w:rPr>
        <w:t>2</w:t>
      </w:r>
      <w:r>
        <w:rPr>
          <w:rFonts w:hint="eastAsia" w:ascii="宋体" w:hAnsi="宋体" w:eastAsia="宋体" w:cs="宋体"/>
          <w:bCs/>
          <w:snapToGrid w:val="0"/>
          <w:color w:val="000000"/>
          <w:kern w:val="0"/>
          <w:sz w:val="24"/>
          <w:szCs w:val="24"/>
          <w:highlight w:val="none"/>
        </w:rPr>
        <w:t>为施工当月项目所在地工程造价管理机构发布的材料、工程设备单价；A为合同约定的材料、工程设备单价涨跌风险幅度值。</w:t>
      </w:r>
    </w:p>
    <w:p w14:paraId="58C8CA6D">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2.3.6.3</w:t>
      </w:r>
      <w:r>
        <w:rPr>
          <w:rFonts w:hint="eastAsia" w:ascii="宋体" w:hAnsi="宋体" w:eastAsia="宋体" w:cs="宋体"/>
          <w:snapToGrid w:val="0"/>
          <w:color w:val="000000"/>
          <w:kern w:val="0"/>
          <w:sz w:val="24"/>
          <w:szCs w:val="24"/>
          <w:highlight w:val="none"/>
        </w:rPr>
        <w:t xml:space="preserve"> 合同履行期间，当《发包人提供材料和工程设备一览表》（详见招标工程量清单）中的材料、工程设备单价发生变化时，由发包人按照实际变化调整，并列入合同价款。</w:t>
      </w:r>
    </w:p>
    <w:p w14:paraId="4CB6A37E">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2.3.6.4</w:t>
      </w:r>
      <w:r>
        <w:rPr>
          <w:rFonts w:hint="eastAsia" w:ascii="宋体" w:hAnsi="宋体" w:eastAsia="宋体" w:cs="宋体"/>
          <w:snapToGrid w:val="0"/>
          <w:color w:val="000000"/>
          <w:kern w:val="0"/>
          <w:sz w:val="24"/>
          <w:szCs w:val="24"/>
          <w:highlight w:val="none"/>
        </w:rPr>
        <w:t xml:space="preserve"> 本招标项目约定，施工机具台班单价涨跌风险幅度值B为</w:t>
      </w:r>
      <w:r>
        <w:rPr>
          <w:rFonts w:hint="eastAsia" w:ascii="宋体" w:hAnsi="宋体" w:eastAsia="宋体" w:cs="宋体"/>
          <w:snapToGrid w:val="0"/>
          <w:color w:val="000000"/>
          <w:kern w:val="0"/>
          <w:sz w:val="24"/>
          <w:szCs w:val="24"/>
          <w:highlight w:val="none"/>
          <w:u w:val="single"/>
        </w:rPr>
        <w:t>10%</w:t>
      </w:r>
      <w:r>
        <w:rPr>
          <w:rFonts w:hint="eastAsia" w:ascii="宋体" w:hAnsi="宋体" w:eastAsia="宋体" w:cs="宋体"/>
          <w:snapToGrid w:val="0"/>
          <w:color w:val="000000"/>
          <w:kern w:val="0"/>
          <w:sz w:val="24"/>
          <w:szCs w:val="24"/>
          <w:highlight w:val="none"/>
        </w:rPr>
        <w:t>。合同履行期间，当施工机具台班单价涨跌幅度等于或低于B值时，该施工机具台班单价不予调整；超过B值时，其超过部分可以调整。相关费用按有关规定进行相应调整。</w:t>
      </w:r>
    </w:p>
    <w:p w14:paraId="55FE91E4">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a</w:t>
      </w:r>
      <w:r>
        <w:rPr>
          <w:rFonts w:hint="eastAsia" w:ascii="宋体" w:hAnsi="宋体" w:eastAsia="宋体" w:cs="宋体"/>
          <w:snapToGrid w:val="0"/>
          <w:color w:val="000000"/>
          <w:kern w:val="0"/>
          <w:sz w:val="24"/>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6F72566B">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1" o:spt="75" type="#_x0000_t75" style="height:33.95pt;width:200.95pt;" o:ole="t" filled="f" o:preferrelative="t" stroked="f" coordsize="21600,21600">
            <v:path/>
            <v:fill on="f" focussize="0,0"/>
            <v:stroke on="f"/>
            <v:imagedata r:id="rId21" o:title=""/>
            <o:lock v:ext="edit" grouping="f" rotation="f" text="f" aspectratio="t"/>
            <w10:wrap type="none"/>
            <w10:anchorlock/>
          </v:shape>
          <o:OLEObject Type="Embed" ProgID="Equation.KSEE3" ShapeID="_x0000_i1031" DrawAspect="Content" ObjectID="_1468075731" r:id="rId20">
            <o:LockedField>false</o:LockedField>
          </o:OLEObject>
        </w:object>
      </w:r>
    </w:p>
    <w:p w14:paraId="15496D82">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2" o:spt="75" type="#_x0000_t75" style="height:33.95pt;width:198pt;" o:ole="t" filled="f" o:preferrelative="t" stroked="f" coordsize="21600,21600">
            <v:path/>
            <v:fill on="f" focussize="0,0"/>
            <v:stroke on="f"/>
            <v:imagedata r:id="rId23" o:title=""/>
            <o:lock v:ext="edit" grouping="f" rotation="f" text="f" aspectratio="t"/>
            <w10:wrap type="none"/>
            <w10:anchorlock/>
          </v:shape>
          <o:OLEObject Type="Embed" ProgID="Equation.KSEE3" ShapeID="_x0000_i1032" DrawAspect="Content" ObjectID="_1468075732" r:id="rId22">
            <o:LockedField>false</o:LockedField>
          </o:OLEObject>
        </w:object>
      </w:r>
    </w:p>
    <w:p w14:paraId="4C10EA31">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b</w:t>
      </w:r>
      <w:r>
        <w:rPr>
          <w:rFonts w:hint="eastAsia" w:ascii="宋体" w:hAnsi="宋体" w:eastAsia="宋体" w:cs="宋体"/>
          <w:snapToGrid w:val="0"/>
          <w:color w:val="000000"/>
          <w:kern w:val="0"/>
          <w:sz w:val="24"/>
          <w:szCs w:val="24"/>
          <w:highlight w:val="none"/>
        </w:rPr>
        <w:t>．如果中标单价高于基准单价，该施工机具台班的结算单价调整公式为：</w:t>
      </w:r>
    </w:p>
    <w:p w14:paraId="23826AEA">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3" o:spt="75" type="#_x0000_t75" style="height:33.95pt;width:198pt;" o:ole="t" filled="f" o:preferrelative="t" stroked="f" coordsize="21600,21600">
            <v:path/>
            <v:fill on="f" focussize="0,0"/>
            <v:stroke on="f"/>
            <v:imagedata r:id="rId25" o:title=""/>
            <o:lock v:ext="edit" grouping="f" rotation="f" text="f" aspectratio="t"/>
            <w10:wrap type="none"/>
            <w10:anchorlock/>
          </v:shape>
          <o:OLEObject Type="Embed" ProgID="Equation.KSEE3" ShapeID="_x0000_i1033" DrawAspect="Content" ObjectID="_1468075733" r:id="rId24">
            <o:LockedField>false</o:LockedField>
          </o:OLEObject>
        </w:object>
      </w:r>
    </w:p>
    <w:p w14:paraId="741F307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4" o:spt="75" type="#_x0000_t75" style="height:33.95pt;width:200.95pt;" o:ole="t" filled="f" o:preferrelative="t" stroked="f" coordsize="21600,21600">
            <v:path/>
            <v:fill on="f" focussize="0,0"/>
            <v:stroke on="f"/>
            <v:imagedata r:id="rId27" o:title=""/>
            <o:lock v:ext="edit" grouping="f" rotation="f" text="f" aspectratio="t"/>
            <w10:wrap type="none"/>
            <w10:anchorlock/>
          </v:shape>
          <o:OLEObject Type="Embed" ProgID="Equation.KSEE3" ShapeID="_x0000_i1034" DrawAspect="Content" ObjectID="_1468075734" r:id="rId26">
            <o:LockedField>false</o:LockedField>
          </o:OLEObject>
        </w:object>
      </w:r>
    </w:p>
    <w:p w14:paraId="1CBB2058">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c</w:t>
      </w:r>
      <w:r>
        <w:rPr>
          <w:rFonts w:hint="eastAsia" w:ascii="宋体" w:hAnsi="宋体" w:eastAsia="宋体" w:cs="宋体"/>
          <w:snapToGrid w:val="0"/>
          <w:color w:val="000000"/>
          <w:kern w:val="0"/>
          <w:sz w:val="24"/>
          <w:szCs w:val="24"/>
          <w:highlight w:val="none"/>
        </w:rPr>
        <w:t>．如果中标单价等于基准单价，该施工机具台班的结算单价调整公式为：</w:t>
      </w:r>
    </w:p>
    <w:p w14:paraId="2ED02F89">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5" o:spt="75" type="#_x0000_t75" style="height:33.95pt;width:200.95pt;" o:ole="t" filled="f" o:preferrelative="t" stroked="f" coordsize="21600,21600">
            <v:path/>
            <v:fill on="f" focussize="0,0"/>
            <v:stroke on="f"/>
            <v:imagedata r:id="rId29" o:title=""/>
            <o:lock v:ext="edit" grouping="f" rotation="f" text="f" aspectratio="t"/>
            <w10:wrap type="none"/>
            <w10:anchorlock/>
          </v:shape>
          <o:OLEObject Type="Embed" ProgID="Equation.KSEE3" ShapeID="_x0000_i1035" DrawAspect="Content" ObjectID="_1468075735" r:id="rId28">
            <o:LockedField>false</o:LockedField>
          </o:OLEObject>
        </w:object>
      </w:r>
    </w:p>
    <w:p w14:paraId="7A262BF7">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6" o:spt="75" type="#_x0000_t75" style="height:33.95pt;width:200.95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6" DrawAspect="Content" ObjectID="_1468075736" r:id="rId30">
            <o:LockedField>false</o:LockedField>
          </o:OLEObject>
        </w:object>
      </w:r>
    </w:p>
    <w:p w14:paraId="577AAC91">
      <w:pPr>
        <w:spacing w:before="39" w:line="360" w:lineRule="auto"/>
        <w:ind w:left="484"/>
        <w:rPr>
          <w:rFonts w:hint="eastAsia" w:ascii="宋体" w:hAnsi="宋体" w:eastAsia="宋体" w:cs="宋体"/>
          <w:b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以上公式中，</w:t>
      </w:r>
      <w:r>
        <w:rPr>
          <w:rFonts w:hint="eastAsia" w:ascii="宋体" w:hAnsi="宋体" w:eastAsia="宋体" w:cs="宋体"/>
          <w:bCs/>
          <w:snapToGrid w:val="0"/>
          <w:color w:val="000000"/>
          <w:kern w:val="0"/>
          <w:sz w:val="24"/>
          <w:szCs w:val="24"/>
          <w:highlight w:val="none"/>
        </w:rPr>
        <w:t>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为中标单价；F</w:t>
      </w:r>
      <w:r>
        <w:rPr>
          <w:rFonts w:hint="eastAsia" w:ascii="宋体" w:hAnsi="宋体" w:eastAsia="宋体" w:cs="宋体"/>
          <w:bCs/>
          <w:snapToGrid w:val="0"/>
          <w:color w:val="000000"/>
          <w:kern w:val="0"/>
          <w:sz w:val="24"/>
          <w:szCs w:val="24"/>
          <w:highlight w:val="none"/>
          <w:vertAlign w:val="subscript"/>
        </w:rPr>
        <w:t>0</w:t>
      </w:r>
      <w:r>
        <w:rPr>
          <w:rFonts w:hint="eastAsia" w:ascii="宋体" w:hAnsi="宋体" w:eastAsia="宋体" w:cs="宋体"/>
          <w:bCs/>
          <w:snapToGrid w:val="0"/>
          <w:color w:val="000000"/>
          <w:kern w:val="0"/>
          <w:sz w:val="24"/>
          <w:szCs w:val="24"/>
          <w:highlight w:val="none"/>
        </w:rPr>
        <w:t>为基准单价；F</w:t>
      </w:r>
      <w:r>
        <w:rPr>
          <w:rFonts w:hint="eastAsia" w:ascii="宋体" w:hAnsi="宋体" w:eastAsia="宋体" w:cs="宋体"/>
          <w:bCs/>
          <w:snapToGrid w:val="0"/>
          <w:color w:val="000000"/>
          <w:kern w:val="0"/>
          <w:sz w:val="24"/>
          <w:szCs w:val="24"/>
          <w:highlight w:val="none"/>
          <w:vertAlign w:val="subscript"/>
        </w:rPr>
        <w:t>2</w:t>
      </w:r>
      <w:r>
        <w:rPr>
          <w:rFonts w:hint="eastAsia" w:ascii="宋体" w:hAnsi="宋体" w:eastAsia="宋体" w:cs="宋体"/>
          <w:bCs/>
          <w:snapToGrid w:val="0"/>
          <w:color w:val="000000"/>
          <w:kern w:val="0"/>
          <w:sz w:val="24"/>
          <w:szCs w:val="24"/>
          <w:highlight w:val="none"/>
        </w:rPr>
        <w:t>为施工当月项目所在地工程造价管理机构发布的施工机具台班单价；B为合同约定的施工机具台班单价涨跌风险幅度值。</w:t>
      </w:r>
    </w:p>
    <w:p w14:paraId="2EB022DF">
      <w:pPr>
        <w:spacing w:before="39"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488A20FF">
      <w:pPr>
        <w:spacing w:before="154" w:line="360" w:lineRule="auto"/>
        <w:ind w:left="7" w:right="57"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暂估价项目按第一章第三节“投标人须知正文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2"/>
          <w:sz w:val="24"/>
          <w:szCs w:val="24"/>
          <w:highlight w:val="none"/>
        </w:rPr>
        <w:t xml:space="preserve">8.5 </w:t>
      </w:r>
      <w:r>
        <w:rPr>
          <w:rFonts w:hint="eastAsia" w:ascii="宋体" w:hAnsi="宋体" w:eastAsia="宋体" w:cs="宋体"/>
          <w:color w:val="auto"/>
          <w:spacing w:val="-2"/>
          <w:sz w:val="24"/>
          <w:szCs w:val="24"/>
          <w:highlight w:val="none"/>
        </w:rPr>
        <w:t>条</w:t>
      </w:r>
      <w:r>
        <w:rPr>
          <w:rFonts w:hint="eastAsia" w:ascii="宋体" w:hAnsi="宋体" w:eastAsia="宋体" w:cs="宋体"/>
          <w:color w:val="auto"/>
          <w:spacing w:val="-3"/>
          <w:sz w:val="24"/>
          <w:szCs w:val="24"/>
          <w:highlight w:val="none"/>
        </w:rPr>
        <w:t>的规定确定专业工</w:t>
      </w:r>
      <w:r>
        <w:rPr>
          <w:rFonts w:hint="eastAsia" w:ascii="宋体" w:hAnsi="宋体" w:eastAsia="宋体" w:cs="宋体"/>
          <w:color w:val="auto"/>
          <w:spacing w:val="-1"/>
          <w:sz w:val="24"/>
          <w:szCs w:val="24"/>
          <w:highlight w:val="none"/>
        </w:rPr>
        <w:t>程承包人（或材料供应商、工程设备供应商）后，将专业工</w:t>
      </w:r>
      <w:r>
        <w:rPr>
          <w:rFonts w:hint="eastAsia" w:ascii="宋体" w:hAnsi="宋体" w:eastAsia="宋体" w:cs="宋体"/>
          <w:color w:val="auto"/>
          <w:spacing w:val="-2"/>
          <w:sz w:val="24"/>
          <w:szCs w:val="24"/>
          <w:highlight w:val="none"/>
        </w:rPr>
        <w:t>程合同价款（或材料单价、</w:t>
      </w:r>
      <w:r>
        <w:rPr>
          <w:rFonts w:hint="eastAsia" w:ascii="宋体" w:hAnsi="宋体" w:eastAsia="宋体" w:cs="宋体"/>
          <w:color w:val="auto"/>
          <w:spacing w:val="-1"/>
          <w:sz w:val="24"/>
          <w:szCs w:val="24"/>
          <w:highlight w:val="none"/>
        </w:rPr>
        <w:t>工程设备单价）取代相应暂估价，并调整合同价款。</w:t>
      </w:r>
    </w:p>
    <w:p w14:paraId="605E5E80">
      <w:pPr>
        <w:spacing w:before="153" w:line="360" w:lineRule="auto"/>
        <w:ind w:left="8" w:right="2"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7CC8E5E0">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2.3.8</w:t>
      </w:r>
      <w:r>
        <w:rPr>
          <w:rFonts w:hint="eastAsia" w:ascii="宋体" w:hAnsi="宋体" w:eastAsia="宋体" w:cs="宋体"/>
          <w:sz w:val="24"/>
          <w:szCs w:val="24"/>
        </w:rPr>
        <w:t xml:space="preserve"> 预算包干费按照分部分项的人工费与施工机具费之和及投标费率计取。本招标项目的预算包干内容包括：施工雨水、污水的排除；因地形影响造成的场内料具二次运输</w:t>
      </w:r>
      <w:r>
        <w:rPr>
          <w:rFonts w:hint="eastAsia" w:ascii="宋体" w:hAnsi="宋体" w:eastAsia="宋体" w:cs="宋体"/>
          <w:sz w:val="24"/>
          <w:szCs w:val="24"/>
          <w:lang w:eastAsia="zh-CN"/>
        </w:rPr>
        <w:t>，2</w:t>
      </w:r>
      <w:r>
        <w:rPr>
          <w:rFonts w:hint="eastAsia" w:ascii="宋体" w:hAnsi="宋体" w:eastAsia="宋体" w:cs="宋体"/>
          <w:sz w:val="24"/>
          <w:szCs w:val="24"/>
        </w:rPr>
        <w:t>0米高以下的工程用水加压措施；施工材料堆放场地的整理；机电安装后的补洞(槽料费；工程成品保护费；施工中的临时停水停电；基础埋深 2 米以内挖土方的塌</w:t>
      </w:r>
      <w:r>
        <w:rPr>
          <w:rFonts w:hint="eastAsia" w:ascii="宋体" w:hAnsi="宋体" w:eastAsia="宋体" w:cs="宋体"/>
          <w:sz w:val="24"/>
          <w:szCs w:val="24"/>
          <w:lang w:eastAsia="zh-CN"/>
        </w:rPr>
        <w:t>方；日间</w:t>
      </w:r>
      <w:r>
        <w:rPr>
          <w:rFonts w:hint="eastAsia" w:ascii="宋体" w:hAnsi="宋体" w:eastAsia="宋体" w:cs="宋体"/>
          <w:sz w:val="24"/>
          <w:szCs w:val="24"/>
        </w:rPr>
        <w:t>照明施工增加费(不包括地下室和特殊工程)；完工清场后的垃圾外运；地上(地下)设</w:t>
      </w:r>
      <w:r>
        <w:rPr>
          <w:rFonts w:hint="eastAsia" w:ascii="宋体" w:hAnsi="宋体" w:eastAsia="宋体" w:cs="宋体"/>
          <w:sz w:val="24"/>
          <w:szCs w:val="24"/>
          <w:lang w:eastAsia="zh-CN"/>
        </w:rPr>
        <w:t>施，</w:t>
      </w:r>
      <w:r>
        <w:rPr>
          <w:rFonts w:hint="eastAsia" w:ascii="宋体" w:hAnsi="宋体" w:eastAsia="宋体" w:cs="宋体"/>
          <w:sz w:val="24"/>
          <w:szCs w:val="24"/>
        </w:rPr>
        <w:t>建筑物的临时保护设施费和二次加工基地设施费；雨季施工增加费</w:t>
      </w:r>
      <w:r>
        <w:rPr>
          <w:rFonts w:hint="eastAsia" w:ascii="宋体" w:hAnsi="宋体" w:eastAsia="宋体" w:cs="宋体"/>
          <w:sz w:val="24"/>
          <w:szCs w:val="24"/>
          <w:lang w:eastAsia="zh-CN"/>
        </w:rPr>
        <w:t>；已完成及设备保护等。</w:t>
      </w:r>
    </w:p>
    <w:p w14:paraId="7AEE3F33">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2.3.9</w:t>
      </w:r>
      <w:r>
        <w:rPr>
          <w:rFonts w:hint="eastAsia" w:ascii="宋体" w:hAnsi="宋体" w:eastAsia="宋体" w:cs="宋体"/>
          <w:sz w:val="24"/>
          <w:szCs w:val="24"/>
        </w:rPr>
        <w:t xml:space="preserve">  其余事项（如不可抗力、索赔、现场签证等）的调整原则按照《建设工程工程量清单计价规范》（GB50500—2013）有关规定执行。</w:t>
      </w:r>
    </w:p>
    <w:p w14:paraId="15441A8E">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2.4</w:t>
      </w:r>
      <w:r>
        <w:rPr>
          <w:rFonts w:hint="eastAsia" w:ascii="宋体" w:hAnsi="宋体" w:eastAsia="宋体" w:cs="宋体"/>
          <w:sz w:val="24"/>
          <w:szCs w:val="24"/>
        </w:rPr>
        <w:t xml:space="preserve">  凡将引起合同价款调增的事项，承包人必须于拟实施 14 天前，将详细的报价书（含拟实施项目名称、变更部位、理由、预计造价等）报监理单位审核和发包人批准后方可实施。</w:t>
      </w:r>
    </w:p>
    <w:p w14:paraId="549727DF">
      <w:pPr>
        <w:spacing w:before="153" w:line="360"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7F4A8BAC">
      <w:pPr>
        <w:spacing w:before="154" w:line="360"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62B57CA7">
      <w:pPr>
        <w:spacing w:before="155" w:line="360"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按照《建设工程工程量清单计价规范》（GB50500—2013）和国家、省、市的有关规定</w:t>
      </w:r>
      <w:r>
        <w:rPr>
          <w:rFonts w:hint="eastAsia" w:ascii="宋体" w:hAnsi="宋体" w:eastAsia="宋体" w:cs="宋体"/>
          <w:color w:val="auto"/>
          <w:spacing w:val="-2"/>
          <w:sz w:val="24"/>
          <w:szCs w:val="24"/>
          <w:highlight w:val="none"/>
        </w:rPr>
        <w:t>办理竣工结算。</w:t>
      </w:r>
    </w:p>
    <w:p w14:paraId="6BF7AA13">
      <w:pPr>
        <w:spacing w:before="152" w:line="360"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pacing w:val="-1"/>
          <w:sz w:val="24"/>
          <w:szCs w:val="24"/>
          <w:highlight w:val="none"/>
        </w:rPr>
        <w:t>加的费用和（或）工期延误由承包人承担。</w:t>
      </w:r>
    </w:p>
    <w:p w14:paraId="3BFF8CF0">
      <w:pPr>
        <w:spacing w:before="152" w:line="360"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2CF9924F">
      <w:pPr>
        <w:spacing w:before="151" w:line="360" w:lineRule="auto"/>
        <w:ind w:left="476"/>
        <w:outlineLvl w:val="2"/>
        <w:rPr>
          <w:rFonts w:hint="eastAsia" w:ascii="宋体" w:hAnsi="宋体" w:eastAsia="宋体" w:cs="宋体"/>
          <w:b/>
          <w:bCs/>
          <w:color w:val="auto"/>
          <w:spacing w:val="-11"/>
          <w:sz w:val="24"/>
          <w:szCs w:val="24"/>
          <w:highlight w:val="none"/>
        </w:rPr>
      </w:pPr>
      <w:bookmarkStart w:id="191" w:name="_Toc21454"/>
      <w:bookmarkStart w:id="192" w:name="_Toc1816"/>
      <w:bookmarkStart w:id="193" w:name="_Toc10496"/>
      <w:r>
        <w:rPr>
          <w:rFonts w:hint="eastAsia" w:ascii="宋体" w:hAnsi="宋体" w:eastAsia="宋体" w:cs="宋体"/>
          <w:b/>
          <w:bCs/>
          <w:color w:val="auto"/>
          <w:spacing w:val="-11"/>
          <w:sz w:val="24"/>
          <w:szCs w:val="24"/>
          <w:highlight w:val="none"/>
        </w:rPr>
        <w:t>3. 工程付款办法</w:t>
      </w:r>
      <w:bookmarkEnd w:id="191"/>
      <w:bookmarkEnd w:id="192"/>
    </w:p>
    <w:p w14:paraId="72E37181">
      <w:pPr>
        <w:keepNext w:val="0"/>
        <w:keepLines w:val="0"/>
        <w:pageBreakBefore w:val="0"/>
        <w:kinsoku/>
        <w:overflowPunct/>
        <w:autoSpaceDE/>
        <w:autoSpaceDN/>
        <w:bidi w:val="0"/>
        <w:snapToGrid w:val="0"/>
        <w:spacing w:line="360" w:lineRule="auto"/>
        <w:ind w:firstLine="472" w:firstLineChars="196"/>
        <w:rPr>
          <w:rStyle w:val="48"/>
          <w:rFonts w:hint="eastAsia" w:ascii="宋体" w:hAnsi="宋体" w:eastAsia="宋体" w:cs="宋体"/>
          <w:b w:val="0"/>
          <w:bCs w:val="0"/>
          <w:color w:val="auto"/>
          <w:kern w:val="1"/>
          <w:sz w:val="24"/>
          <w:szCs w:val="24"/>
          <w:highlight w:val="none"/>
        </w:rPr>
      </w:pPr>
      <w:bookmarkStart w:id="194" w:name="_Toc26143"/>
      <w:r>
        <w:rPr>
          <w:rStyle w:val="48"/>
          <w:rFonts w:hint="eastAsia" w:ascii="宋体" w:hAnsi="宋体" w:eastAsia="宋体" w:cs="宋体"/>
          <w:b/>
          <w:bCs/>
          <w:color w:val="auto"/>
          <w:kern w:val="0"/>
          <w:sz w:val="24"/>
          <w:szCs w:val="24"/>
          <w:highlight w:val="none"/>
          <w:lang w:val="en-US" w:eastAsia="zh-CN" w:bidi="ar-SA"/>
        </w:rPr>
        <w:t>3.1</w:t>
      </w:r>
      <w:r>
        <w:rPr>
          <w:rStyle w:val="48"/>
          <w:rFonts w:hint="eastAsia" w:ascii="宋体" w:hAnsi="宋体" w:eastAsia="宋体" w:cs="宋体"/>
          <w:b w:val="0"/>
          <w:bCs w:val="0"/>
          <w:color w:val="auto"/>
          <w:kern w:val="0"/>
          <w:sz w:val="24"/>
          <w:szCs w:val="24"/>
          <w:highlight w:val="none"/>
          <w:lang w:val="en-US" w:eastAsia="zh-CN" w:bidi="ar-SA"/>
        </w:rPr>
        <w:t xml:space="preserve"> </w:t>
      </w:r>
      <w:r>
        <w:rPr>
          <w:rStyle w:val="48"/>
          <w:rFonts w:hint="eastAsia" w:ascii="宋体" w:hAnsi="宋体" w:eastAsia="宋体" w:cs="宋体"/>
          <w:b w:val="0"/>
          <w:bCs w:val="0"/>
          <w:color w:val="auto"/>
          <w:kern w:val="1"/>
          <w:sz w:val="24"/>
          <w:szCs w:val="24"/>
          <w:highlight w:val="none"/>
        </w:rPr>
        <w:t>本项目</w:t>
      </w:r>
      <w:r>
        <w:rPr>
          <w:rStyle w:val="48"/>
          <w:rFonts w:hint="eastAsia" w:ascii="宋体" w:hAnsi="宋体" w:eastAsia="宋体" w:cs="宋体"/>
          <w:b w:val="0"/>
          <w:bCs w:val="0"/>
          <w:color w:val="auto"/>
          <w:kern w:val="1"/>
          <w:sz w:val="24"/>
          <w:szCs w:val="24"/>
          <w:highlight w:val="none"/>
          <w:u w:val="single"/>
        </w:rPr>
        <w:t>支付</w:t>
      </w:r>
      <w:r>
        <w:rPr>
          <w:rStyle w:val="48"/>
          <w:rFonts w:hint="eastAsia" w:ascii="宋体" w:hAnsi="宋体" w:eastAsia="宋体" w:cs="宋体"/>
          <w:b w:val="0"/>
          <w:bCs w:val="0"/>
          <w:color w:val="auto"/>
          <w:kern w:val="1"/>
          <w:sz w:val="24"/>
          <w:szCs w:val="24"/>
          <w:highlight w:val="none"/>
        </w:rPr>
        <w:t>施工预付款。</w:t>
      </w:r>
    </w:p>
    <w:p w14:paraId="622A5F7D">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bidi="ar-SA"/>
        </w:rPr>
        <w:t>3.2</w:t>
      </w:r>
      <w:r>
        <w:rPr>
          <w:rStyle w:val="48"/>
          <w:rFonts w:hint="eastAsia" w:ascii="宋体" w:hAnsi="宋体" w:eastAsia="宋体" w:cs="宋体"/>
          <w:b w:val="0"/>
          <w:bCs w:val="0"/>
          <w:color w:val="auto"/>
          <w:kern w:val="1"/>
          <w:sz w:val="24"/>
          <w:szCs w:val="24"/>
          <w:highlight w:val="none"/>
        </w:rPr>
        <w:t xml:space="preserve"> </w:t>
      </w:r>
      <w:r>
        <w:rPr>
          <w:rStyle w:val="48"/>
          <w:rFonts w:hint="eastAsia" w:ascii="宋体" w:hAnsi="宋体" w:eastAsia="宋体" w:cs="宋体"/>
          <w:b w:val="0"/>
          <w:bCs w:val="0"/>
          <w:color w:val="auto"/>
          <w:kern w:val="0"/>
          <w:sz w:val="24"/>
          <w:szCs w:val="24"/>
          <w:highlight w:val="none"/>
        </w:rPr>
        <w:t>施工预付款必须专用于合同工程，并按以下原则支付和抵扣：</w:t>
      </w:r>
    </w:p>
    <w:p w14:paraId="7FA6A2EA">
      <w:pPr>
        <w:keepNext w:val="0"/>
        <w:keepLines w:val="0"/>
        <w:pageBreakBefore w:val="0"/>
        <w:kinsoku/>
        <w:overflowPunct/>
        <w:autoSpaceDE/>
        <w:autoSpaceDN/>
        <w:bidi w:val="0"/>
        <w:snapToGrid w:val="0"/>
        <w:spacing w:line="360" w:lineRule="auto"/>
        <w:ind w:firstLine="480" w:firstLineChars="200"/>
        <w:rPr>
          <w:rStyle w:val="48"/>
          <w:rFonts w:hint="eastAsia" w:ascii="宋体" w:hAnsi="宋体" w:eastAsia="宋体" w:cs="宋体"/>
          <w:b w:val="0"/>
          <w:bCs w:val="0"/>
          <w:color w:val="auto"/>
          <w:kern w:val="0"/>
          <w:sz w:val="24"/>
          <w:szCs w:val="24"/>
          <w:highlight w:val="none"/>
        </w:rPr>
      </w:pPr>
      <w:r>
        <w:rPr>
          <w:rStyle w:val="48"/>
          <w:rFonts w:hint="eastAsia" w:ascii="宋体" w:hAnsi="宋体" w:eastAsia="宋体" w:cs="宋体"/>
          <w:b w:val="0"/>
          <w:bCs w:val="0"/>
          <w:color w:val="auto"/>
          <w:kern w:val="0"/>
          <w:sz w:val="24"/>
          <w:szCs w:val="24"/>
          <w:highlight w:val="none"/>
        </w:rPr>
        <w:t>3.2.1 施工预付款支付比例为：按施工合同价的</w:t>
      </w:r>
      <w:r>
        <w:rPr>
          <w:rStyle w:val="48"/>
          <w:rFonts w:hint="eastAsia" w:ascii="宋体" w:hAnsi="宋体" w:eastAsia="宋体" w:cs="宋体"/>
          <w:b w:val="0"/>
          <w:bCs w:val="0"/>
          <w:color w:val="auto"/>
          <w:kern w:val="0"/>
          <w:sz w:val="24"/>
          <w:szCs w:val="24"/>
          <w:highlight w:val="none"/>
          <w:u w:val="single"/>
        </w:rPr>
        <w:t xml:space="preserve"> </w:t>
      </w:r>
      <w:r>
        <w:rPr>
          <w:rStyle w:val="48"/>
          <w:rFonts w:hint="eastAsia" w:ascii="宋体" w:hAnsi="宋体" w:eastAsia="宋体" w:cs="宋体"/>
          <w:b w:val="0"/>
          <w:bCs w:val="0"/>
          <w:color w:val="auto"/>
          <w:kern w:val="0"/>
          <w:sz w:val="24"/>
          <w:szCs w:val="24"/>
          <w:highlight w:val="none"/>
          <w:u w:val="single"/>
          <w:lang w:val="en-US" w:eastAsia="zh-CN"/>
        </w:rPr>
        <w:t>3</w:t>
      </w:r>
      <w:r>
        <w:rPr>
          <w:rStyle w:val="48"/>
          <w:rFonts w:hint="eastAsia" w:ascii="宋体" w:hAnsi="宋体" w:eastAsia="宋体" w:cs="宋体"/>
          <w:b w:val="0"/>
          <w:bCs w:val="0"/>
          <w:color w:val="auto"/>
          <w:kern w:val="0"/>
          <w:sz w:val="24"/>
          <w:szCs w:val="24"/>
          <w:highlight w:val="none"/>
          <w:u w:val="single"/>
        </w:rPr>
        <w:t xml:space="preserve">0% </w:t>
      </w:r>
      <w:r>
        <w:rPr>
          <w:rStyle w:val="48"/>
          <w:rFonts w:hint="eastAsia" w:ascii="宋体" w:hAnsi="宋体" w:eastAsia="宋体" w:cs="宋体"/>
          <w:b w:val="0"/>
          <w:bCs w:val="0"/>
          <w:color w:val="auto"/>
          <w:kern w:val="0"/>
          <w:sz w:val="24"/>
          <w:szCs w:val="24"/>
          <w:highlight w:val="none"/>
        </w:rPr>
        <w:t>支付</w:t>
      </w:r>
      <w:r>
        <w:rPr>
          <w:rStyle w:val="48"/>
          <w:rFonts w:hint="eastAsia" w:ascii="宋体" w:hAnsi="宋体" w:eastAsia="宋体" w:cs="宋体"/>
          <w:b w:val="0"/>
          <w:bCs w:val="0"/>
          <w:color w:val="auto"/>
          <w:kern w:val="0"/>
          <w:sz w:val="24"/>
          <w:szCs w:val="24"/>
          <w:highlight w:val="none"/>
          <w:lang w:eastAsia="zh-CN"/>
        </w:rPr>
        <w:t>（暂列金除外）</w:t>
      </w:r>
      <w:r>
        <w:rPr>
          <w:rStyle w:val="48"/>
          <w:rFonts w:hint="eastAsia" w:ascii="宋体" w:hAnsi="宋体" w:eastAsia="宋体" w:cs="宋体"/>
          <w:b w:val="0"/>
          <w:bCs w:val="0"/>
          <w:color w:val="auto"/>
          <w:kern w:val="0"/>
          <w:sz w:val="24"/>
          <w:szCs w:val="24"/>
          <w:highlight w:val="none"/>
        </w:rPr>
        <w:t>。</w:t>
      </w:r>
    </w:p>
    <w:p w14:paraId="5AC88A41">
      <w:pPr>
        <w:keepNext w:val="0"/>
        <w:keepLines w:val="0"/>
        <w:pageBreakBefore w:val="0"/>
        <w:kinsoku/>
        <w:overflowPunct/>
        <w:autoSpaceDE/>
        <w:autoSpaceDN/>
        <w:bidi w:val="0"/>
        <w:snapToGrid w:val="0"/>
        <w:spacing w:line="360" w:lineRule="auto"/>
        <w:ind w:firstLine="480" w:firstLineChars="200"/>
        <w:rPr>
          <w:rStyle w:val="48"/>
          <w:rFonts w:hint="eastAsia" w:ascii="宋体" w:hAnsi="宋体" w:eastAsia="宋体" w:cs="宋体"/>
          <w:b w:val="0"/>
          <w:bCs w:val="0"/>
          <w:color w:val="auto"/>
          <w:kern w:val="0"/>
          <w:sz w:val="24"/>
          <w:szCs w:val="24"/>
          <w:highlight w:val="none"/>
        </w:rPr>
      </w:pPr>
      <w:r>
        <w:rPr>
          <w:rStyle w:val="48"/>
          <w:rFonts w:hint="eastAsia" w:ascii="宋体" w:hAnsi="宋体" w:eastAsia="宋体" w:cs="宋体"/>
          <w:b w:val="0"/>
          <w:bCs w:val="0"/>
          <w:color w:val="auto"/>
          <w:kern w:val="0"/>
          <w:sz w:val="24"/>
          <w:szCs w:val="24"/>
          <w:highlight w:val="none"/>
        </w:rPr>
        <w:t>3.2.2 本招标项目要求承包人提供与预付款等额的预付款保函，且预付款保函期限原则上不少于总工期的一半，且承包单位的预付款保函有效期应保证在扣回预付款前有效，未扣回预付款但保函过期的承包人应重新开具预付款保函。</w:t>
      </w:r>
    </w:p>
    <w:p w14:paraId="7679C453">
      <w:pPr>
        <w:keepNext w:val="0"/>
        <w:keepLines w:val="0"/>
        <w:pageBreakBefore w:val="0"/>
        <w:kinsoku/>
        <w:overflowPunct/>
        <w:autoSpaceDE/>
        <w:autoSpaceDN/>
        <w:bidi w:val="0"/>
        <w:snapToGrid w:val="0"/>
        <w:spacing w:line="360" w:lineRule="auto"/>
        <w:ind w:firstLine="480" w:firstLineChars="200"/>
        <w:rPr>
          <w:rStyle w:val="48"/>
          <w:rFonts w:hint="eastAsia" w:ascii="宋体" w:hAnsi="宋体" w:eastAsia="宋体" w:cs="宋体"/>
          <w:b w:val="0"/>
          <w:bCs w:val="0"/>
          <w:color w:val="auto"/>
          <w:kern w:val="0"/>
          <w:sz w:val="24"/>
          <w:szCs w:val="24"/>
          <w:highlight w:val="none"/>
        </w:rPr>
      </w:pPr>
      <w:r>
        <w:rPr>
          <w:rStyle w:val="48"/>
          <w:rFonts w:hint="eastAsia" w:ascii="宋体" w:hAnsi="宋体" w:eastAsia="宋体" w:cs="宋体"/>
          <w:b w:val="0"/>
          <w:bCs w:val="0"/>
          <w:color w:val="auto"/>
          <w:kern w:val="0"/>
          <w:sz w:val="24"/>
          <w:szCs w:val="24"/>
          <w:highlight w:val="none"/>
        </w:rPr>
        <w:t>3.2.3 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4342A8C0">
      <w:pPr>
        <w:pStyle w:val="51"/>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baseline"/>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3.2.</w:t>
      </w:r>
      <w:r>
        <w:rPr>
          <w:rStyle w:val="48"/>
          <w:rFonts w:hint="eastAsia" w:ascii="宋体" w:hAnsi="宋体" w:eastAsia="宋体" w:cs="宋体"/>
          <w:b w:val="0"/>
          <w:bCs w:val="0"/>
          <w:color w:val="auto"/>
          <w:sz w:val="24"/>
          <w:szCs w:val="24"/>
          <w:highlight w:val="none"/>
          <w:lang w:val="en-US" w:eastAsia="zh-CN"/>
        </w:rPr>
        <w:t>4</w:t>
      </w:r>
      <w:r>
        <w:rPr>
          <w:rStyle w:val="48"/>
          <w:rFonts w:hint="eastAsia" w:ascii="宋体" w:hAnsi="宋体" w:eastAsia="宋体" w:cs="宋体"/>
          <w:b w:val="0"/>
          <w:bCs w:val="0"/>
          <w:color w:val="auto"/>
          <w:sz w:val="24"/>
          <w:szCs w:val="24"/>
          <w:highlight w:val="none"/>
        </w:rPr>
        <w:t xml:space="preserve"> </w:t>
      </w:r>
      <w:r>
        <w:rPr>
          <w:rFonts w:hint="eastAsia" w:ascii="宋体" w:hAnsi="宋体" w:eastAsia="宋体" w:cs="宋体"/>
          <w:b w:val="0"/>
          <w:bCs w:val="0"/>
          <w:caps w:val="0"/>
          <w:smallCaps w:val="0"/>
          <w:snapToGrid w:val="0"/>
          <w:color w:val="auto"/>
          <w:spacing w:val="0"/>
          <w:kern w:val="0"/>
          <w:sz w:val="24"/>
          <w:szCs w:val="24"/>
          <w:highlight w:val="none"/>
          <w:u w:val="none" w:color="auto"/>
        </w:rPr>
        <w:t>预付款应从每支付期应支付给承包人的工程进度款中</w:t>
      </w:r>
      <w:r>
        <w:rPr>
          <w:rFonts w:hint="eastAsia" w:ascii="宋体" w:hAnsi="宋体" w:eastAsia="宋体" w:cs="宋体"/>
          <w:b w:val="0"/>
          <w:bCs w:val="0"/>
          <w:caps w:val="0"/>
          <w:smallCaps w:val="0"/>
          <w:snapToGrid w:val="0"/>
          <w:color w:val="auto"/>
          <w:spacing w:val="0"/>
          <w:kern w:val="0"/>
          <w:sz w:val="24"/>
          <w:szCs w:val="24"/>
          <w:highlight w:val="none"/>
          <w:u w:val="none" w:color="auto"/>
          <w:lang w:val="en-US" w:eastAsia="zh-CN"/>
        </w:rPr>
        <w:t>按比例</w:t>
      </w:r>
      <w:r>
        <w:rPr>
          <w:rFonts w:hint="eastAsia" w:ascii="宋体" w:hAnsi="宋体" w:eastAsia="宋体" w:cs="宋体"/>
          <w:b w:val="0"/>
          <w:bCs w:val="0"/>
          <w:caps w:val="0"/>
          <w:smallCaps w:val="0"/>
          <w:snapToGrid w:val="0"/>
          <w:color w:val="auto"/>
          <w:spacing w:val="0"/>
          <w:kern w:val="0"/>
          <w:sz w:val="24"/>
          <w:szCs w:val="24"/>
          <w:highlight w:val="none"/>
          <w:u w:val="none" w:color="auto"/>
        </w:rPr>
        <w:t>扣回，</w:t>
      </w:r>
      <w:r>
        <w:rPr>
          <w:rFonts w:hint="eastAsia" w:ascii="宋体" w:hAnsi="宋体" w:eastAsia="宋体" w:cs="宋体"/>
          <w:b w:val="0"/>
          <w:bCs/>
          <w:snapToGrid w:val="0"/>
          <w:color w:val="auto"/>
          <w:kern w:val="0"/>
          <w:sz w:val="24"/>
          <w:szCs w:val="24"/>
          <w:highlight w:val="none"/>
        </w:rPr>
        <w:t>扣回比例为每月的工程进度款的</w:t>
      </w:r>
      <w:r>
        <w:rPr>
          <w:rFonts w:hint="eastAsia" w:ascii="宋体" w:hAnsi="宋体" w:eastAsia="宋体" w:cs="宋体"/>
          <w:b w:val="0"/>
          <w:bCs/>
          <w:snapToGrid w:val="0"/>
          <w:color w:val="auto"/>
          <w:kern w:val="0"/>
          <w:sz w:val="24"/>
          <w:szCs w:val="24"/>
          <w:highlight w:val="none"/>
          <w:lang w:val="en-US" w:eastAsia="zh-CN"/>
        </w:rPr>
        <w:t>40</w:t>
      </w:r>
      <w:r>
        <w:rPr>
          <w:rFonts w:hint="eastAsia" w:ascii="宋体" w:hAnsi="宋体" w:eastAsia="宋体" w:cs="宋体"/>
          <w:b w:val="0"/>
          <w:bCs/>
          <w:snapToGrid w:val="0"/>
          <w:color w:val="auto"/>
          <w:kern w:val="0"/>
          <w:sz w:val="24"/>
          <w:szCs w:val="24"/>
          <w:highlight w:val="none"/>
        </w:rPr>
        <w:t>%</w:t>
      </w:r>
      <w:r>
        <w:rPr>
          <w:rFonts w:hint="eastAsia" w:ascii="宋体" w:hAnsi="宋体" w:eastAsia="宋体" w:cs="宋体"/>
          <w:b w:val="0"/>
          <w:bCs/>
          <w:snapToGrid w:val="0"/>
          <w:color w:val="auto"/>
          <w:kern w:val="0"/>
          <w:sz w:val="24"/>
          <w:szCs w:val="24"/>
          <w:highlight w:val="none"/>
          <w:lang w:eastAsia="zh-CN"/>
        </w:rPr>
        <w:t>，</w:t>
      </w:r>
      <w:r>
        <w:rPr>
          <w:rFonts w:hint="eastAsia" w:ascii="宋体" w:hAnsi="宋体" w:eastAsia="宋体" w:cs="宋体"/>
          <w:b w:val="0"/>
          <w:bCs w:val="0"/>
          <w:caps w:val="0"/>
          <w:smallCaps w:val="0"/>
          <w:snapToGrid w:val="0"/>
          <w:color w:val="auto"/>
          <w:spacing w:val="0"/>
          <w:kern w:val="0"/>
          <w:sz w:val="24"/>
          <w:szCs w:val="24"/>
          <w:highlight w:val="none"/>
          <w:u w:val="none" w:color="auto"/>
        </w:rPr>
        <w:t>直到扣回的金额达到合同约定的预付款金额为止</w:t>
      </w:r>
      <w:r>
        <w:rPr>
          <w:rFonts w:hint="eastAsia" w:ascii="宋体" w:hAnsi="宋体" w:eastAsia="宋体" w:cs="宋体"/>
          <w:b w:val="0"/>
          <w:bCs w:val="0"/>
          <w:caps w:val="0"/>
          <w:smallCaps w:val="0"/>
          <w:snapToGrid w:val="0"/>
          <w:color w:val="auto"/>
          <w:spacing w:val="0"/>
          <w:kern w:val="0"/>
          <w:sz w:val="24"/>
          <w:szCs w:val="24"/>
          <w:highlight w:val="none"/>
          <w:u w:val="none" w:color="auto"/>
          <w:lang w:eastAsia="zh-CN"/>
        </w:rPr>
        <w:t>。</w:t>
      </w:r>
    </w:p>
    <w:p w14:paraId="120FFA22">
      <w:pPr>
        <w:pStyle w:val="51"/>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sz w:val="24"/>
          <w:szCs w:val="24"/>
          <w:highlight w:val="none"/>
        </w:rPr>
        <w:t>3.3</w:t>
      </w:r>
      <w:r>
        <w:rPr>
          <w:rStyle w:val="48"/>
          <w:rFonts w:hint="eastAsia" w:ascii="宋体" w:hAnsi="宋体" w:eastAsia="宋体" w:cs="宋体"/>
          <w:b w:val="0"/>
          <w:bCs w:val="0"/>
          <w:color w:val="auto"/>
          <w:sz w:val="24"/>
          <w:szCs w:val="24"/>
          <w:highlight w:val="none"/>
          <w:lang w:val="en-US" w:eastAsia="zh-CN"/>
        </w:rPr>
        <w:t xml:space="preserve"> </w:t>
      </w:r>
      <w:r>
        <w:rPr>
          <w:rStyle w:val="48"/>
          <w:rFonts w:hint="eastAsia" w:ascii="宋体" w:hAnsi="宋体" w:eastAsia="宋体" w:cs="宋体"/>
          <w:b w:val="0"/>
          <w:bCs w:val="0"/>
          <w:color w:val="auto"/>
          <w:kern w:val="1"/>
          <w:sz w:val="24"/>
          <w:szCs w:val="24"/>
          <w:highlight w:val="none"/>
        </w:rPr>
        <w:t>施工过程中按月支付工程进度款：承包</w:t>
      </w:r>
      <w:r>
        <w:rPr>
          <w:rStyle w:val="48"/>
          <w:rFonts w:hint="eastAsia" w:ascii="宋体" w:hAnsi="宋体" w:eastAsia="宋体" w:cs="宋体"/>
          <w:b w:val="0"/>
          <w:bCs w:val="0"/>
          <w:color w:val="auto"/>
          <w:kern w:val="1"/>
          <w:sz w:val="24"/>
          <w:szCs w:val="24"/>
          <w:highlight w:val="none"/>
          <w:lang w:eastAsia="zh-CN"/>
        </w:rPr>
        <w:t>人</w:t>
      </w:r>
      <w:r>
        <w:rPr>
          <w:rStyle w:val="48"/>
          <w:rFonts w:hint="eastAsia" w:ascii="宋体" w:hAnsi="宋体" w:eastAsia="宋体" w:cs="宋体"/>
          <w:b w:val="0"/>
          <w:bCs w:val="0"/>
          <w:color w:val="auto"/>
          <w:kern w:val="1"/>
          <w:sz w:val="24"/>
          <w:szCs w:val="24"/>
          <w:highlight w:val="none"/>
        </w:rPr>
        <w:t>每月按工程实际完成工程量</w:t>
      </w:r>
      <w:r>
        <w:rPr>
          <w:rStyle w:val="48"/>
          <w:rFonts w:hint="eastAsia" w:ascii="宋体" w:hAnsi="宋体" w:eastAsia="宋体" w:cs="宋体"/>
          <w:b w:val="0"/>
          <w:bCs w:val="0"/>
          <w:color w:val="auto"/>
          <w:kern w:val="1"/>
          <w:sz w:val="24"/>
          <w:szCs w:val="24"/>
          <w:highlight w:val="none"/>
          <w:lang w:eastAsia="zh-CN"/>
        </w:rPr>
        <w:t>（</w:t>
      </w:r>
      <w:r>
        <w:rPr>
          <w:rStyle w:val="48"/>
          <w:rFonts w:hint="eastAsia" w:ascii="宋体" w:hAnsi="宋体" w:eastAsia="宋体" w:cs="宋体"/>
          <w:b w:val="0"/>
          <w:bCs w:val="0"/>
          <w:color w:val="auto"/>
          <w:kern w:val="1"/>
          <w:sz w:val="24"/>
          <w:szCs w:val="24"/>
          <w:highlight w:val="none"/>
        </w:rPr>
        <w:t>含变更及增加工程</w:t>
      </w:r>
      <w:r>
        <w:rPr>
          <w:rStyle w:val="48"/>
          <w:rFonts w:hint="eastAsia" w:ascii="宋体" w:hAnsi="宋体" w:eastAsia="宋体" w:cs="宋体"/>
          <w:b w:val="0"/>
          <w:bCs w:val="0"/>
          <w:color w:val="auto"/>
          <w:kern w:val="1"/>
          <w:sz w:val="24"/>
          <w:szCs w:val="24"/>
          <w:highlight w:val="none"/>
          <w:lang w:eastAsia="zh-CN"/>
        </w:rPr>
        <w:t>）</w:t>
      </w:r>
      <w:r>
        <w:rPr>
          <w:rStyle w:val="48"/>
          <w:rFonts w:hint="eastAsia" w:ascii="宋体" w:hAnsi="宋体" w:eastAsia="宋体" w:cs="宋体"/>
          <w:b w:val="0"/>
          <w:bCs w:val="0"/>
          <w:color w:val="auto"/>
          <w:kern w:val="1"/>
          <w:sz w:val="24"/>
          <w:szCs w:val="24"/>
          <w:highlight w:val="none"/>
        </w:rPr>
        <w:t>申报，</w:t>
      </w:r>
      <w:r>
        <w:rPr>
          <w:rStyle w:val="48"/>
          <w:rFonts w:hint="eastAsia" w:ascii="宋体" w:hAnsi="宋体" w:eastAsia="宋体" w:cs="宋体"/>
          <w:b w:val="0"/>
          <w:bCs w:val="0"/>
          <w:color w:val="auto"/>
          <w:kern w:val="1"/>
          <w:sz w:val="24"/>
          <w:szCs w:val="24"/>
          <w:highlight w:val="none"/>
          <w:lang w:eastAsia="zh-CN"/>
        </w:rPr>
        <w:t>承包</w:t>
      </w:r>
      <w:r>
        <w:rPr>
          <w:rStyle w:val="48"/>
          <w:rFonts w:hint="eastAsia" w:ascii="宋体" w:hAnsi="宋体" w:eastAsia="宋体" w:cs="宋体"/>
          <w:b w:val="0"/>
          <w:bCs w:val="0"/>
          <w:color w:val="auto"/>
          <w:kern w:val="1"/>
          <w:sz w:val="24"/>
          <w:szCs w:val="24"/>
          <w:highlight w:val="none"/>
        </w:rPr>
        <w:t>人必须将《已完成工程量报表》和《工程付款申请书》于当月</w:t>
      </w:r>
      <w:r>
        <w:rPr>
          <w:rStyle w:val="48"/>
          <w:rFonts w:hint="eastAsia" w:ascii="宋体" w:hAnsi="宋体" w:eastAsia="宋体" w:cs="宋体"/>
          <w:b w:val="0"/>
          <w:bCs w:val="0"/>
          <w:color w:val="auto"/>
          <w:kern w:val="1"/>
          <w:sz w:val="24"/>
          <w:szCs w:val="24"/>
          <w:highlight w:val="none"/>
          <w:lang w:val="en-US" w:eastAsia="zh-CN"/>
        </w:rPr>
        <w:t>26日前</w:t>
      </w:r>
      <w:r>
        <w:rPr>
          <w:rStyle w:val="48"/>
          <w:rFonts w:hint="eastAsia" w:ascii="宋体" w:hAnsi="宋体" w:eastAsia="宋体" w:cs="宋体"/>
          <w:b w:val="0"/>
          <w:bCs w:val="0"/>
          <w:color w:val="auto"/>
          <w:kern w:val="1"/>
          <w:sz w:val="24"/>
          <w:szCs w:val="24"/>
          <w:highlight w:val="none"/>
        </w:rPr>
        <w:t>报监理</w:t>
      </w:r>
      <w:r>
        <w:rPr>
          <w:rStyle w:val="48"/>
          <w:rFonts w:hint="eastAsia" w:ascii="宋体" w:hAnsi="宋体" w:eastAsia="宋体" w:cs="宋体"/>
          <w:b w:val="0"/>
          <w:bCs w:val="0"/>
          <w:color w:val="auto"/>
          <w:kern w:val="1"/>
          <w:sz w:val="24"/>
          <w:szCs w:val="24"/>
          <w:highlight w:val="none"/>
          <w:lang w:eastAsia="zh-CN"/>
        </w:rPr>
        <w:t>单位</w:t>
      </w:r>
      <w:r>
        <w:rPr>
          <w:rStyle w:val="48"/>
          <w:rFonts w:hint="eastAsia" w:ascii="宋体" w:hAnsi="宋体" w:eastAsia="宋体" w:cs="宋体"/>
          <w:b w:val="0"/>
          <w:bCs w:val="0"/>
          <w:color w:val="auto"/>
          <w:kern w:val="1"/>
          <w:sz w:val="24"/>
          <w:szCs w:val="24"/>
          <w:highlight w:val="none"/>
        </w:rPr>
        <w:t>核</w:t>
      </w:r>
      <w:bookmarkStart w:id="195" w:name="_Hlt127094354"/>
      <w:bookmarkEnd w:id="195"/>
      <w:r>
        <w:rPr>
          <w:rStyle w:val="48"/>
          <w:rFonts w:hint="eastAsia" w:ascii="宋体" w:hAnsi="宋体" w:eastAsia="宋体" w:cs="宋体"/>
          <w:b w:val="0"/>
          <w:bCs w:val="0"/>
          <w:color w:val="auto"/>
          <w:kern w:val="1"/>
          <w:sz w:val="24"/>
          <w:szCs w:val="24"/>
          <w:highlight w:val="none"/>
        </w:rPr>
        <w:t>实</w:t>
      </w:r>
      <w:r>
        <w:rPr>
          <w:rStyle w:val="48"/>
          <w:rFonts w:hint="eastAsia" w:ascii="宋体" w:hAnsi="宋体" w:eastAsia="宋体" w:cs="宋体"/>
          <w:b w:val="0"/>
          <w:bCs w:val="0"/>
          <w:color w:val="auto"/>
          <w:kern w:val="1"/>
          <w:sz w:val="24"/>
          <w:szCs w:val="24"/>
          <w:highlight w:val="none"/>
          <w:lang w:eastAsia="zh-CN"/>
        </w:rPr>
        <w:t>。</w:t>
      </w:r>
      <w:r>
        <w:rPr>
          <w:rStyle w:val="48"/>
          <w:rFonts w:hint="eastAsia" w:ascii="宋体" w:hAnsi="宋体" w:eastAsia="宋体" w:cs="宋体"/>
          <w:b w:val="0"/>
          <w:bCs w:val="0"/>
          <w:color w:val="auto"/>
          <w:kern w:val="1"/>
          <w:sz w:val="24"/>
          <w:szCs w:val="24"/>
          <w:highlight w:val="none"/>
        </w:rPr>
        <w:t>经监理</w:t>
      </w:r>
      <w:r>
        <w:rPr>
          <w:rStyle w:val="48"/>
          <w:rFonts w:hint="eastAsia" w:ascii="宋体" w:hAnsi="宋体" w:eastAsia="宋体" w:cs="宋体"/>
          <w:b w:val="0"/>
          <w:bCs w:val="0"/>
          <w:color w:val="auto"/>
          <w:kern w:val="1"/>
          <w:sz w:val="24"/>
          <w:szCs w:val="24"/>
          <w:highlight w:val="none"/>
          <w:lang w:eastAsia="zh-CN"/>
        </w:rPr>
        <w:t>单位审核、发包</w:t>
      </w:r>
      <w:r>
        <w:rPr>
          <w:rStyle w:val="48"/>
          <w:rFonts w:hint="eastAsia" w:ascii="宋体" w:hAnsi="宋体" w:eastAsia="宋体" w:cs="宋体"/>
          <w:b w:val="0"/>
          <w:bCs w:val="0"/>
          <w:color w:val="auto"/>
          <w:kern w:val="1"/>
          <w:sz w:val="24"/>
          <w:szCs w:val="24"/>
          <w:highlight w:val="none"/>
        </w:rPr>
        <w:t>人</w:t>
      </w:r>
      <w:r>
        <w:rPr>
          <w:rStyle w:val="48"/>
          <w:rFonts w:hint="eastAsia" w:ascii="宋体" w:hAnsi="宋体" w:eastAsia="宋体" w:cs="宋体"/>
          <w:b w:val="0"/>
          <w:bCs w:val="0"/>
          <w:color w:val="auto"/>
          <w:kern w:val="1"/>
          <w:sz w:val="24"/>
          <w:szCs w:val="24"/>
          <w:highlight w:val="none"/>
          <w:lang w:eastAsia="zh-CN"/>
        </w:rPr>
        <w:t>审定</w:t>
      </w:r>
      <w:r>
        <w:rPr>
          <w:rStyle w:val="48"/>
          <w:rFonts w:hint="eastAsia" w:ascii="宋体" w:hAnsi="宋体" w:eastAsia="宋体" w:cs="宋体"/>
          <w:b w:val="0"/>
          <w:bCs w:val="0"/>
          <w:color w:val="auto"/>
          <w:kern w:val="1"/>
          <w:sz w:val="24"/>
          <w:szCs w:val="24"/>
          <w:highlight w:val="none"/>
        </w:rPr>
        <w:t>后</w:t>
      </w:r>
      <w:r>
        <w:rPr>
          <w:rStyle w:val="48"/>
          <w:rFonts w:hint="eastAsia" w:ascii="宋体" w:hAnsi="宋体" w:eastAsia="宋体" w:cs="宋体"/>
          <w:b w:val="0"/>
          <w:bCs w:val="0"/>
          <w:color w:val="auto"/>
          <w:kern w:val="1"/>
          <w:sz w:val="24"/>
          <w:szCs w:val="24"/>
          <w:highlight w:val="none"/>
          <w:lang w:eastAsia="zh-CN"/>
        </w:rPr>
        <w:t>的工程进度款（指已经按照合同约定，扣除该支付期内因承包人违约而应扣除的管理费）</w:t>
      </w:r>
      <w:r>
        <w:rPr>
          <w:rStyle w:val="48"/>
          <w:rFonts w:hint="eastAsia" w:ascii="宋体" w:hAnsi="宋体" w:eastAsia="宋体" w:cs="宋体"/>
          <w:b w:val="0"/>
          <w:bCs w:val="0"/>
          <w:color w:val="auto"/>
          <w:kern w:val="1"/>
          <w:sz w:val="24"/>
          <w:szCs w:val="24"/>
          <w:highlight w:val="none"/>
        </w:rPr>
        <w:t>，于申报次月支付。</w:t>
      </w:r>
    </w:p>
    <w:p w14:paraId="612C1547">
      <w:pPr>
        <w:pStyle w:val="51"/>
        <w:keepNext w:val="0"/>
        <w:keepLines w:val="0"/>
        <w:pageBreakBefore w:val="0"/>
        <w:kinsoku/>
        <w:overflowPunct/>
        <w:autoSpaceDE/>
        <w:autoSpaceDN/>
        <w:bidi w:val="0"/>
        <w:snapToGrid w:val="0"/>
        <w:spacing w:line="360" w:lineRule="auto"/>
        <w:ind w:firstLine="480"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val="0"/>
          <w:bCs w:val="0"/>
          <w:color w:val="auto"/>
          <w:sz w:val="24"/>
          <w:szCs w:val="24"/>
          <w:highlight w:val="none"/>
          <w:lang w:val="en-US" w:eastAsia="zh-CN"/>
        </w:rPr>
        <w:t>3.3.1</w:t>
      </w:r>
      <w:r>
        <w:rPr>
          <w:rFonts w:hint="eastAsia" w:ascii="宋体" w:hAnsi="宋体" w:eastAsia="宋体" w:cs="宋体"/>
          <w:b w:val="0"/>
          <w:bCs w:val="0"/>
          <w:caps w:val="0"/>
          <w:smallCaps w:val="0"/>
          <w:snapToGrid w:val="0"/>
          <w:color w:val="auto"/>
          <w:spacing w:val="0"/>
          <w:kern w:val="0"/>
          <w:sz w:val="24"/>
          <w:szCs w:val="24"/>
          <w:highlight w:val="none"/>
        </w:rPr>
        <w:t>每月的工程进度款按</w:t>
      </w:r>
      <w:r>
        <w:rPr>
          <w:rFonts w:hint="eastAsia" w:ascii="宋体" w:hAnsi="宋体" w:eastAsia="宋体" w:cs="宋体"/>
          <w:b w:val="0"/>
          <w:bCs w:val="0"/>
          <w:caps w:val="0"/>
          <w:smallCaps w:val="0"/>
          <w:snapToGrid w:val="0"/>
          <w:color w:val="auto"/>
          <w:spacing w:val="0"/>
          <w:kern w:val="0"/>
          <w:sz w:val="24"/>
          <w:szCs w:val="24"/>
          <w:highlight w:val="none"/>
          <w:lang w:eastAsia="zh-CN"/>
        </w:rPr>
        <w:t>工程实际完成工程量</w:t>
      </w:r>
      <w:r>
        <w:rPr>
          <w:rFonts w:hint="eastAsia" w:ascii="宋体" w:hAnsi="宋体" w:eastAsia="宋体" w:cs="宋体"/>
          <w:b w:val="0"/>
          <w:bCs w:val="0"/>
          <w:caps w:val="0"/>
          <w:smallCaps w:val="0"/>
          <w:snapToGrid w:val="0"/>
          <w:color w:val="auto"/>
          <w:spacing w:val="0"/>
          <w:kern w:val="0"/>
          <w:sz w:val="24"/>
          <w:szCs w:val="24"/>
          <w:highlight w:val="none"/>
        </w:rPr>
        <w:t>的</w:t>
      </w:r>
      <w:r>
        <w:rPr>
          <w:rFonts w:hint="eastAsia" w:ascii="宋体" w:hAnsi="宋体" w:eastAsia="宋体" w:cs="宋体"/>
          <w:b w:val="0"/>
          <w:bCs w:val="0"/>
          <w:caps w:val="0"/>
          <w:smallCaps w:val="0"/>
          <w:snapToGrid w:val="0"/>
          <w:color w:val="auto"/>
          <w:spacing w:val="0"/>
          <w:kern w:val="0"/>
          <w:sz w:val="24"/>
          <w:szCs w:val="24"/>
          <w:highlight w:val="none"/>
          <w:u w:val="single" w:color="auto"/>
          <w:lang w:val="en-US" w:eastAsia="zh-CN"/>
        </w:rPr>
        <w:t xml:space="preserve"> 80%</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b w:val="0"/>
          <w:bCs w:val="0"/>
          <w:caps w:val="0"/>
          <w:smallCaps w:val="0"/>
          <w:snapToGrid w:val="0"/>
          <w:color w:val="auto"/>
          <w:spacing w:val="0"/>
          <w:kern w:val="0"/>
          <w:sz w:val="24"/>
          <w:szCs w:val="24"/>
          <w:highlight w:val="none"/>
        </w:rPr>
        <w:t>支付</w:t>
      </w:r>
      <w:r>
        <w:rPr>
          <w:rFonts w:hint="eastAsia" w:ascii="宋体" w:hAnsi="宋体" w:eastAsia="宋体" w:cs="宋体"/>
          <w:b w:val="0"/>
          <w:bCs w:val="0"/>
          <w:caps w:val="0"/>
          <w:smallCaps w:val="0"/>
          <w:snapToGrid w:val="0"/>
          <w:color w:val="auto"/>
          <w:spacing w:val="0"/>
          <w:kern w:val="0"/>
          <w:sz w:val="24"/>
          <w:szCs w:val="24"/>
          <w:highlight w:val="none"/>
          <w:lang w:eastAsia="zh-CN"/>
        </w:rPr>
        <w:t>（不含人工费）</w:t>
      </w:r>
      <w:r>
        <w:rPr>
          <w:rFonts w:hint="eastAsia" w:ascii="宋体" w:hAnsi="宋体" w:eastAsia="宋体" w:cs="宋体"/>
          <w:b w:val="0"/>
          <w:bCs w:val="0"/>
          <w:caps w:val="0"/>
          <w:smallCaps w:val="0"/>
          <w:snapToGrid w:val="0"/>
          <w:color w:val="auto"/>
          <w:spacing w:val="0"/>
          <w:kern w:val="0"/>
          <w:sz w:val="24"/>
          <w:szCs w:val="24"/>
          <w:highlight w:val="none"/>
        </w:rPr>
        <w:t>，工程</w:t>
      </w:r>
      <w:r>
        <w:rPr>
          <w:rFonts w:hint="eastAsia" w:ascii="宋体" w:hAnsi="宋体" w:eastAsia="宋体" w:cs="宋体"/>
          <w:b w:val="0"/>
          <w:bCs w:val="0"/>
          <w:caps w:val="0"/>
          <w:smallCaps w:val="0"/>
          <w:snapToGrid w:val="0"/>
          <w:color w:val="auto"/>
          <w:spacing w:val="0"/>
          <w:kern w:val="0"/>
          <w:sz w:val="24"/>
          <w:szCs w:val="24"/>
          <w:highlight w:val="none"/>
          <w:lang w:eastAsia="zh-CN"/>
        </w:rPr>
        <w:t>进度</w:t>
      </w:r>
      <w:r>
        <w:rPr>
          <w:rFonts w:hint="eastAsia" w:ascii="宋体" w:hAnsi="宋体" w:eastAsia="宋体" w:cs="宋体"/>
          <w:b w:val="0"/>
          <w:bCs w:val="0"/>
          <w:caps w:val="0"/>
          <w:smallCaps w:val="0"/>
          <w:snapToGrid w:val="0"/>
          <w:color w:val="auto"/>
          <w:spacing w:val="0"/>
          <w:kern w:val="0"/>
          <w:sz w:val="24"/>
          <w:szCs w:val="24"/>
          <w:highlight w:val="none"/>
        </w:rPr>
        <w:t>款中的作业工人工资款项由发包人单独足额拨付到承包人的工资专户</w:t>
      </w:r>
      <w:r>
        <w:rPr>
          <w:rFonts w:hint="eastAsia" w:ascii="宋体" w:hAnsi="宋体" w:eastAsia="宋体" w:cs="宋体"/>
          <w:b w:val="0"/>
          <w:bCs w:val="0"/>
          <w:caps w:val="0"/>
          <w:smallCaps w:val="0"/>
          <w:snapToGrid w:val="0"/>
          <w:color w:val="auto"/>
          <w:spacing w:val="0"/>
          <w:kern w:val="0"/>
          <w:sz w:val="24"/>
          <w:szCs w:val="24"/>
          <w:highlight w:val="none"/>
          <w:lang w:eastAsia="zh-CN"/>
        </w:rPr>
        <w:t>。</w:t>
      </w:r>
    </w:p>
    <w:p w14:paraId="339F2C0F">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kern w:val="1"/>
          <w:sz w:val="24"/>
          <w:szCs w:val="24"/>
          <w:highlight w:val="none"/>
        </w:rPr>
        <w:t>3.4</w:t>
      </w:r>
      <w:r>
        <w:rPr>
          <w:rStyle w:val="48"/>
          <w:rFonts w:hint="eastAsia" w:ascii="宋体" w:hAnsi="宋体" w:eastAsia="宋体" w:cs="宋体"/>
          <w:b w:val="0"/>
          <w:bCs w:val="0"/>
          <w:color w:val="auto"/>
          <w:kern w:val="1"/>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rPr>
        <w:t>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78EE1D7F">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kern w:val="1"/>
          <w:sz w:val="24"/>
          <w:szCs w:val="24"/>
          <w:highlight w:val="none"/>
        </w:rPr>
        <w:t>3.5</w:t>
      </w:r>
      <w:r>
        <w:rPr>
          <w:rStyle w:val="48"/>
          <w:rFonts w:hint="eastAsia" w:ascii="宋体" w:hAnsi="宋体" w:eastAsia="宋体" w:cs="宋体"/>
          <w:b w:val="0"/>
          <w:bCs w:val="0"/>
          <w:color w:val="auto"/>
          <w:kern w:val="1"/>
          <w:sz w:val="24"/>
          <w:szCs w:val="24"/>
          <w:highlight w:val="none"/>
          <w:lang w:val="en-US" w:eastAsia="zh-CN"/>
        </w:rPr>
        <w:t xml:space="preserve"> </w:t>
      </w:r>
      <w:r>
        <w:rPr>
          <w:rStyle w:val="48"/>
          <w:rFonts w:hint="eastAsia" w:ascii="宋体" w:hAnsi="宋体" w:eastAsia="宋体" w:cs="宋体"/>
          <w:b w:val="0"/>
          <w:bCs w:val="0"/>
          <w:color w:val="auto"/>
          <w:kern w:val="0"/>
          <w:sz w:val="24"/>
          <w:szCs w:val="24"/>
          <w:highlight w:val="none"/>
        </w:rPr>
        <w:t>变更工程造价必须经监理单位核实，并经发包人核定后方可支付。</w:t>
      </w:r>
    </w:p>
    <w:p w14:paraId="221BB690">
      <w:pPr>
        <w:keepNext w:val="0"/>
        <w:keepLines w:val="0"/>
        <w:pageBreakBefore w:val="0"/>
        <w:kinsoku/>
        <w:overflowPunct/>
        <w:autoSpaceDE/>
        <w:autoSpaceDN/>
        <w:bidi w:val="0"/>
        <w:snapToGrid w:val="0"/>
        <w:spacing w:line="360" w:lineRule="auto"/>
        <w:ind w:firstLine="482" w:firstLineChars="200"/>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Style w:val="48"/>
          <w:rFonts w:hint="eastAsia" w:ascii="宋体" w:hAnsi="宋体" w:eastAsia="宋体" w:cs="宋体"/>
          <w:b/>
          <w:bCs/>
          <w:color w:val="auto"/>
          <w:kern w:val="1"/>
          <w:sz w:val="24"/>
          <w:szCs w:val="24"/>
          <w:highlight w:val="none"/>
        </w:rPr>
        <w:t>3.6</w:t>
      </w:r>
      <w:r>
        <w:rPr>
          <w:rStyle w:val="48"/>
          <w:rFonts w:hint="eastAsia" w:ascii="宋体" w:hAnsi="宋体" w:eastAsia="宋体" w:cs="宋体"/>
          <w:b w:val="0"/>
          <w:bCs w:val="0"/>
          <w:color w:val="auto"/>
          <w:kern w:val="1"/>
          <w:sz w:val="24"/>
          <w:szCs w:val="24"/>
          <w:highlight w:val="none"/>
        </w:rPr>
        <w:t xml:space="preserve"> </w:t>
      </w:r>
      <w:r>
        <w:rPr>
          <w:rFonts w:hint="eastAsia" w:ascii="宋体" w:hAnsi="宋体" w:eastAsia="宋体" w:cs="宋体"/>
          <w:b w:val="0"/>
          <w:bCs w:val="0"/>
          <w:caps w:val="0"/>
          <w:smallCaps w:val="0"/>
          <w:snapToGrid w:val="0"/>
          <w:color w:val="auto"/>
          <w:spacing w:val="0"/>
          <w:kern w:val="0"/>
          <w:sz w:val="24"/>
          <w:szCs w:val="24"/>
          <w:highlight w:val="none"/>
          <w:lang w:eastAsia="zh-CN"/>
        </w:rPr>
        <w:t>结算审核完成后，于次月支付至审核价格的97%（以高新区财审审定后的价格为准），剩余3%转为质量保证金；承包人提交了等额质量保证担保或质量保证保险的，于次月一次性结清合同价格。</w:t>
      </w:r>
    </w:p>
    <w:p w14:paraId="12E62EB8">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textAlignment w:val="auto"/>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lang w:val="en-US" w:eastAsia="zh-CN"/>
        </w:rPr>
        <w:t>注：招标人在前款规定的付款时间为向支付部门提出办理支付申请手续的时间（不含支付部门审核的时间），在规定时间内提出支付申请手续后即视为招标人已经按期支付。</w:t>
      </w:r>
    </w:p>
    <w:p w14:paraId="6EB20441">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lang w:val="en-US" w:eastAsia="zh-CN"/>
        </w:rPr>
      </w:pPr>
      <w:r>
        <w:rPr>
          <w:rStyle w:val="48"/>
          <w:rFonts w:hint="eastAsia" w:ascii="宋体" w:hAnsi="宋体" w:eastAsia="宋体" w:cs="宋体"/>
          <w:b/>
          <w:bCs/>
          <w:color w:val="auto"/>
          <w:kern w:val="1"/>
          <w:sz w:val="24"/>
          <w:szCs w:val="24"/>
          <w:highlight w:val="none"/>
        </w:rPr>
        <w:t>3.7</w:t>
      </w:r>
      <w:r>
        <w:rPr>
          <w:rStyle w:val="48"/>
          <w:rFonts w:hint="eastAsia" w:ascii="宋体" w:hAnsi="宋体" w:eastAsia="宋体" w:cs="宋体"/>
          <w:b w:val="0"/>
          <w:bCs w:val="0"/>
          <w:color w:val="auto"/>
          <w:kern w:val="1"/>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rPr>
        <w:t>本工程缺陷责任期为</w:t>
      </w:r>
      <w:r>
        <w:rPr>
          <w:rFonts w:hint="eastAsia" w:ascii="宋体" w:hAnsi="宋体" w:eastAsia="宋体" w:cs="宋体"/>
          <w:b w:val="0"/>
          <w:bCs w:val="0"/>
          <w:snapToGrid w:val="0"/>
          <w:color w:val="auto"/>
          <w:kern w:val="0"/>
          <w:sz w:val="24"/>
          <w:szCs w:val="24"/>
          <w:highlight w:val="none"/>
          <w:u w:val="single"/>
        </w:rPr>
        <w:t xml:space="preserve"> 2 </w:t>
      </w:r>
      <w:r>
        <w:rPr>
          <w:rFonts w:hint="eastAsia" w:ascii="宋体" w:hAnsi="宋体" w:eastAsia="宋体" w:cs="宋体"/>
          <w:b w:val="0"/>
          <w:bCs w:val="0"/>
          <w:snapToGrid w:val="0"/>
          <w:color w:val="auto"/>
          <w:kern w:val="0"/>
          <w:sz w:val="24"/>
          <w:szCs w:val="24"/>
          <w:highlight w:val="none"/>
        </w:rPr>
        <w:t>年（自通过竣工验收之日起计）。缺陷责任期到期后，承包人向发包人申请退还质量保证金。发包人收到退还申请后，于</w:t>
      </w:r>
      <w:r>
        <w:rPr>
          <w:rFonts w:hint="eastAsia" w:ascii="宋体" w:hAnsi="宋体" w:eastAsia="宋体" w:cs="宋体"/>
          <w:b w:val="0"/>
          <w:bCs w:val="0"/>
          <w:snapToGrid w:val="0"/>
          <w:color w:val="auto"/>
          <w:kern w:val="0"/>
          <w:sz w:val="24"/>
          <w:szCs w:val="24"/>
          <w:highlight w:val="none"/>
          <w:u w:val="single"/>
        </w:rPr>
        <w:t xml:space="preserve"> 14 </w:t>
      </w:r>
      <w:r>
        <w:rPr>
          <w:rFonts w:hint="eastAsia" w:ascii="宋体" w:hAnsi="宋体" w:eastAsia="宋体" w:cs="宋体"/>
          <w:b w:val="0"/>
          <w:bCs w:val="0"/>
          <w:snapToGrid w:val="0"/>
          <w:color w:val="auto"/>
          <w:kern w:val="0"/>
          <w:sz w:val="24"/>
          <w:szCs w:val="24"/>
          <w:highlight w:val="none"/>
        </w:rPr>
        <w:t>天内会同承包人进行核实。经双方核实且均无异议后，发包人在核实之日起</w:t>
      </w:r>
      <w:r>
        <w:rPr>
          <w:rFonts w:hint="eastAsia" w:ascii="宋体" w:hAnsi="宋体" w:eastAsia="宋体" w:cs="宋体"/>
          <w:b w:val="0"/>
          <w:bCs w:val="0"/>
          <w:snapToGrid w:val="0"/>
          <w:color w:val="auto"/>
          <w:kern w:val="0"/>
          <w:sz w:val="24"/>
          <w:szCs w:val="24"/>
          <w:highlight w:val="none"/>
          <w:u w:val="single"/>
        </w:rPr>
        <w:t xml:space="preserve"> 14 </w:t>
      </w:r>
      <w:r>
        <w:rPr>
          <w:rFonts w:hint="eastAsia" w:ascii="宋体" w:hAnsi="宋体" w:eastAsia="宋体" w:cs="宋体"/>
          <w:b w:val="0"/>
          <w:bCs w:val="0"/>
          <w:snapToGrid w:val="0"/>
          <w:color w:val="auto"/>
          <w:kern w:val="0"/>
          <w:sz w:val="24"/>
          <w:szCs w:val="24"/>
          <w:highlight w:val="none"/>
        </w:rPr>
        <w:t>天内将应返保证金（或质量保证担保或质量保证保险）退还承包人。</w:t>
      </w:r>
    </w:p>
    <w:p w14:paraId="54E0EE63">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bCs/>
          <w:color w:val="auto"/>
          <w:kern w:val="1"/>
          <w:sz w:val="24"/>
          <w:szCs w:val="24"/>
          <w:highlight w:val="none"/>
        </w:rPr>
      </w:pPr>
      <w:r>
        <w:rPr>
          <w:rStyle w:val="48"/>
          <w:rFonts w:hint="eastAsia" w:ascii="宋体" w:hAnsi="宋体" w:eastAsia="宋体" w:cs="宋体"/>
          <w:b/>
          <w:bCs/>
          <w:color w:val="auto"/>
          <w:kern w:val="1"/>
          <w:sz w:val="24"/>
          <w:szCs w:val="24"/>
          <w:highlight w:val="none"/>
        </w:rPr>
        <w:t>3.8</w:t>
      </w:r>
      <w:r>
        <w:rPr>
          <w:rStyle w:val="48"/>
          <w:rFonts w:hint="eastAsia" w:ascii="宋体" w:hAnsi="宋体" w:eastAsia="宋体" w:cs="宋体"/>
          <w:b w:val="0"/>
          <w:bCs w:val="0"/>
          <w:color w:val="auto"/>
          <w:kern w:val="1"/>
          <w:sz w:val="24"/>
          <w:szCs w:val="24"/>
          <w:highlight w:val="none"/>
        </w:rPr>
        <w:t xml:space="preserve"> </w:t>
      </w:r>
      <w:r>
        <w:rPr>
          <w:rFonts w:hint="eastAsia" w:ascii="宋体" w:hAnsi="宋体" w:eastAsia="宋体" w:cs="宋体"/>
          <w:b/>
          <w:bCs/>
          <w:snapToGrid w:val="0"/>
          <w:color w:val="auto"/>
          <w:kern w:val="0"/>
          <w:sz w:val="24"/>
          <w:szCs w:val="24"/>
          <w:highlight w:val="none"/>
        </w:rPr>
        <w:t>发包人每次支付工程款前，承包人均应提供</w:t>
      </w:r>
      <w:r>
        <w:rPr>
          <w:rFonts w:hint="eastAsia" w:ascii="宋体" w:hAnsi="宋体" w:eastAsia="宋体" w:cs="宋体"/>
          <w:b/>
          <w:bCs/>
          <w:snapToGrid w:val="0"/>
          <w:color w:val="auto"/>
          <w:kern w:val="0"/>
          <w:sz w:val="24"/>
          <w:szCs w:val="24"/>
          <w:highlight w:val="none"/>
          <w:lang w:val="en-US" w:eastAsia="zh-CN"/>
        </w:rPr>
        <w:t>符合项目业主单位要求的</w:t>
      </w:r>
      <w:r>
        <w:rPr>
          <w:rFonts w:hint="eastAsia" w:ascii="宋体" w:hAnsi="宋体" w:eastAsia="宋体" w:cs="宋体"/>
          <w:b/>
          <w:bCs/>
          <w:snapToGrid w:val="0"/>
          <w:color w:val="auto"/>
          <w:kern w:val="0"/>
          <w:sz w:val="24"/>
          <w:szCs w:val="24"/>
          <w:highlight w:val="none"/>
        </w:rPr>
        <w:t>有效的增值税发票。如果承包人无法提供符合要求的发票，由此造成的相应损失由承包人承担。</w:t>
      </w:r>
    </w:p>
    <w:p w14:paraId="26F4FEF7">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kern w:val="1"/>
          <w:sz w:val="24"/>
          <w:szCs w:val="24"/>
          <w:highlight w:val="none"/>
        </w:rPr>
        <w:t>3.</w:t>
      </w:r>
      <w:r>
        <w:rPr>
          <w:rStyle w:val="48"/>
          <w:rFonts w:hint="eastAsia" w:ascii="宋体" w:hAnsi="宋体" w:eastAsia="宋体" w:cs="宋体"/>
          <w:b/>
          <w:bCs/>
          <w:color w:val="auto"/>
          <w:kern w:val="1"/>
          <w:sz w:val="24"/>
          <w:szCs w:val="24"/>
          <w:highlight w:val="none"/>
          <w:lang w:val="en-US" w:eastAsia="zh-CN"/>
        </w:rPr>
        <w:t>10</w:t>
      </w:r>
      <w:r>
        <w:rPr>
          <w:rStyle w:val="48"/>
          <w:rFonts w:hint="eastAsia" w:ascii="宋体" w:hAnsi="宋体" w:eastAsia="宋体" w:cs="宋体"/>
          <w:b w:val="0"/>
          <w:bCs w:val="0"/>
          <w:color w:val="auto"/>
          <w:kern w:val="1"/>
          <w:sz w:val="24"/>
          <w:szCs w:val="24"/>
          <w:highlight w:val="none"/>
        </w:rPr>
        <w:t xml:space="preserve"> 暂列金额结算方式：</w:t>
      </w:r>
      <w:r>
        <w:rPr>
          <w:rStyle w:val="48"/>
          <w:rFonts w:hint="eastAsia" w:ascii="宋体" w:hAnsi="宋体" w:eastAsia="宋体" w:cs="宋体"/>
          <w:b w:val="0"/>
          <w:bCs w:val="0"/>
          <w:color w:val="auto"/>
          <w:kern w:val="1"/>
          <w:sz w:val="24"/>
          <w:szCs w:val="24"/>
          <w:highlight w:val="none"/>
          <w:u w:val="single"/>
        </w:rPr>
        <w:t>承包人需根据发包人的要求完善工程变更签证相关程序后，与每个月的工程进度款一并报送”。若承包人原因未按上述办法在规定时间内完善工程变更签证相关程序的，次月工程进度款暂停拨付。在暂列金额的范围内，最终经发包人确认后支付至该部分实际完成工程量的80％，其余部分待最终结算完成审核后支付至97%，剩余3%为工程质量保修金。</w:t>
      </w:r>
    </w:p>
    <w:p w14:paraId="48E7C2E3">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kern w:val="1"/>
          <w:sz w:val="24"/>
          <w:szCs w:val="24"/>
          <w:highlight w:val="none"/>
        </w:rPr>
        <w:t>3.</w:t>
      </w:r>
      <w:r>
        <w:rPr>
          <w:rStyle w:val="48"/>
          <w:rFonts w:hint="eastAsia" w:ascii="宋体" w:hAnsi="宋体" w:eastAsia="宋体" w:cs="宋体"/>
          <w:b/>
          <w:bCs/>
          <w:color w:val="auto"/>
          <w:kern w:val="1"/>
          <w:sz w:val="24"/>
          <w:szCs w:val="24"/>
          <w:highlight w:val="none"/>
          <w:lang w:val="en-US" w:eastAsia="zh-CN"/>
        </w:rPr>
        <w:t>11</w:t>
      </w:r>
      <w:r>
        <w:rPr>
          <w:rStyle w:val="48"/>
          <w:rFonts w:hint="eastAsia" w:ascii="宋体" w:hAnsi="宋体" w:eastAsia="宋体" w:cs="宋体"/>
          <w:b w:val="0"/>
          <w:bCs w:val="0"/>
          <w:color w:val="auto"/>
          <w:kern w:val="1"/>
          <w:sz w:val="24"/>
          <w:szCs w:val="24"/>
          <w:highlight w:val="none"/>
        </w:rPr>
        <w:t>材料暂估价、专业工程暂估价支付方式：材料暂估价、专业工程暂估价与每个月的工程进度款一并报送，但需要列明详细项目内容，该部分材料暂估价、专业工程暂估价按该部分实际完成工程量的80%支付，剩余部分待最终结算完成后支付至97%，剩余3%为工程质量保修金。</w:t>
      </w:r>
    </w:p>
    <w:p w14:paraId="250F0574">
      <w:pPr>
        <w:spacing w:before="151" w:line="360" w:lineRule="auto"/>
        <w:ind w:left="476"/>
        <w:outlineLvl w:val="2"/>
        <w:rPr>
          <w:rFonts w:hint="eastAsia" w:ascii="宋体" w:hAnsi="宋体" w:eastAsia="宋体" w:cs="宋体"/>
          <w:b/>
          <w:bCs/>
          <w:color w:val="auto"/>
          <w:spacing w:val="-11"/>
          <w:sz w:val="24"/>
          <w:szCs w:val="24"/>
          <w:highlight w:val="none"/>
        </w:rPr>
      </w:pPr>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其他专用合同条款</w:t>
      </w:r>
      <w:bookmarkEnd w:id="193"/>
      <w:bookmarkEnd w:id="194"/>
    </w:p>
    <w:p w14:paraId="66D497E1">
      <w:pPr>
        <w:keepNext w:val="0"/>
        <w:keepLines w:val="0"/>
        <w:pageBreakBefore w:val="0"/>
        <w:kinsoku/>
        <w:overflowPunct/>
        <w:topLinePunct w:val="0"/>
        <w:autoSpaceDE/>
        <w:autoSpaceDN/>
        <w:bidi w:val="0"/>
        <w:snapToGrid w:val="0"/>
        <w:spacing w:line="360" w:lineRule="auto"/>
        <w:ind w:firstLine="480" w:firstLineChars="200"/>
        <w:rPr>
          <w:rFonts w:hint="eastAsia" w:ascii="宋体" w:hAnsi="宋体" w:eastAsia="宋体" w:cs="宋体"/>
          <w:b w:val="0"/>
          <w:snapToGrid w:val="0"/>
          <w:color w:val="auto"/>
          <w:kern w:val="0"/>
          <w:sz w:val="24"/>
          <w:szCs w:val="24"/>
          <w:highlight w:val="none"/>
          <w:u w:val="single"/>
          <w:lang w:val="en-US" w:eastAsia="zh-CN" w:bidi="ar-SA"/>
        </w:rPr>
      </w:pPr>
      <w:r>
        <w:rPr>
          <w:rFonts w:hint="eastAsia" w:ascii="宋体" w:hAnsi="宋体" w:eastAsia="宋体" w:cs="宋体"/>
          <w:b w:val="0"/>
          <w:snapToGrid w:val="0"/>
          <w:color w:val="auto"/>
          <w:kern w:val="0"/>
          <w:sz w:val="24"/>
          <w:szCs w:val="24"/>
          <w:highlight w:val="none"/>
          <w:u w:val="single"/>
          <w:lang w:val="en-US" w:eastAsia="zh-CN" w:bidi="ar-SA"/>
        </w:rPr>
        <w:t>由招标人根据本工程实际情况和地方政策与中标人自行协商签定相关专用合同条款。</w:t>
      </w:r>
    </w:p>
    <w:p w14:paraId="7C0E449D">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zh-CN"/>
        </w:rPr>
      </w:pPr>
      <w:bookmarkStart w:id="196" w:name="_Toc10299"/>
      <w:r>
        <w:rPr>
          <w:rFonts w:hint="eastAsia" w:ascii="宋体" w:hAnsi="宋体" w:eastAsia="宋体" w:cs="宋体"/>
          <w:b/>
          <w:bCs/>
          <w:snapToGrid w:val="0"/>
          <w:color w:val="auto"/>
          <w:kern w:val="0"/>
          <w:sz w:val="24"/>
          <w:szCs w:val="24"/>
          <w:highlight w:val="none"/>
          <w:lang w:val="en-US" w:eastAsia="zh-CN"/>
        </w:rPr>
        <w:t>4.1</w:t>
      </w:r>
      <w:r>
        <w:rPr>
          <w:rFonts w:hint="eastAsia" w:ascii="宋体" w:hAnsi="宋体" w:eastAsia="宋体" w:cs="宋体"/>
          <w:b w:val="0"/>
          <w:bCs w:val="0"/>
          <w:snapToGrid w:val="0"/>
          <w:color w:val="auto"/>
          <w:kern w:val="0"/>
          <w:sz w:val="24"/>
          <w:szCs w:val="24"/>
          <w:highlight w:val="none"/>
          <w:lang w:val="en-US" w:eastAsia="zh-CN"/>
        </w:rPr>
        <w:t>专业工程分包</w:t>
      </w:r>
      <w:bookmarkEnd w:id="196"/>
    </w:p>
    <w:p w14:paraId="09D90C9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6EFBAFD8">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en-US"/>
        </w:rPr>
      </w:pPr>
      <w:bookmarkStart w:id="197" w:name="_Toc15504"/>
      <w:bookmarkStart w:id="198" w:name="_Toc4288"/>
      <w:bookmarkStart w:id="199" w:name="_Toc23958"/>
      <w:bookmarkStart w:id="200" w:name="_Toc24421"/>
      <w:bookmarkStart w:id="201" w:name="_Toc7163"/>
      <w:r>
        <w:rPr>
          <w:rFonts w:hint="eastAsia" w:ascii="宋体" w:hAnsi="宋体" w:eastAsia="宋体" w:cs="宋体"/>
          <w:b/>
          <w:bCs/>
          <w:snapToGrid w:val="0"/>
          <w:color w:val="auto"/>
          <w:kern w:val="0"/>
          <w:sz w:val="24"/>
          <w:szCs w:val="24"/>
          <w:highlight w:val="none"/>
          <w:lang w:val="en-US" w:eastAsia="zh-CN"/>
        </w:rPr>
        <w:t>4.2</w:t>
      </w:r>
      <w:r>
        <w:rPr>
          <w:rFonts w:hint="eastAsia" w:ascii="宋体" w:hAnsi="宋体" w:eastAsia="宋体" w:cs="宋体"/>
          <w:b w:val="0"/>
          <w:bCs w:val="0"/>
          <w:snapToGrid w:val="0"/>
          <w:color w:val="auto"/>
          <w:kern w:val="0"/>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lang w:val="en-US" w:eastAsia="en-US"/>
        </w:rPr>
        <w:t>工人工资支付专用账户</w:t>
      </w:r>
      <w:bookmarkEnd w:id="197"/>
      <w:bookmarkEnd w:id="198"/>
      <w:bookmarkEnd w:id="199"/>
      <w:bookmarkEnd w:id="200"/>
      <w:bookmarkEnd w:id="201"/>
    </w:p>
    <w:p w14:paraId="39CC6A01">
      <w:pPr>
        <w:keepNext w:val="0"/>
        <w:keepLines w:val="0"/>
        <w:pageBreakBefore w:val="0"/>
        <w:kinsoku/>
        <w:wordWrap w:val="0"/>
        <w:overflowPunct/>
        <w:topLinePunct w:val="0"/>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lang w:val="en-US" w:eastAsia="en-US" w:bidi="ar-SA"/>
        </w:rPr>
      </w:pPr>
      <w:r>
        <w:rPr>
          <w:rFonts w:hint="eastAsia" w:ascii="宋体" w:hAnsi="宋体" w:eastAsia="宋体" w:cs="宋体"/>
          <w:b/>
          <w:bCs/>
          <w:snapToGrid w:val="0"/>
          <w:color w:val="auto"/>
          <w:kern w:val="0"/>
          <w:sz w:val="24"/>
          <w:szCs w:val="24"/>
          <w:highlight w:val="none"/>
          <w:lang w:val="en-US" w:eastAsia="zh-CN" w:bidi="ar-SA"/>
        </w:rPr>
        <w:t>4.2</w:t>
      </w:r>
      <w:r>
        <w:rPr>
          <w:rFonts w:hint="eastAsia" w:ascii="宋体" w:hAnsi="宋体" w:eastAsia="宋体" w:cs="宋体"/>
          <w:b/>
          <w:bCs/>
          <w:snapToGrid w:val="0"/>
          <w:color w:val="auto"/>
          <w:kern w:val="0"/>
          <w:sz w:val="24"/>
          <w:szCs w:val="24"/>
          <w:highlight w:val="none"/>
          <w:lang w:val="en-US" w:eastAsia="en-US" w:bidi="ar-SA"/>
        </w:rPr>
        <w:t>.1</w:t>
      </w:r>
      <w:r>
        <w:rPr>
          <w:rFonts w:hint="eastAsia" w:ascii="宋体" w:hAnsi="宋体" w:eastAsia="宋体" w:cs="宋体"/>
          <w:b w:val="0"/>
          <w:bCs w:val="0"/>
          <w:snapToGrid w:val="0"/>
          <w:color w:val="auto"/>
          <w:kern w:val="0"/>
          <w:sz w:val="24"/>
          <w:szCs w:val="24"/>
          <w:highlight w:val="none"/>
          <w:lang w:val="en-US" w:eastAsia="en-US" w:bidi="ar-SA"/>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52B3B8ED">
      <w:pPr>
        <w:keepNext w:val="0"/>
        <w:keepLines w:val="0"/>
        <w:pageBreakBefore w:val="0"/>
        <w:widowControl/>
        <w:suppressLineNumbers w:val="0"/>
        <w:kinsoku/>
        <w:overflowPunct/>
        <w:topLinePunct w:val="0"/>
        <w:bidi w:val="0"/>
        <w:spacing w:line="360" w:lineRule="auto"/>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color w:val="auto"/>
          <w:kern w:val="0"/>
          <w:sz w:val="24"/>
          <w:szCs w:val="24"/>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75121020">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w:t>
      </w:r>
    </w:p>
    <w:p w14:paraId="72B308BD">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3D1AEF70">
      <w:pPr>
        <w:keepNext w:val="0"/>
        <w:keepLines w:val="0"/>
        <w:pageBreakBefore w:val="0"/>
        <w:widowControl/>
        <w:suppressLineNumbers w:val="0"/>
        <w:kinsoku/>
        <w:overflowPunct/>
        <w:topLinePunct w:val="0"/>
        <w:bidi w:val="0"/>
        <w:spacing w:line="360" w:lineRule="auto"/>
        <w:ind w:firstLine="241" w:firstLineChars="100"/>
        <w:jc w:val="left"/>
        <w:rPr>
          <w:rFonts w:hint="eastAsia" w:ascii="宋体" w:hAnsi="宋体" w:eastAsia="宋体" w:cs="宋体"/>
          <w:color w:val="auto"/>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.3</w:t>
      </w:r>
      <w:r>
        <w:rPr>
          <w:rFonts w:hint="eastAsia" w:ascii="宋体" w:hAnsi="宋体" w:eastAsia="宋体" w:cs="宋体"/>
          <w:strike w:val="0"/>
          <w:dstrike w:val="0"/>
          <w:snapToGrid w:val="0"/>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bidi="ar"/>
        </w:rPr>
        <w:t>承包人应在工资专户开立后2个工作日内，将开户银行及其账号、开户协议等资料提交给发包人。</w:t>
      </w:r>
    </w:p>
    <w:p w14:paraId="558B9954">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（1）用人单位应当在建设项目动工前，在建设项目所在地商业银行设立工人工资支付专用账户。</w:t>
      </w:r>
    </w:p>
    <w:p w14:paraId="5B108B2D">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（2）用人单位应当在用工之日起 15 日内为每一位工人办理个人银行账户。</w:t>
      </w:r>
    </w:p>
    <w:p w14:paraId="42CD3A43">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（3）用人单位应当指定专人负责建设项目施工现场台账管理，真实、准确记录工人名册、劳务合同、劳动合同、工程进度、工时台账、劳务承包款和工人工资支付等信息，并保存两年以上备查。</w:t>
      </w:r>
    </w:p>
    <w:p w14:paraId="4645E9C1">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1ECE605D">
      <w:pPr>
        <w:keepNext w:val="0"/>
        <w:keepLines w:val="0"/>
        <w:pageBreakBefore w:val="0"/>
        <w:widowControl/>
        <w:suppressLineNumbers w:val="0"/>
        <w:kinsoku/>
        <w:overflowPunct/>
        <w:topLinePunct w:val="0"/>
        <w:bidi w:val="0"/>
        <w:spacing w:line="360" w:lineRule="auto"/>
        <w:ind w:firstLine="482" w:firstLineChars="200"/>
        <w:jc w:val="left"/>
        <w:rPr>
          <w:rStyle w:val="48"/>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 xml:space="preserve">4.2.4 </w:t>
      </w:r>
      <w:r>
        <w:rPr>
          <w:rFonts w:hint="eastAsia" w:ascii="宋体" w:hAnsi="宋体" w:eastAsia="宋体" w:cs="宋体"/>
          <w:color w:val="auto"/>
          <w:kern w:val="0"/>
          <w:sz w:val="24"/>
          <w:szCs w:val="24"/>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5D35AD0">
      <w:pPr>
        <w:spacing w:before="151" w:line="360" w:lineRule="auto"/>
        <w:ind w:left="476"/>
        <w:outlineLvl w:val="2"/>
        <w:rPr>
          <w:rFonts w:hint="eastAsia" w:ascii="宋体" w:hAnsi="宋体" w:eastAsia="宋体" w:cs="宋体"/>
          <w:b/>
          <w:bCs/>
          <w:color w:val="auto"/>
          <w:spacing w:val="-11"/>
          <w:sz w:val="24"/>
          <w:szCs w:val="24"/>
          <w:highlight w:val="none"/>
        </w:rPr>
      </w:pPr>
      <w:bookmarkStart w:id="202" w:name="_Toc17187"/>
      <w:r>
        <w:rPr>
          <w:rFonts w:hint="eastAsia" w:ascii="宋体" w:hAnsi="宋体" w:eastAsia="宋体" w:cs="宋体"/>
          <w:b/>
          <w:bCs/>
          <w:color w:val="auto"/>
          <w:spacing w:val="-11"/>
          <w:sz w:val="24"/>
          <w:szCs w:val="24"/>
          <w:highlight w:val="none"/>
          <w:lang w:val="en-US" w:eastAsia="zh-CN"/>
        </w:rPr>
        <w:t>5.</w:t>
      </w:r>
      <w:r>
        <w:rPr>
          <w:rFonts w:hint="eastAsia" w:ascii="宋体" w:hAnsi="宋体" w:eastAsia="宋体" w:cs="宋体"/>
          <w:b/>
          <w:bCs/>
          <w:color w:val="auto"/>
          <w:spacing w:val="-11"/>
          <w:sz w:val="24"/>
          <w:szCs w:val="24"/>
          <w:highlight w:val="none"/>
        </w:rPr>
        <w:t>工期进度</w:t>
      </w:r>
      <w:bookmarkEnd w:id="202"/>
    </w:p>
    <w:p w14:paraId="0ED9DECC">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lang w:eastAsia="zh-CN"/>
        </w:rPr>
        <w:t>本工程施工招标工期为</w:t>
      </w:r>
      <w:r>
        <w:rPr>
          <w:rStyle w:val="48"/>
          <w:rFonts w:hint="eastAsia" w:ascii="宋体" w:hAnsi="宋体" w:eastAsia="宋体" w:cs="宋体"/>
          <w:color w:val="auto"/>
          <w:kern w:val="0"/>
          <w:sz w:val="24"/>
          <w:szCs w:val="24"/>
          <w:highlight w:val="none"/>
          <w:lang w:val="en-US" w:eastAsia="zh-CN"/>
        </w:rPr>
        <w:t>120</w:t>
      </w:r>
      <w:r>
        <w:rPr>
          <w:rStyle w:val="48"/>
          <w:rFonts w:hint="eastAsia" w:ascii="宋体" w:hAnsi="宋体" w:eastAsia="宋体" w:cs="宋体"/>
          <w:color w:val="auto"/>
          <w:kern w:val="0"/>
          <w:sz w:val="24"/>
          <w:szCs w:val="24"/>
          <w:highlight w:val="none"/>
          <w:lang w:eastAsia="zh-CN"/>
        </w:rPr>
        <w:t>个日历天。</w:t>
      </w:r>
      <w:r>
        <w:rPr>
          <w:rStyle w:val="48"/>
          <w:rFonts w:hint="eastAsia" w:ascii="宋体" w:hAnsi="宋体" w:eastAsia="宋体" w:cs="宋体"/>
          <w:color w:val="auto"/>
          <w:kern w:val="0"/>
          <w:sz w:val="24"/>
          <w:szCs w:val="24"/>
          <w:highlight w:val="none"/>
        </w:rPr>
        <w:t>承包人必须在招标工期内完成本工程招标范围内的全部内容。</w:t>
      </w:r>
    </w:p>
    <w:p w14:paraId="4A0D1E64">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施工工期从承包人收到监理单位签发的开工令之日起计，至竣工验收合格之日止。</w:t>
      </w:r>
    </w:p>
    <w:p w14:paraId="455E5A89">
      <w:pPr>
        <w:snapToGrid w:val="0"/>
        <w:spacing w:line="360" w:lineRule="auto"/>
        <w:ind w:firstLine="482" w:firstLineChars="200"/>
        <w:rPr>
          <w:rFonts w:hint="eastAsia" w:ascii="宋体" w:hAnsi="宋体" w:eastAsia="宋体" w:cs="宋体"/>
          <w:color w:val="auto"/>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由于承包人原因造成工期延误的，承包人须在逾期第壹天起每天按合同价的</w:t>
      </w:r>
      <w:r>
        <w:rPr>
          <w:rStyle w:val="48"/>
          <w:rFonts w:hint="eastAsia" w:ascii="宋体" w:hAnsi="宋体" w:eastAsia="宋体" w:cs="宋体"/>
          <w:color w:val="auto"/>
          <w:kern w:val="0"/>
          <w:sz w:val="24"/>
          <w:szCs w:val="24"/>
          <w:highlight w:val="none"/>
          <w:u w:val="single"/>
          <w:lang w:val="en-US" w:eastAsia="zh-CN"/>
        </w:rPr>
        <w:t>3</w:t>
      </w:r>
      <w:r>
        <w:rPr>
          <w:rStyle w:val="48"/>
          <w:rFonts w:hint="eastAsia" w:ascii="宋体" w:hAnsi="宋体" w:eastAsia="宋体" w:cs="宋体"/>
          <w:color w:val="auto"/>
          <w:kern w:val="0"/>
          <w:sz w:val="24"/>
          <w:szCs w:val="24"/>
          <w:highlight w:val="none"/>
          <w:u w:val="single"/>
        </w:rPr>
        <w:t>‰</w:t>
      </w:r>
      <w:r>
        <w:rPr>
          <w:rStyle w:val="48"/>
          <w:rFonts w:hint="eastAsia" w:ascii="宋体" w:hAnsi="宋体" w:eastAsia="宋体" w:cs="宋体"/>
          <w:color w:val="auto"/>
          <w:kern w:val="0"/>
          <w:sz w:val="24"/>
          <w:szCs w:val="24"/>
          <w:highlight w:val="none"/>
        </w:rPr>
        <w:t>向招标人返纳逾期竣工违约金。</w:t>
      </w:r>
    </w:p>
    <w:p w14:paraId="55CDADE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03" w:name="_Toc11809"/>
      <w:r>
        <w:rPr>
          <w:rFonts w:hint="eastAsia" w:ascii="宋体" w:hAnsi="宋体" w:eastAsia="宋体" w:cs="宋体"/>
          <w:b/>
          <w:bCs/>
          <w:color w:val="auto"/>
          <w:spacing w:val="-11"/>
          <w:sz w:val="24"/>
          <w:szCs w:val="24"/>
          <w:highlight w:val="none"/>
          <w:lang w:val="en-US" w:eastAsia="zh-CN"/>
        </w:rPr>
        <w:t>6.项目管理机构</w:t>
      </w:r>
      <w:bookmarkEnd w:id="203"/>
    </w:p>
    <w:p w14:paraId="43840DFE">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6</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rPr>
        <w:t xml:space="preserve"> 承包人派驻的项目管理班子成员必须为其投标文件确定的人员，否则发包人有权终止合同。</w:t>
      </w:r>
    </w:p>
    <w:p w14:paraId="50A7E8C9">
      <w:pPr>
        <w:snapToGrid w:val="0"/>
        <w:spacing w:line="360" w:lineRule="auto"/>
        <w:ind w:firstLine="482" w:firstLineChars="200"/>
        <w:rPr>
          <w:rStyle w:val="48"/>
          <w:rFonts w:hint="eastAsia" w:ascii="宋体" w:hAnsi="宋体" w:eastAsia="宋体" w:cs="宋体"/>
          <w:b w:val="0"/>
          <w:bCs w:val="0"/>
          <w:color w:val="auto"/>
          <w:kern w:val="0"/>
          <w:sz w:val="24"/>
          <w:szCs w:val="24"/>
          <w:highlight w:val="none"/>
          <w:lang w:val="en-US" w:eastAsia="zh-CN"/>
        </w:rPr>
      </w:pPr>
      <w:bookmarkStart w:id="204" w:name="_Toc32659"/>
      <w:r>
        <w:rPr>
          <w:rStyle w:val="48"/>
          <w:rFonts w:hint="eastAsia" w:ascii="宋体" w:hAnsi="宋体" w:eastAsia="宋体" w:cs="宋体"/>
          <w:b/>
          <w:bCs/>
          <w:color w:val="auto"/>
          <w:kern w:val="0"/>
          <w:sz w:val="24"/>
          <w:szCs w:val="24"/>
          <w:highlight w:val="none"/>
          <w:lang w:val="en-US" w:eastAsia="zh-CN"/>
        </w:rPr>
        <w:t xml:space="preserve">6.2 </w:t>
      </w:r>
      <w:r>
        <w:rPr>
          <w:rStyle w:val="48"/>
          <w:rFonts w:hint="eastAsia" w:ascii="宋体" w:hAnsi="宋体" w:eastAsia="宋体" w:cs="宋体"/>
          <w:b w:val="0"/>
          <w:bCs w:val="0"/>
          <w:color w:val="auto"/>
          <w:kern w:val="0"/>
          <w:sz w:val="24"/>
          <w:szCs w:val="24"/>
          <w:highlight w:val="none"/>
          <w:lang w:val="en-US" w:eastAsia="zh-CN"/>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bookmarkEnd w:id="204"/>
    </w:p>
    <w:p w14:paraId="768123B5">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5" w:name="_Toc27956"/>
      <w:r>
        <w:rPr>
          <w:rFonts w:hint="eastAsia" w:ascii="宋体" w:hAnsi="宋体" w:eastAsia="宋体" w:cs="宋体"/>
          <w:b/>
          <w:bCs/>
          <w:color w:val="auto"/>
          <w:spacing w:val="-11"/>
          <w:sz w:val="24"/>
          <w:szCs w:val="24"/>
          <w:highlight w:val="none"/>
          <w:lang w:val="en-US" w:eastAsia="zh-CN"/>
        </w:rPr>
        <w:t>7.现场管理</w:t>
      </w:r>
      <w:bookmarkEnd w:id="205"/>
    </w:p>
    <w:p w14:paraId="46D4FAC0">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b w:val="0"/>
          <w:bCs w:val="0"/>
          <w:color w:val="auto"/>
          <w:kern w:val="0"/>
          <w:sz w:val="24"/>
          <w:szCs w:val="24"/>
          <w:highlight w:val="none"/>
          <w:lang w:val="en-US" w:eastAsia="zh-CN"/>
        </w:rPr>
      </w:pPr>
      <w:bookmarkStart w:id="206" w:name="_Toc7562"/>
      <w:r>
        <w:rPr>
          <w:rStyle w:val="48"/>
          <w:rFonts w:hint="eastAsia" w:ascii="宋体" w:hAnsi="宋体" w:eastAsia="宋体" w:cs="宋体"/>
          <w:b/>
          <w:bCs/>
          <w:color w:val="auto"/>
          <w:kern w:val="0"/>
          <w:sz w:val="24"/>
          <w:szCs w:val="24"/>
          <w:highlight w:val="none"/>
          <w:lang w:val="en-US" w:eastAsia="zh-CN"/>
        </w:rPr>
        <w:t xml:space="preserve">7.1 </w:t>
      </w:r>
      <w:r>
        <w:rPr>
          <w:rStyle w:val="48"/>
          <w:rFonts w:hint="eastAsia" w:ascii="宋体" w:hAnsi="宋体" w:eastAsia="宋体" w:cs="宋体"/>
          <w:b w:val="0"/>
          <w:bCs w:val="0"/>
          <w:color w:val="auto"/>
          <w:kern w:val="0"/>
          <w:sz w:val="24"/>
          <w:szCs w:val="24"/>
          <w:highlight w:val="none"/>
          <w:lang w:val="en-US" w:eastAsia="zh-CN"/>
        </w:rPr>
        <w:t>承包人在施工期间应严格遵守国家、广东省、韶关市有关绿色施工、文明施工、噪音扬尘、消防爆破、环境卫生、渣土清运、防火和治安保卫等方面的规定，并建立相应规章制度和保障措施。否则由此造成的经济损失和法律责任，均由承包人承担。</w:t>
      </w:r>
      <w:bookmarkEnd w:id="206"/>
    </w:p>
    <w:p w14:paraId="0CB4CBB7">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7</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17AF49BA">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7</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为保证施工现场的环境卫生，承包人在本工程施工过程中，所有的车辆必须按发包人规定的行车路线行驶。</w:t>
      </w:r>
    </w:p>
    <w:p w14:paraId="043DEA37">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7" w:name="_Toc23878"/>
      <w:r>
        <w:rPr>
          <w:rFonts w:hint="eastAsia" w:ascii="宋体" w:hAnsi="宋体" w:eastAsia="宋体" w:cs="宋体"/>
          <w:b/>
          <w:bCs/>
          <w:color w:val="auto"/>
          <w:spacing w:val="-11"/>
          <w:sz w:val="24"/>
          <w:szCs w:val="24"/>
          <w:highlight w:val="none"/>
          <w:lang w:val="en-US" w:eastAsia="zh-CN"/>
        </w:rPr>
        <w:t>8.监督实施</w:t>
      </w:r>
      <w:bookmarkEnd w:id="207"/>
    </w:p>
    <w:p w14:paraId="7D8C2402">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151C2662">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8" w:name="_Toc15584"/>
      <w:r>
        <w:rPr>
          <w:rFonts w:hint="eastAsia" w:ascii="宋体" w:hAnsi="宋体" w:eastAsia="宋体" w:cs="宋体"/>
          <w:b/>
          <w:bCs/>
          <w:color w:val="auto"/>
          <w:spacing w:val="-11"/>
          <w:sz w:val="24"/>
          <w:szCs w:val="24"/>
          <w:highlight w:val="none"/>
          <w:lang w:val="en-US" w:eastAsia="zh-CN"/>
        </w:rPr>
        <w:t>9.主材的采购和使用</w:t>
      </w:r>
      <w:bookmarkEnd w:id="208"/>
    </w:p>
    <w:p w14:paraId="243E5AB1">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6495185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09" w:name="_Toc10125"/>
      <w:r>
        <w:rPr>
          <w:rFonts w:hint="eastAsia" w:ascii="宋体" w:hAnsi="宋体" w:eastAsia="宋体" w:cs="宋体"/>
          <w:b/>
          <w:bCs/>
          <w:color w:val="auto"/>
          <w:spacing w:val="-11"/>
          <w:sz w:val="24"/>
          <w:szCs w:val="24"/>
          <w:highlight w:val="none"/>
          <w:lang w:val="en-US" w:eastAsia="zh-CN"/>
        </w:rPr>
        <w:t>10.竣工资料移交</w:t>
      </w:r>
      <w:bookmarkEnd w:id="209"/>
    </w:p>
    <w:p w14:paraId="317FC39D">
      <w:pPr>
        <w:widowControl w:val="0"/>
        <w:wordWrap w:val="0"/>
        <w:adjustRightInd w:val="0"/>
        <w:snapToGrid w:val="0"/>
        <w:spacing w:line="360" w:lineRule="auto"/>
        <w:ind w:firstLine="560"/>
        <w:textAlignment w:val="auto"/>
        <w:rPr>
          <w:rStyle w:val="48"/>
          <w:rFonts w:hint="eastAsia" w:ascii="宋体" w:hAnsi="宋体" w:eastAsia="宋体" w:cs="宋体"/>
          <w:b/>
          <w:bCs/>
          <w:color w:val="auto"/>
          <w:kern w:val="0"/>
          <w:sz w:val="24"/>
          <w:szCs w:val="24"/>
          <w:highlight w:val="none"/>
        </w:rPr>
      </w:pPr>
      <w:r>
        <w:rPr>
          <w:rFonts w:hint="eastAsia" w:ascii="宋体" w:hAnsi="宋体" w:eastAsia="宋体" w:cs="宋体"/>
          <w:bCs/>
          <w:snapToGrid w:val="0"/>
          <w:color w:val="auto"/>
          <w:kern w:val="0"/>
          <w:sz w:val="24"/>
          <w:szCs w:val="24"/>
          <w:highlight w:val="none"/>
        </w:rPr>
        <w:t>项目竣工验收时，</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人应向监理单位和</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sz w:val="24"/>
          <w:szCs w:val="24"/>
          <w:highlight w:val="none"/>
          <w:u w:val="single"/>
        </w:rPr>
        <w:t xml:space="preserve"> 八 </w:t>
      </w:r>
      <w:r>
        <w:rPr>
          <w:rFonts w:hint="eastAsia" w:ascii="宋体" w:hAnsi="宋体" w:eastAsia="宋体" w:cs="宋体"/>
          <w:bCs/>
          <w:snapToGrid w:val="0"/>
          <w:color w:val="auto"/>
          <w:kern w:val="0"/>
          <w:sz w:val="24"/>
          <w:szCs w:val="24"/>
          <w:highlight w:val="none"/>
        </w:rPr>
        <w:t>份。</w:t>
      </w:r>
    </w:p>
    <w:p w14:paraId="788DAA2C">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0" w:name="_Toc16452"/>
      <w:r>
        <w:rPr>
          <w:rFonts w:hint="eastAsia" w:ascii="宋体" w:hAnsi="宋体" w:eastAsia="宋体" w:cs="宋体"/>
          <w:b/>
          <w:bCs/>
          <w:color w:val="auto"/>
          <w:spacing w:val="-11"/>
          <w:sz w:val="24"/>
          <w:szCs w:val="24"/>
          <w:highlight w:val="none"/>
          <w:lang w:val="en-US" w:eastAsia="zh-CN"/>
        </w:rPr>
        <w:t>11.质量保证</w:t>
      </w:r>
      <w:bookmarkEnd w:id="210"/>
    </w:p>
    <w:p w14:paraId="67CE75A3">
      <w:pPr>
        <w:snapToGrid w:val="0"/>
        <w:spacing w:line="360" w:lineRule="auto"/>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rPr>
        <w:t xml:space="preserve"> 本工程缺陷责任期为</w:t>
      </w:r>
      <w:r>
        <w:rPr>
          <w:rStyle w:val="48"/>
          <w:rFonts w:hint="eastAsia" w:ascii="宋体" w:hAnsi="宋体" w:eastAsia="宋体" w:cs="宋体"/>
          <w:color w:val="auto"/>
          <w:kern w:val="0"/>
          <w:sz w:val="24"/>
          <w:szCs w:val="24"/>
          <w:highlight w:val="none"/>
          <w:u w:val="single"/>
          <w:lang w:val="en-US" w:eastAsia="zh-CN"/>
        </w:rPr>
        <w:t xml:space="preserve"> 2 </w:t>
      </w:r>
      <w:r>
        <w:rPr>
          <w:rStyle w:val="48"/>
          <w:rFonts w:hint="eastAsia" w:ascii="宋体" w:hAnsi="宋体" w:eastAsia="宋体" w:cs="宋体"/>
          <w:color w:val="auto"/>
          <w:kern w:val="0"/>
          <w:sz w:val="24"/>
          <w:szCs w:val="24"/>
          <w:highlight w:val="none"/>
        </w:rPr>
        <w:t>年（自通过竣工验收之日起计），在此期间预留金额为结算价</w:t>
      </w:r>
      <w:r>
        <w:rPr>
          <w:rStyle w:val="48"/>
          <w:rFonts w:hint="eastAsia" w:ascii="宋体" w:hAnsi="宋体" w:eastAsia="宋体" w:cs="宋体"/>
          <w:color w:val="auto"/>
          <w:kern w:val="0"/>
          <w:sz w:val="24"/>
          <w:szCs w:val="24"/>
          <w:highlight w:val="none"/>
          <w:u w:val="single"/>
          <w:lang w:val="en-US" w:eastAsia="zh-CN"/>
        </w:rPr>
        <w:t>3</w:t>
      </w:r>
      <w:r>
        <w:rPr>
          <w:rStyle w:val="48"/>
          <w:rFonts w:hint="eastAsia" w:ascii="宋体" w:hAnsi="宋体" w:eastAsia="宋体" w:cs="宋体"/>
          <w:color w:val="auto"/>
          <w:kern w:val="0"/>
          <w:sz w:val="24"/>
          <w:szCs w:val="24"/>
          <w:highlight w:val="none"/>
          <w:u w:val="single"/>
        </w:rPr>
        <w:t>%</w:t>
      </w:r>
      <w:r>
        <w:rPr>
          <w:rStyle w:val="48"/>
          <w:rFonts w:hint="eastAsia" w:ascii="宋体" w:hAnsi="宋体" w:eastAsia="宋体" w:cs="宋体"/>
          <w:color w:val="auto"/>
          <w:kern w:val="0"/>
          <w:sz w:val="24"/>
          <w:szCs w:val="24"/>
          <w:highlight w:val="none"/>
        </w:rPr>
        <w:t>的质量保证。</w:t>
      </w:r>
    </w:p>
    <w:p w14:paraId="07ABFEEE">
      <w:pPr>
        <w:snapToGrid w:val="0"/>
        <w:spacing w:line="360" w:lineRule="auto"/>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质量保证的形式包括质量保证金、质量保证担保、质量保证保险三种，由承包人自主选择。</w:t>
      </w:r>
    </w:p>
    <w:p w14:paraId="64E4142E">
      <w:pPr>
        <w:snapToGrid w:val="0"/>
        <w:spacing w:line="360" w:lineRule="auto"/>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（1）采用质量保证金形式的，在结清审定总造价时一次性扣留相应金额作为质量保证金。</w:t>
      </w:r>
    </w:p>
    <w:p w14:paraId="55DF4775">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（2）采用质量保证担保或质量保证保险的，承包人应在竣工验收时向发包人提交有效的</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8"/>
          <w:rFonts w:hint="eastAsia" w:ascii="宋体" w:hAnsi="宋体" w:eastAsia="宋体" w:cs="宋体"/>
          <w:color w:val="auto"/>
          <w:kern w:val="0"/>
          <w:sz w:val="24"/>
          <w:szCs w:val="24"/>
          <w:highlight w:val="none"/>
        </w:rPr>
        <w:t>银行保函或保险合同（或保险单）原件，</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8"/>
          <w:rFonts w:hint="eastAsia" w:ascii="宋体" w:hAnsi="宋体" w:eastAsia="宋体" w:cs="宋体"/>
          <w:color w:val="auto"/>
          <w:kern w:val="0"/>
          <w:sz w:val="24"/>
          <w:szCs w:val="24"/>
          <w:highlight w:val="none"/>
        </w:rPr>
        <w:t>银行保函或保险合同（或保险单）的有效期不得短于缺陷责任期。</w:t>
      </w:r>
    </w:p>
    <w:p w14:paraId="36C61C54">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7B5D93C6">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由他人原因造成的缺陷，发包人负责组织维修，承包人不承担费用，且发包人不得从质量保证中扣除费用。</w:t>
      </w:r>
    </w:p>
    <w:p w14:paraId="7F18C339">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.4</w:t>
      </w:r>
      <w:r>
        <w:rPr>
          <w:rStyle w:val="48"/>
          <w:rFonts w:hint="eastAsia" w:ascii="宋体" w:hAnsi="宋体" w:eastAsia="宋体" w:cs="宋体"/>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7C0FEC34">
      <w:pPr>
        <w:keepNext w:val="0"/>
        <w:keepLines w:val="0"/>
        <w:pageBreakBefore w:val="0"/>
        <w:widowControl w:val="0"/>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11" w:name="_Toc19544"/>
      <w:r>
        <w:rPr>
          <w:rFonts w:hint="eastAsia" w:ascii="宋体" w:hAnsi="宋体" w:eastAsia="宋体" w:cs="宋体"/>
          <w:b/>
          <w:bCs/>
          <w:color w:val="auto"/>
          <w:spacing w:val="-11"/>
          <w:sz w:val="24"/>
          <w:szCs w:val="24"/>
          <w:highlight w:val="none"/>
          <w:lang w:val="en-US" w:eastAsia="zh-CN"/>
        </w:rPr>
        <w:t>12.不良行为处理</w:t>
      </w:r>
      <w:bookmarkEnd w:id="211"/>
    </w:p>
    <w:p w14:paraId="78E3ACC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86697AB">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bookmarkStart w:id="212" w:name="_Toc3225"/>
      <w:r>
        <w:rPr>
          <w:rStyle w:val="48"/>
          <w:rFonts w:hint="eastAsia" w:ascii="宋体" w:hAnsi="宋体" w:eastAsia="宋体" w:cs="宋体"/>
          <w:color w:val="auto"/>
          <w:kern w:val="0"/>
          <w:sz w:val="24"/>
          <w:szCs w:val="24"/>
          <w:highlight w:val="none"/>
        </w:rPr>
        <w:t>（1）转包、违法分包或违反投标承诺分包工程的；</w:t>
      </w:r>
      <w:bookmarkEnd w:id="212"/>
    </w:p>
    <w:p w14:paraId="1A9C58E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2D8D422B">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（3）投标文件确定的大型机械设备没有进入施工现场的；</w:t>
      </w:r>
    </w:p>
    <w:p w14:paraId="53C54715">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（4）与建设单位、监理单位串通，签认虚假工程量或工程造价的；</w:t>
      </w:r>
    </w:p>
    <w:p w14:paraId="2BEAE447">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（5）项目经理施工现场管理不到位的；</w:t>
      </w:r>
    </w:p>
    <w:p w14:paraId="173C661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（6）项目经理在非本人资格证书注册单位从事工程项目施工管理的；</w:t>
      </w:r>
    </w:p>
    <w:p w14:paraId="0E5B61CF">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（7）项目经理同时承担超过一项工程项目的；</w:t>
      </w:r>
    </w:p>
    <w:p w14:paraId="0BD83746">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（8）违反有关法律、法规、规章规定的其它行为。</w:t>
      </w:r>
    </w:p>
    <w:p w14:paraId="590CD6A6">
      <w:pPr>
        <w:keepNext w:val="0"/>
        <w:keepLines w:val="0"/>
        <w:pageBreakBefore w:val="0"/>
        <w:widowControl w:val="0"/>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13" w:name="_Toc17443"/>
      <w:r>
        <w:rPr>
          <w:rFonts w:hint="eastAsia" w:ascii="宋体" w:hAnsi="宋体" w:eastAsia="宋体" w:cs="宋体"/>
          <w:b/>
          <w:bCs/>
          <w:color w:val="auto"/>
          <w:spacing w:val="-11"/>
          <w:sz w:val="24"/>
          <w:szCs w:val="24"/>
          <w:highlight w:val="none"/>
          <w:lang w:val="en-US" w:eastAsia="zh-CN"/>
        </w:rPr>
        <w:t>13.信用评价条款内容</w:t>
      </w:r>
      <w:bookmarkEnd w:id="213"/>
    </w:p>
    <w:p w14:paraId="13FEAC6B">
      <w:pPr>
        <w:pStyle w:val="54"/>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b/>
          <w:bCs/>
          <w:color w:val="auto"/>
          <w:sz w:val="24"/>
          <w:szCs w:val="24"/>
          <w:highlight w:val="none"/>
        </w:rPr>
      </w:pPr>
      <w:r>
        <w:rPr>
          <w:rStyle w:val="48"/>
          <w:rFonts w:hint="eastAsia" w:ascii="宋体" w:hAnsi="宋体" w:eastAsia="宋体" w:cs="宋体"/>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5946336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4" w:name="_Toc27802"/>
      <w:r>
        <w:rPr>
          <w:rFonts w:hint="eastAsia" w:ascii="宋体" w:hAnsi="宋体" w:eastAsia="宋体" w:cs="宋体"/>
          <w:b/>
          <w:bCs/>
          <w:color w:val="auto"/>
          <w:spacing w:val="-11"/>
          <w:sz w:val="24"/>
          <w:szCs w:val="24"/>
          <w:highlight w:val="none"/>
          <w:lang w:val="en-US" w:eastAsia="zh-CN"/>
        </w:rPr>
        <w:t>14.其他事项</w:t>
      </w:r>
      <w:bookmarkEnd w:id="214"/>
    </w:p>
    <w:p w14:paraId="06DEBF62">
      <w:pPr>
        <w:snapToGrid w:val="0"/>
        <w:spacing w:line="360" w:lineRule="auto"/>
        <w:ind w:firstLine="560"/>
        <w:rPr>
          <w:rStyle w:val="48"/>
          <w:rFonts w:hint="eastAsia" w:ascii="宋体" w:hAnsi="宋体" w:eastAsia="宋体" w:cs="宋体"/>
          <w:b w:val="0"/>
          <w:bCs w:val="0"/>
          <w:color w:val="auto"/>
          <w:kern w:val="0"/>
          <w:sz w:val="24"/>
          <w:szCs w:val="24"/>
          <w:highlight w:val="none"/>
          <w:lang w:val="en-US" w:eastAsia="zh-CN"/>
        </w:rPr>
      </w:pPr>
      <w:bookmarkStart w:id="215" w:name="_Toc6606"/>
      <w:r>
        <w:rPr>
          <w:rStyle w:val="48"/>
          <w:rFonts w:hint="eastAsia" w:ascii="宋体" w:hAnsi="宋体" w:eastAsia="宋体" w:cs="宋体"/>
          <w:b/>
          <w:bCs/>
          <w:color w:val="auto"/>
          <w:kern w:val="0"/>
          <w:sz w:val="24"/>
          <w:szCs w:val="24"/>
          <w:highlight w:val="none"/>
          <w:lang w:val="en-US" w:eastAsia="zh-CN"/>
        </w:rPr>
        <w:t>14.1</w:t>
      </w:r>
      <w:r>
        <w:rPr>
          <w:rStyle w:val="48"/>
          <w:rFonts w:hint="eastAsia" w:ascii="宋体" w:hAnsi="宋体" w:eastAsia="宋体" w:cs="宋体"/>
          <w:b w:val="0"/>
          <w:bCs w:val="0"/>
          <w:color w:val="auto"/>
          <w:kern w:val="0"/>
          <w:sz w:val="24"/>
          <w:szCs w:val="24"/>
          <w:highlight w:val="none"/>
          <w:lang w:val="en-US" w:eastAsia="zh-CN"/>
        </w:rPr>
        <w:t>危险性较大的分部分项工程安全管理约定</w:t>
      </w:r>
      <w:bookmarkEnd w:id="215"/>
    </w:p>
    <w:p w14:paraId="2438AA34">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4CA69CD9">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和《广东省安全生产委员会办公室广东省住房和城乡建设厅关于&lt;严格落实危险性较大的分部分项工程“六不施工”要求的通知&gt;》（粤安办〔2020〕151号）等有关危险性较大的分部分项工程的法规规定通知，履行建设工程安全生产管理职责。</w:t>
      </w:r>
    </w:p>
    <w:p w14:paraId="7070AC0C">
      <w:pPr>
        <w:pStyle w:val="36"/>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lang w:val="en-US" w:eastAsia="zh-CN"/>
        </w:rPr>
        <w:t xml:space="preserve"> </w:t>
      </w:r>
      <w:r>
        <w:rPr>
          <w:rFonts w:hint="eastAsia" w:ascii="宋体" w:hAnsi="宋体" w:eastAsia="宋体" w:cs="宋体"/>
          <w:color w:val="auto"/>
          <w:sz w:val="24"/>
          <w:szCs w:val="24"/>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6D2A5FCD">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 xml:space="preserve">3 </w:t>
      </w:r>
      <w:r>
        <w:rPr>
          <w:rFonts w:hint="eastAsia" w:ascii="宋体" w:hAnsi="宋体" w:eastAsia="宋体" w:cs="宋体"/>
          <w:color w:val="auto"/>
          <w:sz w:val="24"/>
          <w:szCs w:val="24"/>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u w:val="single"/>
          <w:shd w:val="clear" w:color="auto" w:fill="FFFFFF"/>
          <w:lang w:val="en-US" w:eastAsia="zh-CN"/>
        </w:rPr>
        <w:t>1</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shd w:val="clear" w:color="auto" w:fill="FFFFFF"/>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5247F26A">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.4 </w:t>
      </w:r>
      <w:r>
        <w:rPr>
          <w:rFonts w:hint="eastAsia" w:ascii="宋体" w:hAnsi="宋体" w:eastAsia="宋体" w:cs="宋体"/>
          <w:color w:val="auto"/>
          <w:sz w:val="24"/>
          <w:szCs w:val="24"/>
          <w:highlight w:val="none"/>
          <w:shd w:val="clear" w:color="auto" w:fill="FFFFFF"/>
        </w:rPr>
        <w:t>工程竣工验收后15日内，中标人应按城建档案馆的要求（质量、数量），将编制成册的施工档案资料（含声像档案和电子档案）提供给招标人、城建档案馆、住建管理局、管养单位及监理单位，并承担档案涉及的所有费用（制作标准和相关要求按城建档案馆的有关规定执行）。中标人提交符合城建档案馆要求的竣工资料经招标人确认签收后，即可办理工程结算手续。</w:t>
      </w:r>
    </w:p>
    <w:p w14:paraId="0C655EFC">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.5</w:t>
      </w:r>
      <w:r>
        <w:rPr>
          <w:rFonts w:hint="eastAsia" w:ascii="宋体" w:hAnsi="宋体" w:eastAsia="宋体" w:cs="宋体"/>
          <w:color w:val="auto"/>
          <w:sz w:val="24"/>
          <w:szCs w:val="24"/>
          <w:highlight w:val="none"/>
          <w:shd w:val="clear" w:color="auto" w:fill="FFFFFF"/>
        </w:rPr>
        <w:t>（一）用人单位应当在建设项目动工前，在建设项目所在地</w:t>
      </w:r>
      <w:r>
        <w:rPr>
          <w:rFonts w:hint="eastAsia" w:ascii="宋体" w:hAnsi="宋体" w:eastAsia="宋体" w:cs="宋体"/>
          <w:color w:val="auto"/>
          <w:sz w:val="24"/>
          <w:szCs w:val="24"/>
          <w:highlight w:val="none"/>
          <w:shd w:val="clear" w:color="auto" w:fill="FFFFFF"/>
          <w:lang w:val="en-US" w:eastAsia="zh-CN"/>
        </w:rPr>
        <w:t>符合招标人要求的</w:t>
      </w:r>
      <w:r>
        <w:rPr>
          <w:rFonts w:hint="eastAsia" w:ascii="宋体" w:hAnsi="宋体" w:eastAsia="宋体" w:cs="宋体"/>
          <w:color w:val="auto"/>
          <w:sz w:val="24"/>
          <w:szCs w:val="24"/>
          <w:highlight w:val="none"/>
          <w:shd w:val="clear" w:color="auto" w:fill="FFFFFF"/>
        </w:rPr>
        <w:t>银行设立工人工资支付专用账户。</w:t>
      </w:r>
    </w:p>
    <w:p w14:paraId="6129E7E1">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（二）用人单位应当在用工之日起15日内为每一位工人办理个人银行账户。</w:t>
      </w:r>
    </w:p>
    <w:p w14:paraId="4E3CC787">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7327A14E">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02DC67D3">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06835395">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val="0"/>
          <w:bCs w:val="0"/>
          <w:snapToGrid w:val="0"/>
          <w:color w:val="auto"/>
          <w:kern w:val="0"/>
          <w:sz w:val="24"/>
          <w:szCs w:val="24"/>
          <w:highlight w:val="none"/>
        </w:rPr>
        <w:t>（五）每次申请工程进度款要提供上期工人工资发放明细表、上期工人工资发放公示等材料，并将应付工程款的30%（且不低于当月应发工人工资的金额）作为工人工资拨入到中标人设立的工人工资支付专用账户。</w:t>
      </w:r>
    </w:p>
    <w:p w14:paraId="0EC59835">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.6 </w:t>
      </w:r>
      <w:r>
        <w:rPr>
          <w:rFonts w:hint="eastAsia" w:ascii="宋体" w:hAnsi="宋体" w:eastAsia="宋体" w:cs="宋体"/>
          <w:color w:val="auto"/>
          <w:sz w:val="24"/>
          <w:szCs w:val="24"/>
          <w:highlight w:val="none"/>
          <w:shd w:val="clear" w:color="auto" w:fill="FFFFFF"/>
        </w:rPr>
        <w:t>中标人应做好周边设施（含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14:paraId="0B29B5A7">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.7</w:t>
      </w:r>
      <w:r>
        <w:rPr>
          <w:rFonts w:hint="eastAsia" w:ascii="宋体" w:hAnsi="宋体" w:eastAsia="宋体" w:cs="宋体"/>
          <w:color w:val="auto"/>
          <w:sz w:val="24"/>
          <w:szCs w:val="24"/>
          <w:highlight w:val="none"/>
          <w:shd w:val="clear" w:color="auto" w:fill="FFFFFF"/>
        </w:rPr>
        <w:t>中标人中标后必须按规定及时缴交工人工资保证金、环保噪声排污费等。</w:t>
      </w:r>
    </w:p>
    <w:p w14:paraId="619E056E">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8</w:t>
      </w:r>
      <w:r>
        <w:rPr>
          <w:rFonts w:hint="eastAsia" w:ascii="宋体" w:hAnsi="宋体" w:eastAsia="宋体" w:cs="宋体"/>
          <w:color w:val="auto"/>
          <w:sz w:val="24"/>
          <w:szCs w:val="24"/>
          <w:highlight w:val="none"/>
          <w:shd w:val="clear" w:color="auto" w:fill="FFFFFF"/>
        </w:rPr>
        <w:t>工程质量保修期按《中华人民共和国建筑法》、《建设工程质量管理条例》等相关规定实施。</w:t>
      </w:r>
    </w:p>
    <w:p w14:paraId="0C746642">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9</w:t>
      </w:r>
      <w:r>
        <w:rPr>
          <w:rFonts w:hint="eastAsia" w:ascii="宋体" w:hAnsi="宋体" w:eastAsia="宋体" w:cs="宋体"/>
          <w:color w:val="auto"/>
          <w:sz w:val="24"/>
          <w:szCs w:val="24"/>
          <w:highlight w:val="none"/>
          <w:shd w:val="clear" w:color="auto" w:fill="FFFFFF"/>
        </w:rPr>
        <w:t xml:space="preserve"> 如项目实施过程中发生了工程变更及工程签证，中标人需根据招标人发布的《工程变更管理办法》和《工程签证管理办法》完善工程变更签证相关程序。其纳入变更管理属于需要进一步办理审批的，应按照规定程序办理变更审批手续。因施工单位主要责任造成的工程变更调整原则上不予审批，由施工单位自行承担相关责任和费用</w:t>
      </w:r>
    </w:p>
    <w:p w14:paraId="6BC10B7A">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0</w:t>
      </w:r>
      <w:r>
        <w:rPr>
          <w:rFonts w:hint="eastAsia" w:ascii="宋体" w:hAnsi="宋体" w:eastAsia="宋体" w:cs="宋体"/>
          <w:color w:val="auto"/>
          <w:sz w:val="24"/>
          <w:szCs w:val="24"/>
          <w:highlight w:val="none"/>
          <w:shd w:val="clear" w:color="auto" w:fill="FFFFFF"/>
        </w:rPr>
        <w:t xml:space="preserve"> 中标人需按相关规定要求，设置本工程符合相关要求的永久性标牌及规划公示牌，投标人在投标报价时综合考虑在报价内，招标人不另行支付该部分费用。</w:t>
      </w:r>
    </w:p>
    <w:p w14:paraId="68778A07">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1</w:t>
      </w:r>
      <w:r>
        <w:rPr>
          <w:rFonts w:hint="eastAsia" w:ascii="宋体" w:hAnsi="宋体" w:eastAsia="宋体" w:cs="宋体"/>
          <w:color w:val="auto"/>
          <w:sz w:val="24"/>
          <w:szCs w:val="24"/>
          <w:highlight w:val="none"/>
          <w:shd w:val="clear" w:color="auto" w:fill="FFFFFF"/>
        </w:rPr>
        <w:t xml:space="preserve"> 中标人应在项目所在地住建管理部门办理诚信登记，招标人将严格按住建管理部门诚信登记管理办法对中标人履约情况进行考核。</w:t>
      </w:r>
    </w:p>
    <w:p w14:paraId="41A7BB68">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rPr>
        <w:t xml:space="preserve"> 中标人应按住房和城乡建设管理局、人力资源和社会保障局等职能部门对用工实名制的相关规定,落实工人及相关软硬件设施要求。</w:t>
      </w:r>
    </w:p>
    <w:p w14:paraId="1A26121F">
      <w:pPr>
        <w:pStyle w:val="36"/>
        <w:snapToGrid w:val="0"/>
        <w:spacing w:line="360" w:lineRule="auto"/>
        <w:ind w:firstLine="482" w:firstLineChars="200"/>
        <w:rPr>
          <w:rFonts w:hint="eastAsia" w:ascii="宋体" w:hAnsi="宋体" w:eastAsia="宋体" w:cs="宋体"/>
          <w:b w:val="0"/>
          <w:bCs w:val="0"/>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3</w:t>
      </w:r>
      <w:r>
        <w:rPr>
          <w:rFonts w:hint="eastAsia" w:ascii="宋体" w:hAnsi="宋体" w:eastAsia="宋体" w:cs="宋体"/>
          <w:color w:val="auto"/>
          <w:sz w:val="24"/>
          <w:szCs w:val="24"/>
          <w:highlight w:val="none"/>
          <w:shd w:val="clear" w:color="auto" w:fill="FFFFFF"/>
        </w:rPr>
        <w:t xml:space="preserve"> 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w:t>
      </w:r>
      <w:r>
        <w:rPr>
          <w:rFonts w:hint="eastAsia" w:ascii="宋体" w:hAnsi="宋体" w:eastAsia="宋体" w:cs="宋体"/>
          <w:b w:val="0"/>
          <w:bCs w:val="0"/>
          <w:color w:val="auto"/>
          <w:sz w:val="24"/>
          <w:szCs w:val="24"/>
          <w:highlight w:val="none"/>
          <w:shd w:val="clear" w:color="auto" w:fill="FFFFFF"/>
        </w:rPr>
        <w:t>履约保证金，直至中标人提交新的银行保函或达到履约保证金退还条件。</w:t>
      </w:r>
    </w:p>
    <w:p w14:paraId="3789AE9F">
      <w:pPr>
        <w:pStyle w:val="36"/>
        <w:snapToGrid w:val="0"/>
        <w:spacing w:line="360" w:lineRule="auto"/>
        <w:ind w:firstLine="482" w:firstLineChars="200"/>
        <w:rPr>
          <w:rFonts w:hint="eastAsia" w:ascii="宋体" w:hAnsi="宋体" w:eastAsia="宋体" w:cs="宋体"/>
          <w:bCs/>
          <w:color w:val="auto"/>
          <w:sz w:val="24"/>
          <w:szCs w:val="24"/>
          <w:highlight w:val="none"/>
          <w:lang w:bidi="ar"/>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 </w:t>
      </w:r>
      <w:r>
        <w:rPr>
          <w:rFonts w:hint="eastAsia" w:ascii="宋体" w:hAnsi="宋体" w:eastAsia="宋体" w:cs="宋体"/>
          <w:color w:val="auto"/>
          <w:sz w:val="24"/>
          <w:szCs w:val="24"/>
          <w:highlight w:val="none"/>
          <w:lang w:val="zh-CN"/>
        </w:rPr>
        <w:t>依据人力资源社会保障部等十部门印发的《工程建设领域农民工工资专用账户管理暂行办法》（人社部发〔2021〕53号）</w:t>
      </w:r>
      <w:r>
        <w:rPr>
          <w:rFonts w:hint="eastAsia" w:ascii="宋体" w:hAnsi="宋体" w:eastAsia="宋体" w:cs="宋体"/>
          <w:b w:val="0"/>
          <w:bCs w:val="0"/>
          <w:color w:val="auto"/>
          <w:sz w:val="24"/>
          <w:szCs w:val="24"/>
          <w:highlight w:val="none"/>
          <w:shd w:val="clear" w:color="auto" w:fill="FFFFFF"/>
        </w:rPr>
        <w:t>文件规定，中标人中标后，须到银行设立工人工资支付专用账户，用于支付工人工资。发包人支付工程款时，将按工程款（不含工人工资）和工人工资两部分分开支付，工人工资支付至专用账户。中标人应建立劳动用工管理台</w:t>
      </w:r>
      <w:r>
        <w:rPr>
          <w:rFonts w:hint="eastAsia" w:ascii="宋体" w:hAnsi="宋体" w:eastAsia="宋体" w:cs="宋体"/>
          <w:b w:val="0"/>
          <w:bCs w:val="0"/>
          <w:color w:val="auto"/>
          <w:sz w:val="24"/>
          <w:szCs w:val="24"/>
          <w:highlight w:val="none"/>
          <w:lang w:bidi="ar"/>
        </w:rPr>
        <w:t>账，并按</w:t>
      </w:r>
      <w:r>
        <w:rPr>
          <w:rFonts w:hint="eastAsia" w:ascii="宋体" w:hAnsi="宋体" w:eastAsia="宋体" w:cs="宋体"/>
          <w:bCs/>
          <w:color w:val="auto"/>
          <w:sz w:val="24"/>
          <w:szCs w:val="24"/>
          <w:highlight w:val="none"/>
          <w:lang w:bidi="ar"/>
        </w:rPr>
        <w:t>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0FBEE672">
      <w:pPr>
        <w:pStyle w:val="36"/>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bidi="ar"/>
        </w:rPr>
      </w:pPr>
      <w:r>
        <w:rPr>
          <w:rFonts w:hint="eastAsia" w:ascii="宋体" w:hAnsi="宋体" w:eastAsia="宋体" w:cs="宋体"/>
          <w:color w:val="auto"/>
          <w:sz w:val="24"/>
          <w:szCs w:val="24"/>
          <w:highlight w:val="none"/>
          <w:lang w:val="zh-CN"/>
        </w:rPr>
        <w:t>根据韶关市人力资源和社会保障局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韶关市住房和城乡建设管理局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韶关市交通运输局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韶关市水务局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韶关市金融工作局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国家金融监督管理总局韶关监管分局关于印发《韶关市工程建设领域农民工工资保证金管理实施细则》的通知(韶人社</w:t>
      </w:r>
      <w:r>
        <w:rPr>
          <w:rFonts w:hint="eastAsia" w:ascii="宋体" w:hAnsi="宋体" w:eastAsia="宋体" w:cs="宋体"/>
          <w:color w:val="auto"/>
          <w:sz w:val="24"/>
          <w:szCs w:val="24"/>
          <w:highlight w:val="none"/>
          <w:lang w:val="en-US" w:eastAsia="zh-CN"/>
        </w:rPr>
        <w:t>规[</w:t>
      </w:r>
      <w:r>
        <w:rPr>
          <w:rFonts w:hint="eastAsia" w:ascii="宋体" w:hAnsi="宋体" w:eastAsia="宋体" w:cs="宋体"/>
          <w:color w:val="auto"/>
          <w:sz w:val="24"/>
          <w:szCs w:val="24"/>
          <w:highlight w:val="none"/>
          <w:lang w:val="zh-CN"/>
        </w:rPr>
        <w:t>202</w:t>
      </w: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val="zh-CN"/>
        </w:rPr>
        <w:t>号)</w:t>
      </w:r>
      <w:r>
        <w:rPr>
          <w:rFonts w:hint="eastAsia" w:ascii="宋体" w:hAnsi="宋体" w:eastAsia="宋体" w:cs="宋体"/>
          <w:bCs/>
          <w:color w:val="auto"/>
          <w:sz w:val="24"/>
          <w:szCs w:val="24"/>
          <w:highlight w:val="none"/>
          <w:lang w:bidi="ar"/>
        </w:rPr>
        <w:t>文件规定，中标人中标后，应将工人工资保证金存入银行专用存款账户。逾期未交纳的，招标人将扣留与本项目工人工资保证金等额的工程款（工人工资除外），直至中标人按《韶关市建设领域施工企业工人工资支付保证金管理办法》相关文件要求缴纳工人工资保证金。在中标人未按要求缴纳工人工资保证金期间，招标人扣留的工程款将作为工人工资保证金的预备资金，招标人有权将该部分资金用于处理该项目工人工资拖欠等情况的问题。</w:t>
      </w:r>
    </w:p>
    <w:p w14:paraId="2F70127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val="0"/>
          <w:bCs w:val="0"/>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w:t>
      </w:r>
      <w:r>
        <w:rPr>
          <w:rFonts w:hint="eastAsia" w:ascii="宋体" w:hAnsi="宋体" w:eastAsia="宋体" w:cs="宋体"/>
          <w:color w:val="auto"/>
          <w:sz w:val="24"/>
          <w:szCs w:val="24"/>
          <w:highlight w:val="none"/>
          <w:lang w:bidi="ar"/>
        </w:rPr>
        <w:t>所垫付的民工工资2倍向发包人支付违约金。</w:t>
      </w:r>
    </w:p>
    <w:p w14:paraId="389051A6">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5</w:t>
      </w:r>
      <w:r>
        <w:rPr>
          <w:rFonts w:hint="eastAsia" w:ascii="宋体" w:hAnsi="宋体" w:eastAsia="宋体" w:cs="宋体"/>
          <w:color w:val="auto"/>
          <w:sz w:val="24"/>
          <w:szCs w:val="24"/>
          <w:highlight w:val="none"/>
          <w:lang w:bidi="ar"/>
        </w:rPr>
        <w:t>中标人应当确保施工扬尘污染防治措施费用和用工实名管理费用专款专用，在财务管理中单独列出施工扬尘污染防治措施费用和用工实名管理费用使用清单报招标人备案核查。</w:t>
      </w:r>
    </w:p>
    <w:p w14:paraId="1133FBF0">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6</w:t>
      </w:r>
      <w:r>
        <w:rPr>
          <w:rFonts w:hint="eastAsia" w:ascii="宋体" w:hAnsi="宋体" w:eastAsia="宋体" w:cs="宋体"/>
          <w:color w:val="auto"/>
          <w:sz w:val="24"/>
          <w:szCs w:val="24"/>
          <w:highlight w:val="none"/>
          <w:lang w:bidi="ar"/>
        </w:rPr>
        <w:t>中标人需按相关规定要求，设置本工程符合相关要求的永久性标牌及规划公示牌，投标人在投标报价时综合考虑在报价内，招标人不另行支付该部分费用。</w:t>
      </w:r>
    </w:p>
    <w:p w14:paraId="31483E7B">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17</w:t>
      </w:r>
      <w:r>
        <w:rPr>
          <w:rFonts w:hint="eastAsia" w:ascii="宋体" w:hAnsi="宋体" w:eastAsia="宋体" w:cs="宋体"/>
          <w:color w:val="auto"/>
          <w:sz w:val="24"/>
          <w:szCs w:val="24"/>
          <w:highlight w:val="none"/>
          <w:lang w:bidi="ar"/>
        </w:rPr>
        <w:t xml:space="preserve"> 中标人须为招标人、监理、全过程造价咨询单位提供现场办公管理的便利。按工程需要配置办公室、会议室、监理休息室及办公家具、生活设施，配备满足工程监理工作需要的办公设备（电脑、打印机、复印机、传真机、办公用品等）。中标人不得以任何理由提出任何费用及补偿要求。</w:t>
      </w:r>
    </w:p>
    <w:p w14:paraId="4129B0D5">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18 </w:t>
      </w:r>
      <w:r>
        <w:rPr>
          <w:rFonts w:hint="eastAsia" w:ascii="宋体" w:hAnsi="宋体" w:eastAsia="宋体" w:cs="宋体"/>
          <w:color w:val="auto"/>
          <w:sz w:val="24"/>
          <w:szCs w:val="24"/>
          <w:highlight w:val="none"/>
          <w:lang w:bidi="ar"/>
        </w:rPr>
        <w:t>中标人需在签订合同后5个工作日内向招标人免费提交投标文件副本</w:t>
      </w:r>
      <w:r>
        <w:rPr>
          <w:rFonts w:hint="eastAsia" w:ascii="宋体" w:hAnsi="宋体" w:eastAsia="宋体" w:cs="宋体"/>
          <w:color w:val="auto"/>
          <w:sz w:val="24"/>
          <w:szCs w:val="24"/>
          <w:highlight w:val="none"/>
          <w:lang w:eastAsia="zh-CN" w:bidi="ar"/>
        </w:rPr>
        <w:t>五</w:t>
      </w:r>
      <w:r>
        <w:rPr>
          <w:rFonts w:hint="eastAsia" w:ascii="宋体" w:hAnsi="宋体" w:eastAsia="宋体" w:cs="宋体"/>
          <w:color w:val="auto"/>
          <w:sz w:val="24"/>
          <w:szCs w:val="24"/>
          <w:highlight w:val="none"/>
          <w:lang w:bidi="ar"/>
        </w:rPr>
        <w:t>份。</w:t>
      </w:r>
    </w:p>
    <w:p w14:paraId="1F0C48C8">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19</w:t>
      </w:r>
      <w:r>
        <w:rPr>
          <w:rFonts w:hint="eastAsia" w:ascii="宋体" w:hAnsi="宋体" w:eastAsia="宋体" w:cs="宋体"/>
          <w:color w:val="auto"/>
          <w:sz w:val="24"/>
          <w:szCs w:val="24"/>
          <w:highlight w:val="none"/>
          <w:lang w:bidi="ar"/>
        </w:rPr>
        <w:t xml:space="preserve"> 中标人中标后招标人将对项目经理、法人代表或其授权委托人进行廉政谈话。</w:t>
      </w:r>
    </w:p>
    <w:p w14:paraId="45E8913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20 </w:t>
      </w:r>
      <w:r>
        <w:rPr>
          <w:rFonts w:hint="eastAsia" w:ascii="宋体" w:hAnsi="宋体" w:eastAsia="宋体" w:cs="宋体"/>
          <w:color w:val="auto"/>
          <w:sz w:val="24"/>
          <w:szCs w:val="24"/>
          <w:highlight w:val="none"/>
          <w:lang w:bidi="ar"/>
        </w:rPr>
        <w:t>中标人应已详细了解本项目的前期工作，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及现场情况为理由，提出因外界因素造成停工或工期延误的额外付款要求；对此类要求，招标人不作任何考虑及答复。</w:t>
      </w:r>
    </w:p>
    <w:p w14:paraId="3049589D">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14.21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如因招标人原因（自然灾害等不可抗力因素除外），工程不能按期开工，或开工后全部停滞，工期按相关规定予以顺延。停工发生后，若可复工时，中标人应在收到招标人发出的复工通知书后3日内开始复工。</w:t>
      </w:r>
    </w:p>
    <w:p w14:paraId="3D2E5DF8">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2</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中标人须为招标人提供现场管理的交通便利（开工至质保期满）。中标人不得以任何理由提出任何费用及补偿要求。</w:t>
      </w:r>
    </w:p>
    <w:p w14:paraId="0823A90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3</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中标人必须做好施工场地地下地上管线和邻近建筑物、构筑物（包括文物保护建筑）、名树名木（如有）的保护工作。</w:t>
      </w:r>
    </w:p>
    <w:p w14:paraId="1063DD06">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中标单位必须在中标通知书发出之日起一个月内完成现场临时设施（施工用水用电、围蔽、板房、洗车槽、相关公示牌等）施工，因中标人原因导致逾期的，逾期第壹天起每天按2000元作违约处理。</w:t>
      </w:r>
    </w:p>
    <w:p w14:paraId="7D7FFC4E">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 xml:space="preserve">5 </w:t>
      </w:r>
      <w:r>
        <w:rPr>
          <w:rFonts w:hint="eastAsia" w:ascii="宋体" w:hAnsi="宋体" w:eastAsia="宋体" w:cs="宋体"/>
          <w:color w:val="auto"/>
          <w:sz w:val="24"/>
          <w:szCs w:val="24"/>
          <w:highlight w:val="none"/>
          <w:lang w:bidi="ar"/>
        </w:rPr>
        <w:t>为保证施工现场的环境卫生，中标人在本工程施工过程中，所有的车辆必须按招标人规定的行车路线行驶。并负责施工现场及受施工影响周边道路的卫生。</w:t>
      </w:r>
    </w:p>
    <w:p w14:paraId="7B02C5C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26</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招标人有权根据本项目建设的实际情况调整建设规模或减少建设内容，如出现因特殊原因取消某子项目的建设，则该子项目未完成的工作内容及费用相应扣减，中标人应在投标报价中综合考虑该因素，中标后不得因此向招标人提出额外的费用补偿或索赔</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并且必须按调整后的规模及内容完成工程建设。</w:t>
      </w:r>
    </w:p>
    <w:p w14:paraId="52D8CB65">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27 </w:t>
      </w:r>
      <w:r>
        <w:rPr>
          <w:rFonts w:hint="eastAsia" w:ascii="宋体" w:hAnsi="宋体" w:eastAsia="宋体" w:cs="宋体"/>
          <w:color w:val="auto"/>
          <w:sz w:val="24"/>
          <w:szCs w:val="24"/>
          <w:highlight w:val="none"/>
          <w:lang w:bidi="ar"/>
        </w:rPr>
        <w:t>中标人在施工过程中应及时发现现场缺项漏项变更签证等影响造价的事项，应及时跟招标人报告（书面、微信等），</w:t>
      </w:r>
      <w:r>
        <w:rPr>
          <w:rFonts w:hint="eastAsia" w:ascii="宋体" w:hAnsi="宋体" w:eastAsia="宋体" w:cs="宋体"/>
          <w:color w:val="auto"/>
          <w:sz w:val="24"/>
          <w:szCs w:val="24"/>
          <w:highlight w:val="none"/>
          <w:lang w:eastAsia="zh-CN" w:bidi="ar"/>
        </w:rPr>
        <w:t>并按照招标人的程序确认后才能进行施工，</w:t>
      </w:r>
      <w:r>
        <w:rPr>
          <w:rFonts w:hint="eastAsia" w:ascii="宋体" w:hAnsi="宋体" w:eastAsia="宋体" w:cs="宋体"/>
          <w:color w:val="auto"/>
          <w:sz w:val="24"/>
          <w:szCs w:val="24"/>
          <w:highlight w:val="none"/>
          <w:lang w:bidi="ar"/>
        </w:rPr>
        <w:t>若因中标人不及时报告</w:t>
      </w:r>
      <w:r>
        <w:rPr>
          <w:rFonts w:hint="eastAsia" w:ascii="宋体" w:hAnsi="宋体" w:eastAsia="宋体" w:cs="宋体"/>
          <w:color w:val="auto"/>
          <w:sz w:val="24"/>
          <w:szCs w:val="24"/>
          <w:highlight w:val="none"/>
          <w:lang w:eastAsia="zh-CN" w:bidi="ar"/>
        </w:rPr>
        <w:t>擅自施工，</w:t>
      </w:r>
      <w:r>
        <w:rPr>
          <w:rFonts w:hint="eastAsia" w:ascii="宋体" w:hAnsi="宋体" w:eastAsia="宋体" w:cs="宋体"/>
          <w:color w:val="auto"/>
          <w:sz w:val="24"/>
          <w:szCs w:val="24"/>
          <w:highlight w:val="none"/>
          <w:lang w:bidi="ar"/>
        </w:rPr>
        <w:t>导致的不良后果，由中标人承担。</w:t>
      </w:r>
    </w:p>
    <w:p w14:paraId="30597FF5">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28</w:t>
      </w:r>
      <w:r>
        <w:rPr>
          <w:rFonts w:hint="eastAsia" w:ascii="宋体" w:hAnsi="宋体" w:eastAsia="宋体" w:cs="宋体"/>
          <w:color w:val="auto"/>
          <w:sz w:val="24"/>
          <w:szCs w:val="24"/>
          <w:highlight w:val="none"/>
          <w:lang w:val="en-US" w:eastAsia="zh-CN" w:bidi="ar"/>
        </w:rPr>
        <w:t xml:space="preserve"> 因项目用地的不可控因素，造成建设用地延期交付，导致产生的费用不予补偿，仅顺延工期。</w:t>
      </w:r>
    </w:p>
    <w:p w14:paraId="7ECB994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29 </w:t>
      </w:r>
      <w:r>
        <w:rPr>
          <w:rFonts w:hint="eastAsia" w:ascii="宋体" w:hAnsi="宋体" w:eastAsia="宋体" w:cs="宋体"/>
          <w:color w:val="auto"/>
          <w:sz w:val="24"/>
          <w:szCs w:val="24"/>
          <w:highlight w:val="none"/>
          <w:lang w:val="en-US" w:eastAsia="zh-CN" w:bidi="ar"/>
        </w:rPr>
        <w:t>中标人须参与图纸会审并及时提出涉及设计修改或变更方面的相关方案或意见，否则由此造成的后果由中标人自行负责。</w:t>
      </w:r>
    </w:p>
    <w:p w14:paraId="69A1044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w:t>
      </w:r>
      <w:r>
        <w:rPr>
          <w:rFonts w:hint="eastAsia" w:ascii="宋体" w:hAnsi="宋体" w:eastAsia="宋体" w:cs="宋体"/>
          <w:color w:val="auto"/>
          <w:sz w:val="24"/>
          <w:szCs w:val="24"/>
          <w:highlight w:val="none"/>
          <w:lang w:val="en-US" w:eastAsia="zh-CN" w:bidi="ar"/>
        </w:rPr>
        <w:t xml:space="preserve"> 对于招标工程量清单、招标控制价发生的以下事项，招标人有权在合同签订前按以下原则进行修订：</w:t>
      </w:r>
    </w:p>
    <w:p w14:paraId="010288E4">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14.30.1</w:t>
      </w:r>
      <w:r>
        <w:rPr>
          <w:rFonts w:hint="eastAsia" w:ascii="宋体" w:hAnsi="宋体" w:eastAsia="宋体" w:cs="宋体"/>
          <w:color w:val="auto"/>
          <w:sz w:val="24"/>
          <w:szCs w:val="24"/>
          <w:highlight w:val="none"/>
          <w:lang w:val="en-US" w:eastAsia="zh-CN" w:bidi="ar"/>
        </w:rPr>
        <w:t xml:space="preserve"> 招标工程量清单描述有误：招标人有权修正工程量清单描述错误部分，工程量清单综合单价以投标人报价为准。</w:t>
      </w:r>
    </w:p>
    <w:p w14:paraId="368B766F">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14.30.2</w:t>
      </w:r>
      <w:r>
        <w:rPr>
          <w:rFonts w:hint="eastAsia" w:ascii="宋体" w:hAnsi="宋体" w:eastAsia="宋体" w:cs="宋体"/>
          <w:color w:val="auto"/>
          <w:sz w:val="24"/>
          <w:szCs w:val="24"/>
          <w:highlight w:val="none"/>
          <w:lang w:val="en-US" w:eastAsia="zh-CN" w:bidi="ar"/>
        </w:rPr>
        <w:t xml:space="preserve"> 招标工程量计量错误：以实际发生工程量为准，工程量清单综合单价以投标人报价为准。</w:t>
      </w:r>
    </w:p>
    <w:p w14:paraId="18E0E32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14.30.3</w:t>
      </w:r>
      <w:r>
        <w:rPr>
          <w:rFonts w:hint="eastAsia" w:ascii="宋体" w:hAnsi="宋体" w:eastAsia="宋体" w:cs="宋体"/>
          <w:color w:val="auto"/>
          <w:sz w:val="24"/>
          <w:szCs w:val="24"/>
          <w:highlight w:val="none"/>
          <w:lang w:val="en-US" w:eastAsia="zh-CN" w:bidi="ar"/>
        </w:rPr>
        <w:t xml:space="preserve"> 相同子目综合单价在不同单位工程中单价不一致：以投标报价低价为准。</w:t>
      </w:r>
    </w:p>
    <w:p w14:paraId="1361271D">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 xml:space="preserve">14.30.4 </w:t>
      </w:r>
      <w:r>
        <w:rPr>
          <w:rFonts w:hint="eastAsia" w:ascii="宋体" w:hAnsi="宋体" w:eastAsia="宋体" w:cs="宋体"/>
          <w:color w:val="auto"/>
          <w:sz w:val="24"/>
          <w:szCs w:val="24"/>
          <w:highlight w:val="none"/>
          <w:lang w:val="en-US" w:eastAsia="zh-CN" w:bidi="ar"/>
        </w:rPr>
        <w:t>招标工程量清单漏项（图纸有而清单漏项）：按工程量按实计算，综合单价以招标人委托的第三方造价咨询公司按本项目招标控制价编制原则编制，并按投标总价下浮率下浮计算。</w:t>
      </w:r>
    </w:p>
    <w:p w14:paraId="22836D5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施工合同签订备案后，承包人应一个月内将安全防护、文明施工措施项目费、工人工资保证金、工程排污费等涉及办理建筑工程施工许可证的缴费项目，缴纳至相应管理部门，办结相关手续，并提供缴费凭据等相关资料复印件给发包人，到商业银行办理安全防护、文明施工措施费及工人工资专用账户，同时承包人应向发包人提供符合韶关市相关行业行政主管部门规定的有效劳务分包合同。</w:t>
      </w:r>
    </w:p>
    <w:p w14:paraId="79BD32F7">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32 </w:t>
      </w:r>
      <w:r>
        <w:rPr>
          <w:rFonts w:hint="eastAsia" w:ascii="宋体" w:hAnsi="宋体" w:eastAsia="宋体" w:cs="宋体"/>
          <w:color w:val="auto"/>
          <w:sz w:val="24"/>
          <w:szCs w:val="24"/>
          <w:highlight w:val="none"/>
          <w:lang w:bidi="ar"/>
        </w:rPr>
        <w:t>承包人应充分考虑施工对接情况，为本工程的其他参建单位提供工作便利、配合及服务（如水源、电源接口等），并有针对性地组织施工；承包人与为本工程的其他参建单位就协调、配合、服务等不能达成一致的，由监理工程师协调，并遵照监理工程师指令执行；承包人应负责统筹安排本工程范围内的各项工程的协调与配合，确保工程建设有序进行。承包人由此增加的费用应认为已包括在承包人的投标报价之中，发包人不另行支付。</w:t>
      </w:r>
    </w:p>
    <w:p w14:paraId="0F1E6214">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33 </w:t>
      </w:r>
      <w:r>
        <w:rPr>
          <w:rFonts w:hint="eastAsia" w:ascii="宋体" w:hAnsi="宋体" w:eastAsia="宋体" w:cs="宋体"/>
          <w:color w:val="auto"/>
          <w:sz w:val="24"/>
          <w:szCs w:val="24"/>
          <w:highlight w:val="none"/>
          <w:lang w:bidi="ar"/>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261D330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14.34 </w:t>
      </w:r>
      <w:r>
        <w:rPr>
          <w:rFonts w:hint="eastAsia" w:ascii="宋体" w:hAnsi="宋体" w:eastAsia="宋体" w:cs="宋体"/>
          <w:color w:val="auto"/>
          <w:sz w:val="24"/>
          <w:szCs w:val="24"/>
          <w:highlight w:val="none"/>
          <w:lang w:val="en-US" w:eastAsia="zh-CN" w:bidi="ar"/>
        </w:rPr>
        <w:t>本工程评标专家酬劳由中标人支付，该费用不再另行报价，由投标人在投标报价时综合考虑在内。中标人在领取中标通知书前须向招标代理机构评标专家酬劳。</w:t>
      </w:r>
    </w:p>
    <w:p w14:paraId="32222D77">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14.35 </w:t>
      </w:r>
      <w:r>
        <w:rPr>
          <w:rFonts w:hint="eastAsia" w:ascii="宋体" w:hAnsi="宋体" w:eastAsia="宋体" w:cs="宋体"/>
          <w:color w:val="auto"/>
          <w:sz w:val="24"/>
          <w:szCs w:val="24"/>
          <w:highlight w:val="none"/>
          <w:lang w:val="en-US" w:eastAsia="zh-CN" w:bidi="ar"/>
        </w:rPr>
        <w:t>发包人仅在征地红线范围内提供场地，其他一切场地费用由承包人自行负责（含临时道路），因实施合同工程的需要，承包人须占用场地外的道路及修建场外用地、设施等，均由承包人自行负责。承包人自行办理所需的申请手续，并承担一切所需的费用，承包人须负责保持场内外的临时道路畅通，提供指示牌、警告告示、灯号及所需之交通指导员等一切安全措施以保障行人安全及车辆安全行驶，并承担因其失责引起之所有索偿。基坑开挖期间，承包人须于基坑至工地出入口设置挖运土（石）方的专用便道，便道须作填硬质渣土或浇混凝土路面等加硬处理，以确保雨天仍能安全施工。该费用已包含在合同单价中；超大件和超重件运输所需的一切费用包括但不限于道路和桥梁临时加固改造费用等均由承包人自行负责。</w:t>
      </w:r>
    </w:p>
    <w:p w14:paraId="24A5F30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14.36</w:t>
      </w:r>
      <w:r>
        <w:rPr>
          <w:rFonts w:hint="eastAsia" w:ascii="宋体" w:hAnsi="宋体" w:eastAsia="宋体" w:cs="宋体"/>
          <w:color w:val="auto"/>
          <w:sz w:val="24"/>
          <w:szCs w:val="24"/>
          <w:highlight w:val="none"/>
          <w:lang w:val="en-US" w:eastAsia="zh-CN" w:bidi="ar"/>
        </w:rPr>
        <w:t xml:space="preserve"> 承包人应对所有现场作业、所有施工方法和全部工程的完备性、稳定性和安全性负责，负责施工场地安全保卫工作，防止因工程施工造成的人身伤害和财产损失，提供和维修施工照明、围栏设施及要约标志以满足现场实际需要。</w:t>
      </w:r>
    </w:p>
    <w:p w14:paraId="38B047E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14.37</w:t>
      </w:r>
      <w:r>
        <w:rPr>
          <w:rFonts w:hint="eastAsia" w:ascii="宋体" w:hAnsi="宋体" w:eastAsia="宋体" w:cs="宋体"/>
          <w:color w:val="auto"/>
          <w:sz w:val="24"/>
          <w:szCs w:val="24"/>
          <w:highlight w:val="none"/>
          <w:lang w:val="en-US" w:eastAsia="zh-CN" w:bidi="ar"/>
        </w:rPr>
        <w:t xml:space="preserve"> 遵守国家、广东省及韶关市现行的法律、条例、规定和通知，并办理所需的申请和支付有关的法定费用和税项（包括但不限于营业税及其附加税/增值税及其附加税或其他任何因履行合同需由承包商承担的相关税金）。包括但不限于施工场地交通、余泥排放、环境保护、安全防护、文明施工、施工噪音管理、夜间施工、排水许可、施工爆破许可等的申请及支付有关费用。</w:t>
      </w:r>
    </w:p>
    <w:p w14:paraId="59914E1C">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14.38</w:t>
      </w:r>
      <w:r>
        <w:rPr>
          <w:rFonts w:hint="eastAsia" w:ascii="宋体" w:hAnsi="宋体" w:eastAsia="宋体" w:cs="宋体"/>
          <w:color w:val="auto"/>
          <w:sz w:val="24"/>
          <w:szCs w:val="24"/>
          <w:highlight w:val="none"/>
          <w:lang w:val="en-US" w:eastAsia="zh-CN" w:bidi="ar"/>
        </w:rPr>
        <w:t xml:space="preserve"> 遵守政府部门有关环境卫生的管理规定，保证施工场地的清洁和交工前施工现场的清理，并承担因自身责任造成的损失和罚款。</w:t>
      </w:r>
    </w:p>
    <w:p w14:paraId="431EA3D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14.39</w:t>
      </w:r>
      <w:r>
        <w:rPr>
          <w:rFonts w:hint="eastAsia" w:ascii="宋体" w:hAnsi="宋体" w:eastAsia="宋体" w:cs="宋体"/>
          <w:color w:val="auto"/>
          <w:sz w:val="24"/>
          <w:szCs w:val="24"/>
          <w:highlight w:val="none"/>
          <w:lang w:val="en-US" w:eastAsia="zh-CN" w:bidi="ar"/>
        </w:rPr>
        <w:t xml:space="preserve"> 工程完工后，应按照合同约定提交竣工验收申请报告、竣工图纸和资料及竣工结算文件。本项目的工程竣工图亦须由承包人负责编制及提交，相关费用和利润视作已考虑在合同价款内。</w:t>
      </w:r>
    </w:p>
    <w:p w14:paraId="6687362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14.40 </w:t>
      </w:r>
      <w:r>
        <w:rPr>
          <w:rFonts w:hint="eastAsia" w:ascii="宋体" w:hAnsi="宋体" w:eastAsia="宋体" w:cs="宋体"/>
          <w:color w:val="auto"/>
          <w:sz w:val="24"/>
          <w:szCs w:val="24"/>
          <w:highlight w:val="none"/>
          <w:lang w:val="en-US" w:eastAsia="zh-CN" w:bidi="ar"/>
        </w:rPr>
        <w:t>自行办理本工程施工所需的道路占用手续（包括开路口），负责有关申请及维持占用道路所需的一切费用，并负责本工程的红线外的一切场地使用费用。</w:t>
      </w:r>
    </w:p>
    <w:p w14:paraId="5E27658A">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14.41</w:t>
      </w:r>
      <w:r>
        <w:rPr>
          <w:rFonts w:hint="eastAsia" w:ascii="宋体" w:hAnsi="宋体" w:eastAsia="宋体" w:cs="宋体"/>
          <w:color w:val="auto"/>
          <w:sz w:val="24"/>
          <w:szCs w:val="24"/>
          <w:highlight w:val="none"/>
          <w:lang w:val="en-US" w:eastAsia="zh-CN" w:bidi="ar"/>
        </w:rPr>
        <w:t xml:space="preserve"> 对于承包人或其指定分包人所雇用的工人或任何其它人员的伤亡或赔偿，承包人应保证发包人免负该等责任，且保证发包人不负担涉及这类伤亡与赔偿或与此有关的索赔和诉讼，损害赔偿、诉讼费、赔偿费及其它费用均由承包人自行负责，另承包人由于伤亡事故而造成本工程停工的，发包人将不予顺延工期，其所有损失由承包人自负。但由于发包人或监理工程师的行为失误所造成的伤亡除外。</w:t>
      </w:r>
    </w:p>
    <w:p w14:paraId="602FFB2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14.42 </w:t>
      </w:r>
      <w:r>
        <w:rPr>
          <w:rFonts w:hint="eastAsia" w:ascii="宋体" w:hAnsi="宋体" w:eastAsia="宋体" w:cs="宋体"/>
          <w:color w:val="auto"/>
          <w:sz w:val="24"/>
          <w:szCs w:val="24"/>
          <w:highlight w:val="none"/>
          <w:lang w:val="en-US" w:eastAsia="zh-CN" w:bidi="ar"/>
        </w:rPr>
        <w:t>应发包人要求对所有隐蔽工程施工进行录像并刻录成光盘，于工程验收时一并提交。</w:t>
      </w:r>
    </w:p>
    <w:p w14:paraId="279A2CB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14.43</w:t>
      </w:r>
      <w:r>
        <w:rPr>
          <w:rFonts w:hint="eastAsia" w:ascii="宋体" w:hAnsi="宋体" w:eastAsia="宋体" w:cs="宋体"/>
          <w:color w:val="auto"/>
          <w:sz w:val="24"/>
          <w:szCs w:val="24"/>
          <w:highlight w:val="none"/>
          <w:lang w:val="en-US" w:eastAsia="zh-CN" w:bidi="ar"/>
        </w:rPr>
        <w:t xml:space="preserve"> 本工程竣工交付予发包人，或合同终止之日起30天内时，承包人应将全部场地清理干净退还发包人。如承包人逾期未退还场地，承包人须按每天5元/m2向发包人缴纳场地占用费。</w:t>
      </w:r>
    </w:p>
    <w:p w14:paraId="2984EDE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14.44 </w:t>
      </w:r>
      <w:r>
        <w:rPr>
          <w:rFonts w:hint="eastAsia" w:ascii="宋体" w:hAnsi="宋体" w:eastAsia="宋体" w:cs="宋体"/>
          <w:color w:val="auto"/>
          <w:sz w:val="24"/>
          <w:szCs w:val="24"/>
          <w:highlight w:val="none"/>
          <w:lang w:val="en-US" w:eastAsia="zh-CN" w:bidi="ar"/>
        </w:rPr>
        <w:t>承包人必须参加各专业工程的图纸会审，对于专业工程与土建工程有冲突的地方，有义务提出修改建议和解决方案，否则，因此产生的费用将不予签证和工程设计变更。</w:t>
      </w:r>
    </w:p>
    <w:p w14:paraId="36F8BF5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14.45</w:t>
      </w:r>
      <w:r>
        <w:rPr>
          <w:rFonts w:hint="eastAsia" w:ascii="宋体" w:hAnsi="宋体" w:eastAsia="宋体" w:cs="宋体"/>
          <w:color w:val="auto"/>
          <w:sz w:val="24"/>
          <w:szCs w:val="24"/>
          <w:highlight w:val="none"/>
          <w:lang w:val="en-US" w:eastAsia="zh-CN" w:bidi="ar"/>
        </w:rPr>
        <w:t xml:space="preserve"> 承包人应根据发包人提供的正式变更资料及时进行工程变更，工程变更完成并由监理工程师和发包人书面确认后，承包人在30天内向发包人和造价工程师提出工程变更预算(包括经确认完成的变更证明资料及相应图纸、计算明细及单价组成等)，在30天内未提交的，视为变更不涉及费用的增加和工期的延长。承包人需按发包人的要求在每月20日前对设计变更及现场签证的事项台账及预算台账进行更新填报，若承包人漏报，发包人将视为该工作或签证不涉及费用的增加及工期的延长。承包人不得高估冒算，承包人预（结）算的送审价高出发包人审定价20%，承包人按以下方式承担违约金：违约金＝(承包人预（结）算送审造价－发包人预（结）算审定价×1.2)×10%，在预（结）算款项中以违约金形式扣除。</w:t>
      </w:r>
    </w:p>
    <w:p w14:paraId="504EC47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14.46</w:t>
      </w:r>
      <w:r>
        <w:rPr>
          <w:rFonts w:hint="eastAsia" w:ascii="宋体" w:hAnsi="宋体" w:eastAsia="宋体" w:cs="宋体"/>
          <w:color w:val="auto"/>
          <w:sz w:val="24"/>
          <w:szCs w:val="24"/>
          <w:highlight w:val="none"/>
          <w:lang w:val="en-US" w:eastAsia="zh-CN" w:bidi="ar"/>
        </w:rPr>
        <w:t xml:space="preserve"> 在展开任何工作或订购任何材料设备前，承包人须核实图纸上及现场所有尺寸，及审核现场、图纸、标准、规范之间有没有不符，若发现有任何错漏、疏忽或偏差，必须立即以书面形式通知发包人和监理工程师，由发包人给予指示。发包人的任何指示皆不会免除或减轻承包人按合同所承担的义务和责任。发包人不负责承包人未有充分审核而引致的虚耗材料设备、工作或进度拖延。</w:t>
      </w:r>
    </w:p>
    <w:p w14:paraId="4739858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14.47</w:t>
      </w:r>
      <w:r>
        <w:rPr>
          <w:rFonts w:hint="eastAsia" w:ascii="宋体" w:hAnsi="宋体" w:eastAsia="宋体" w:cs="宋体"/>
          <w:color w:val="auto"/>
          <w:sz w:val="24"/>
          <w:szCs w:val="24"/>
          <w:highlight w:val="none"/>
          <w:lang w:val="en-US" w:eastAsia="zh-CN" w:bidi="ar"/>
        </w:rPr>
        <w:t xml:space="preserve"> 合同价款已包括探明、打碎及移去所有在施工期间所遇到的地下障碍物如石块、结构混凝土、素混凝土、砖块、坟头等，及用经认可的土壤回填于空位内，合同价款亦已包括因上述障碍物而引致工人及机械窝工的费用及其它一切费用。</w:t>
      </w:r>
    </w:p>
    <w:p w14:paraId="129BD86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14.48</w:t>
      </w:r>
      <w:r>
        <w:rPr>
          <w:rFonts w:hint="eastAsia" w:ascii="宋体" w:hAnsi="宋体" w:eastAsia="宋体" w:cs="宋体"/>
          <w:color w:val="auto"/>
          <w:sz w:val="24"/>
          <w:szCs w:val="24"/>
          <w:highlight w:val="none"/>
          <w:lang w:val="en-US" w:eastAsia="zh-CN" w:bidi="ar"/>
        </w:rPr>
        <w:t xml:space="preserve"> 合同履行期间，除分部分项工程量清单内人工及模板人工（不包含机械费中的人工）与分部分项工程清单内的商品混凝土、商品砂浆、钢筋、结构用型钢、砌体、在约定的条件下可调整价差外，合同价款及单价不会因任何物价或汇率的变动而作调整。</w:t>
      </w:r>
    </w:p>
    <w:p w14:paraId="43E2910D">
      <w:pPr>
        <w:pStyle w:val="36"/>
        <w:wordWrap w:val="0"/>
        <w:adjustRightInd w:val="0"/>
        <w:snapToGrid w:val="0"/>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bidi="ar"/>
        </w:rPr>
        <w:t>14.49</w:t>
      </w:r>
      <w:r>
        <w:rPr>
          <w:rFonts w:hint="eastAsia" w:ascii="宋体" w:hAnsi="宋体" w:eastAsia="宋体" w:cs="宋体"/>
          <w:color w:val="auto"/>
          <w:sz w:val="24"/>
          <w:szCs w:val="24"/>
          <w:highlight w:val="none"/>
          <w:lang w:val="en-US" w:eastAsia="zh-CN" w:bidi="ar"/>
        </w:rPr>
        <w:t xml:space="preserve"> 承包人应积极配合发包人进行与自行施工范围有关的变更、签证“一月一清”工作。</w:t>
      </w:r>
    </w:p>
    <w:p w14:paraId="387C6D7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6" w:name="_Toc22494"/>
      <w:bookmarkStart w:id="217" w:name="_Toc9877"/>
      <w:r>
        <w:rPr>
          <w:rFonts w:hint="eastAsia" w:ascii="宋体" w:hAnsi="宋体" w:eastAsia="宋体" w:cs="宋体"/>
          <w:b/>
          <w:bCs/>
          <w:color w:val="auto"/>
          <w:spacing w:val="-11"/>
          <w:sz w:val="24"/>
          <w:szCs w:val="24"/>
          <w:highlight w:val="none"/>
          <w:lang w:val="en-US" w:eastAsia="zh-CN"/>
        </w:rPr>
        <w:t>15.违约及质量保证条款</w:t>
      </w:r>
      <w:bookmarkEnd w:id="216"/>
    </w:p>
    <w:p w14:paraId="6C4CDE94">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15.1 </w:t>
      </w:r>
      <w:r>
        <w:rPr>
          <w:rFonts w:hint="eastAsia" w:ascii="宋体" w:hAnsi="宋体" w:eastAsia="宋体" w:cs="宋体"/>
          <w:b w:val="0"/>
          <w:bCs w:val="0"/>
          <w:color w:val="auto"/>
          <w:sz w:val="24"/>
          <w:szCs w:val="24"/>
          <w:highlight w:val="none"/>
          <w:lang w:val="en-US" w:eastAsia="zh-CN" w:bidi="ar"/>
        </w:rPr>
        <w:t>工程移交延误违约</w:t>
      </w:r>
      <w:bookmarkEnd w:id="217"/>
    </w:p>
    <w:p w14:paraId="0D7B8051">
      <w:pPr>
        <w:pStyle w:val="36"/>
        <w:snapToGrid w:val="0"/>
        <w:spacing w:line="360" w:lineRule="auto"/>
        <w:ind w:firstLine="56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15.1.1</w:t>
      </w:r>
      <w:r>
        <w:rPr>
          <w:rFonts w:hint="eastAsia" w:ascii="宋体" w:hAnsi="宋体" w:eastAsia="宋体" w:cs="宋体"/>
          <w:b w:val="0"/>
          <w:bCs w:val="0"/>
          <w:snapToGrid w:val="0"/>
          <w:color w:val="auto"/>
          <w:kern w:val="0"/>
          <w:sz w:val="24"/>
          <w:szCs w:val="24"/>
          <w:highlight w:val="none"/>
          <w:lang w:val="en-US" w:eastAsia="zh-CN"/>
        </w:rPr>
        <w:t>因承包人原因，工程没有按期竣工时，承包人须在逾期第壹天起每天按合同价的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向发包人返纳逾期竣工违约金。逾期竣工违约金的最高限额为合同价款的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w:t>
      </w:r>
    </w:p>
    <w:p w14:paraId="0C5D91D8">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.1.2</w:t>
      </w:r>
      <w:r>
        <w:rPr>
          <w:rFonts w:hint="eastAsia" w:ascii="宋体" w:hAnsi="宋体" w:eastAsia="宋体" w:cs="宋体"/>
          <w:iCs/>
          <w:color w:val="auto"/>
          <w:sz w:val="24"/>
          <w:szCs w:val="24"/>
          <w:highlight w:val="none"/>
        </w:rPr>
        <w:t>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w:t>
      </w:r>
      <w:r>
        <w:rPr>
          <w:rFonts w:hint="eastAsia" w:ascii="宋体" w:hAnsi="宋体" w:eastAsia="宋体" w:cs="宋体"/>
          <w:color w:val="auto"/>
          <w:sz w:val="24"/>
          <w:szCs w:val="24"/>
          <w:highlight w:val="none"/>
        </w:rPr>
        <w:t>每次按2000元缴纳违约金给发包人，在结算中一并扣除。</w:t>
      </w:r>
    </w:p>
    <w:p w14:paraId="538FADF2">
      <w:pPr>
        <w:pStyle w:val="36"/>
        <w:snapToGrid w:val="0"/>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rPr>
        <w:t>15</w:t>
      </w: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color w:val="auto"/>
          <w:sz w:val="24"/>
          <w:szCs w:val="24"/>
          <w:highlight w:val="none"/>
        </w:rPr>
        <w:t>承包人在进场后7天内提交施工进度计划，并注明主要施工节点时间，送监理单位及发包人审核后，作为工期考核的阶段性指标。</w:t>
      </w:r>
    </w:p>
    <w:p w14:paraId="11486E20">
      <w:pPr>
        <w:pStyle w:val="36"/>
        <w:keepNext w:val="0"/>
        <w:keepLines w:val="0"/>
        <w:pageBreakBefore w:val="0"/>
        <w:widowControl/>
        <w:wordWrap w:val="0"/>
        <w:overflowPunct/>
        <w:bidi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18" w:name="_Toc25518"/>
      <w:r>
        <w:rPr>
          <w:rFonts w:hint="eastAsia" w:ascii="宋体" w:hAnsi="宋体" w:eastAsia="宋体" w:cs="宋体"/>
          <w:b/>
          <w:bCs/>
          <w:color w:val="auto"/>
          <w:sz w:val="24"/>
          <w:szCs w:val="24"/>
          <w:highlight w:val="none"/>
          <w:lang w:val="en-US" w:eastAsia="zh-CN" w:bidi="ar"/>
        </w:rPr>
        <w:t xml:space="preserve">15.2 </w:t>
      </w:r>
      <w:r>
        <w:rPr>
          <w:rFonts w:hint="eastAsia" w:ascii="宋体" w:hAnsi="宋体" w:eastAsia="宋体" w:cs="宋体"/>
          <w:b w:val="0"/>
          <w:bCs w:val="0"/>
          <w:color w:val="auto"/>
          <w:sz w:val="24"/>
          <w:szCs w:val="24"/>
          <w:highlight w:val="none"/>
          <w:lang w:val="en-US" w:eastAsia="zh-CN" w:bidi="ar"/>
        </w:rPr>
        <w:t>质量违约</w:t>
      </w:r>
      <w:bookmarkEnd w:id="218"/>
    </w:p>
    <w:p w14:paraId="1D9615D2">
      <w:pPr>
        <w:keepNext w:val="0"/>
        <w:keepLines w:val="0"/>
        <w:pageBreakBefore w:val="0"/>
        <w:widowControl w:val="0"/>
        <w:kinsoku w:val="0"/>
        <w:wordWrap/>
        <w:overflowPunct/>
        <w:autoSpaceDE w:val="0"/>
        <w:autoSpaceDN w:val="0"/>
        <w:bidi w:val="0"/>
        <w:adjustRightInd w:val="0"/>
        <w:snapToGrid w:val="0"/>
        <w:spacing w:line="360" w:lineRule="auto"/>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材料违约处理：若发现材料不符合国家标准或发包人在技术规范中规定的标准，视为承包人违约，按现行《建设工程质量管理条例》处理。</w:t>
      </w:r>
    </w:p>
    <w:p w14:paraId="181B02AC">
      <w:pPr>
        <w:pStyle w:val="37"/>
        <w:keepNext w:val="0"/>
        <w:keepLines w:val="0"/>
        <w:pageBreakBefore w:val="0"/>
        <w:widowControl w:val="0"/>
        <w:kinsoku w:val="0"/>
        <w:wordWrap/>
        <w:overflowPunct/>
        <w:autoSpaceDE w:val="0"/>
        <w:autoSpaceDN w:val="0"/>
        <w:bidi w:val="0"/>
        <w:adjustRightInd w:val="0"/>
        <w:snapToGrid w:val="0"/>
        <w:spacing w:line="360" w:lineRule="auto"/>
        <w:ind w:firstLine="490"/>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15</w:t>
      </w:r>
      <w:r>
        <w:rPr>
          <w:rFonts w:hint="eastAsia" w:ascii="宋体" w:hAnsi="宋体" w:eastAsia="宋体" w:cs="宋体"/>
          <w:b/>
          <w:color w:val="auto"/>
          <w:sz w:val="24"/>
          <w:szCs w:val="24"/>
          <w:highlight w:val="none"/>
        </w:rPr>
        <w:t>.2.1.1</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rPr>
        <w:t>成品采购项目在采购前，承包人必须先行书面征求监理人、发包人的同意并一起看样定版后方能实施。未经监理人、发包人同意擅自先行采购和实施的，否则因不符合设计要求返工造成的费用由承包人承担。</w:t>
      </w:r>
    </w:p>
    <w:p w14:paraId="633665CF">
      <w:pPr>
        <w:keepNext w:val="0"/>
        <w:keepLines w:val="0"/>
        <w:pageBreakBefore w:val="0"/>
        <w:widowControl w:val="0"/>
        <w:kinsoku w:val="0"/>
        <w:wordWrap/>
        <w:overflowPunct/>
        <w:autoSpaceDE w:val="0"/>
        <w:autoSpaceDN w:val="0"/>
        <w:bidi w:val="0"/>
        <w:adjustRightInd w:val="0"/>
        <w:snapToGrid w:val="0"/>
        <w:spacing w:line="360" w:lineRule="auto"/>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工程质量违约：</w:t>
      </w:r>
    </w:p>
    <w:p w14:paraId="589C1495">
      <w:pPr>
        <w:keepNext w:val="0"/>
        <w:keepLines w:val="0"/>
        <w:pageBreakBefore w:val="0"/>
        <w:widowControl w:val="0"/>
        <w:kinsoku w:val="0"/>
        <w:wordWrap/>
        <w:overflow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在施工过程中经监理单位日常巡查或抽检发现未达到合格标准，责令承包人进行整改，如未按规定时间进行整改或整改不到位的，每次按5000元缴纳违约金给发包人，在进度款或结算款中一并扣除。</w:t>
      </w:r>
    </w:p>
    <w:p w14:paraId="204A6E6F">
      <w:pPr>
        <w:keepNext w:val="0"/>
        <w:keepLines w:val="0"/>
        <w:pageBreakBefore w:val="0"/>
        <w:widowControl w:val="0"/>
        <w:kinsoku w:val="0"/>
        <w:wordWrap/>
        <w:overflow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工程质量标准须</w:t>
      </w:r>
      <w:r>
        <w:rPr>
          <w:rFonts w:hint="eastAsia" w:ascii="宋体" w:hAnsi="宋体" w:eastAsia="宋体" w:cs="宋体"/>
          <w:color w:val="auto"/>
          <w:sz w:val="24"/>
          <w:szCs w:val="24"/>
          <w:highlight w:val="none"/>
          <w:lang w:eastAsia="zh-CN"/>
        </w:rPr>
        <w:t>达到《建筑工程施工质量验收统一标准》(GB50300-2013)和《建筑与市政工程施工质量控制通用规范》（GB55032-2022）合格</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如未达到合格标准，除无偿返工至合格外，还要按合同价款的1%向招标人支付质量违约金，工期不予顺延。</w:t>
      </w:r>
    </w:p>
    <w:p w14:paraId="7E9A0895">
      <w:pPr>
        <w:pStyle w:val="36"/>
        <w:wordWrap w:val="0"/>
        <w:adjustRightInd w:val="0"/>
        <w:snapToGrid w:val="0"/>
        <w:spacing w:line="360" w:lineRule="auto"/>
        <w:ind w:firstLine="560"/>
        <w:rPr>
          <w:rFonts w:hint="eastAsia" w:ascii="宋体" w:hAnsi="宋体" w:eastAsia="宋体" w:cs="宋体"/>
          <w:b w:val="0"/>
          <w:bCs w:val="0"/>
          <w:color w:val="auto"/>
          <w:sz w:val="24"/>
          <w:szCs w:val="24"/>
          <w:highlight w:val="none"/>
          <w:lang w:val="en-US" w:eastAsia="zh-CN" w:bidi="ar"/>
        </w:rPr>
      </w:pPr>
      <w:bookmarkStart w:id="219" w:name="_Toc6857"/>
      <w:r>
        <w:rPr>
          <w:rFonts w:hint="eastAsia" w:ascii="宋体" w:hAnsi="宋体" w:eastAsia="宋体" w:cs="宋体"/>
          <w:b/>
          <w:bCs/>
          <w:color w:val="auto"/>
          <w:sz w:val="24"/>
          <w:szCs w:val="24"/>
          <w:highlight w:val="none"/>
          <w:lang w:val="en-US" w:eastAsia="zh-CN" w:bidi="ar"/>
        </w:rPr>
        <w:t xml:space="preserve">15.3 </w:t>
      </w:r>
      <w:r>
        <w:rPr>
          <w:rFonts w:hint="eastAsia" w:ascii="宋体" w:hAnsi="宋体" w:eastAsia="宋体" w:cs="宋体"/>
          <w:b w:val="0"/>
          <w:bCs w:val="0"/>
          <w:color w:val="auto"/>
          <w:sz w:val="24"/>
          <w:szCs w:val="24"/>
          <w:highlight w:val="none"/>
          <w:lang w:val="en-US" w:eastAsia="zh-CN" w:bidi="ar"/>
        </w:rPr>
        <w:t>重大责任事故违约</w:t>
      </w:r>
      <w:bookmarkEnd w:id="219"/>
    </w:p>
    <w:p w14:paraId="2C4DF0E6">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.3.1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w:t>
      </w:r>
    </w:p>
    <w:p w14:paraId="71FC9DF1">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20" w:name="_Toc8249"/>
      <w:r>
        <w:rPr>
          <w:rFonts w:hint="eastAsia" w:ascii="宋体" w:hAnsi="宋体" w:eastAsia="宋体" w:cs="宋体"/>
          <w:b/>
          <w:bCs/>
          <w:color w:val="auto"/>
          <w:sz w:val="24"/>
          <w:szCs w:val="24"/>
          <w:highlight w:val="none"/>
          <w:lang w:val="en-US" w:eastAsia="zh-CN" w:bidi="ar"/>
        </w:rPr>
        <w:t xml:space="preserve">15.4 </w:t>
      </w:r>
      <w:r>
        <w:rPr>
          <w:rFonts w:hint="eastAsia" w:ascii="宋体" w:hAnsi="宋体" w:eastAsia="宋体" w:cs="宋体"/>
          <w:b w:val="0"/>
          <w:bCs w:val="0"/>
          <w:color w:val="auto"/>
          <w:sz w:val="24"/>
          <w:szCs w:val="24"/>
          <w:highlight w:val="none"/>
          <w:lang w:val="en-US" w:eastAsia="zh-CN" w:bidi="ar"/>
        </w:rPr>
        <w:t>用工违约</w:t>
      </w:r>
      <w:bookmarkEnd w:id="220"/>
    </w:p>
    <w:p w14:paraId="1FA6EAFA">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在合同履行期间，如经查实承包人拖欠或克扣农民工或劳务工工资，导致劳资纠纷或发生危及公共安全或正常社会秩序的事件的，按承包人违约处理，按人民币10000元/次从工程进度款中扣除。承包人必须无条件确保民工工资得到及时发放，无拖欠民工工资现象，并采取发包人认为切实可行的措施确保无劳资纠纷事件发生，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违约金在下期进度款中扣除。未在下期进度款扣除或承包人在发包人处已经无款可扣的，起计逾期支付利息。发包人可以在承包人其他任何款项中扣除所垫付的工资和相应的违约金与利息。承包人对提供的资料真实性负责，如发现虚假不实情况，承包人须向发包人支付违约金20000元/次。</w:t>
      </w:r>
    </w:p>
    <w:p w14:paraId="64BF36BB">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承包人应积极落实有关部门关于用工实名制管理工作的要求，未按规定落实农民工工资专户及实用工实名制要求，经有关部门警告或处罚的，按违约金人民币10000元/次从工程进度款中扣除。</w:t>
      </w:r>
    </w:p>
    <w:p w14:paraId="7A158BB3">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21" w:name="_Toc28116"/>
      <w:r>
        <w:rPr>
          <w:rFonts w:hint="eastAsia" w:ascii="宋体" w:hAnsi="宋体" w:eastAsia="宋体" w:cs="宋体"/>
          <w:b/>
          <w:bCs/>
          <w:color w:val="auto"/>
          <w:sz w:val="24"/>
          <w:szCs w:val="24"/>
          <w:highlight w:val="none"/>
          <w:lang w:val="en-US" w:eastAsia="zh-CN" w:bidi="ar"/>
        </w:rPr>
        <w:t xml:space="preserve">15.5 </w:t>
      </w:r>
      <w:r>
        <w:rPr>
          <w:rFonts w:hint="eastAsia" w:ascii="宋体" w:hAnsi="宋体" w:eastAsia="宋体" w:cs="宋体"/>
          <w:b w:val="0"/>
          <w:bCs w:val="0"/>
          <w:color w:val="auto"/>
          <w:sz w:val="24"/>
          <w:szCs w:val="24"/>
          <w:highlight w:val="none"/>
          <w:lang w:val="en-US" w:eastAsia="zh-CN" w:bidi="ar"/>
        </w:rPr>
        <w:t>安全文明施工违约</w:t>
      </w:r>
      <w:bookmarkEnd w:id="221"/>
    </w:p>
    <w:p w14:paraId="46AC7959">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承包人应严格遵守国家、省、市有关防火、爆破和施工安全以及文明施工、深夜施工、环卫和城市管理等规定，建立规章制度和防护措施，并组织施工。</w:t>
      </w:r>
    </w:p>
    <w:p w14:paraId="729C277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现场施工人员存在野蛮施工行为，经现场发包人（含监理单位）管理人员确认后，承包人须按10000元/次缴纳违约金；如因野蛮施工行为，引起投诉或网络问政的，承包人须按5000元/次缴纳违约金；并承担因野蛮施工行为所造成的全部责任。</w:t>
      </w:r>
    </w:p>
    <w:p w14:paraId="12C9CB6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承包人必须接受发包人及监理单位组织的安全、文明施工的检查，检查中的不合格项目、安全隐患必须在规定的时间内整改完成，否则每拖延一天处以10000元人民币违约金，直至整改合格。</w:t>
      </w:r>
    </w:p>
    <w:p w14:paraId="51E817EA">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承包人施工现场发生工伤或其他责任事故的，承包人按下列标准缴纳违约金：</w:t>
      </w:r>
    </w:p>
    <w:p w14:paraId="0E86324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①一次事故或全年累计死亡3人及以上：项目部必须撤换项目经理、主管安全副经理和安全主管，一次或全年累计缴纳违约金100万元人民币；</w:t>
      </w:r>
    </w:p>
    <w:p w14:paraId="754DC73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②一次事故或全年累计死亡2人：安全第一责任人在韶关市地区建设范围内公开检查；承包人必须撤换项目主管安全副经理或安全主管；一次或全年累计缴纳违约金60万元人民币；</w:t>
      </w:r>
    </w:p>
    <w:p w14:paraId="6C672175">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③全年死亡1人：安全第一责任人在韶关市地区建设范围内公开检查，并报其上级单位；承包人必须撤换项目安全主管；缴纳违约金30万元人民币。</w:t>
      </w:r>
    </w:p>
    <w:p w14:paraId="1A320279">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④重伤事故、造成10人及以上集体中毒住院、经济损失重大的火灾、设备及交通事故，缴纳违约金30万元人民币。</w:t>
      </w:r>
    </w:p>
    <w:p w14:paraId="68B62119">
      <w:pPr>
        <w:spacing w:line="360" w:lineRule="auto"/>
        <w:ind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⑤因施工造成的道路交通中断、通讯中断、管线漏水漏气等全部责任事故，由承包人承担责任，并缴纳违约金1万元人民币。</w:t>
      </w:r>
    </w:p>
    <w:p w14:paraId="62930D9D">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22" w:name="_Toc4275"/>
      <w:r>
        <w:rPr>
          <w:rFonts w:hint="eastAsia" w:ascii="宋体" w:hAnsi="宋体" w:eastAsia="宋体" w:cs="宋体"/>
          <w:b/>
          <w:bCs/>
          <w:color w:val="auto"/>
          <w:sz w:val="24"/>
          <w:szCs w:val="24"/>
          <w:highlight w:val="none"/>
          <w:lang w:val="en-US" w:eastAsia="zh-CN" w:bidi="ar"/>
        </w:rPr>
        <w:t xml:space="preserve">15.6 </w:t>
      </w:r>
      <w:r>
        <w:rPr>
          <w:rFonts w:hint="eastAsia" w:ascii="宋体" w:hAnsi="宋体" w:eastAsia="宋体" w:cs="宋体"/>
          <w:b w:val="0"/>
          <w:bCs w:val="0"/>
          <w:color w:val="auto"/>
          <w:sz w:val="24"/>
          <w:szCs w:val="24"/>
          <w:highlight w:val="none"/>
          <w:lang w:val="en-US" w:eastAsia="zh-CN" w:bidi="ar"/>
        </w:rPr>
        <w:t>其他违约</w:t>
      </w:r>
      <w:bookmarkEnd w:id="222"/>
    </w:p>
    <w:p w14:paraId="3F88563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安排在施工场地的主要管理人员（主要指项目经理、项目技术负责人和专职安全生产管理人员）应与承包人投标文件承诺的名单一致，并保持相对稳定。未经总监理工程师批准，上述人员不应无故不到位或被替换。如果擅自更换项目负责人或项目技术负责人，承包人每更换一人次，需支付20000元违约金给发包人，如果擅自更换主要施工管理人员，每更换一人次，承包人需支付10000元违约金给发包人。若确实无法到位或需替换，需经总监理工程师审核并报发包人批准后，承包人可安排同等资历的人员替换；考勤采用人脸识别打卡每月累计不到位次数超过10天，按5000元/人/天缴纳违约金给发包人；在日常检查及相关会议中主要管理人员不到岗，按违约金人民币1000元/人/次从工程进度款中扣除。</w:t>
      </w:r>
    </w:p>
    <w:p w14:paraId="70AAA128">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.6.2</w:t>
      </w:r>
      <w:r>
        <w:rPr>
          <w:rFonts w:hint="eastAsia" w:ascii="宋体" w:hAnsi="宋体" w:eastAsia="宋体" w:cs="宋体"/>
          <w:bCs/>
          <w:color w:val="auto"/>
          <w:sz w:val="24"/>
          <w:szCs w:val="24"/>
          <w:highlight w:val="none"/>
        </w:rPr>
        <w:t xml:space="preserve"> 承包人施工资料必须与形象进度同步，如发包人在日常检查中发现不同步的现象的，视为违约并按违约金人民币1000元/次从工程进度款中扣除。</w:t>
      </w:r>
    </w:p>
    <w:p w14:paraId="7E2B002B">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发包人要求承包人替换项目部中不称职人员或能力有异议，而承包人不予替换，视为承包人违约，承包人须按承包人项目部主要管理人员（主要指项目经理、项目技术负责人和专职安全生产管理人员）20000元/人次缴纳违约金给发包人。</w:t>
      </w:r>
    </w:p>
    <w:p w14:paraId="1454ACB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发包人对上述约定中的规定并不免除承包人接受国家、地方政府相关部门依法对承包人的处罚。</w:t>
      </w:r>
    </w:p>
    <w:p w14:paraId="131B29AE">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.6.5</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承包人没有正当合理的理由中途退场，可扣除承包人已递交的所有履约保证金作为违约金。</w:t>
      </w:r>
    </w:p>
    <w:p w14:paraId="18C370B0">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.6.6</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有下列情况之一的，承包人在一年内不得参与发包人的任何工程任务，并勒令从现施工的工地退场，同时按违约金人民币50000元从工程进度款中扣除：</w:t>
      </w:r>
    </w:p>
    <w:p w14:paraId="13573040">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A、路面沉降、开裂超过规范要求并造成不良社会影响的；</w:t>
      </w:r>
    </w:p>
    <w:p w14:paraId="2D6F4834">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B、发生重大责任安全事故的；</w:t>
      </w:r>
    </w:p>
    <w:p w14:paraId="3C314A7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C、不能在合同规定的期限内竣工的；</w:t>
      </w:r>
    </w:p>
    <w:p w14:paraId="6C9E5A9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D、承包人所承担的施工任务在施工期间，由于工程质量或工程进度原因，监理单位发出10个以上﹙含10个﹚停工令的；</w:t>
      </w:r>
    </w:p>
    <w:p w14:paraId="571A4F11">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E、质量监督部门在抽检时发出5个以上（含5个）由于工程质量原因通报的；</w:t>
      </w:r>
    </w:p>
    <w:p w14:paraId="3C08B80A">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F、业主组织的质量大检查发现由于工程质量原因而通报二次以上（含二次）的；</w:t>
      </w:r>
    </w:p>
    <w:p w14:paraId="300ADEC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.6.7</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必须严格塔吊、起重机等机械设备及货梯、提升机等机电设备的安装、拆卸和使用运行管理。必须落实持证上岗、专人操作、专人检查，严格落实每天操作前和操作后的检查，检查发现未落实相关措施和规定的，按违约金人民币2000元/次从工程进度款中扣除。</w:t>
      </w:r>
    </w:p>
    <w:p w14:paraId="0F1810E3">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.6.8</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承包人应加强生活用电管理，检查发现私拉乱接电线的，承包人须按人民币500元/次缴纳违约金给发包人。</w:t>
      </w:r>
    </w:p>
    <w:p w14:paraId="168FAA31">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.6.9</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承包人应加强建设范围内因雨季造成临时积水部位的管理，防止发生淹亡、溺亡事故，若因措施不严造成的后果全部由承包人承担。</w:t>
      </w:r>
    </w:p>
    <w:p w14:paraId="67A9EE0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.6.10</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国家发生疫情或其他重大风险期间，承包人不执行有关部门关于特殊时期管控规定、不落实相关措施的，承包人须按人民币1000元/人/次缴纳违约金给发包人。</w:t>
      </w:r>
    </w:p>
    <w:p w14:paraId="6F9DB328">
      <w:pPr>
        <w:spacing w:line="360" w:lineRule="auto"/>
        <w:ind w:firstLine="352" w:firstLineChars="14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承包人因上述违约行为而须缴纳的违约金在工程进度款中或结算时一并扣除。</w:t>
      </w:r>
    </w:p>
    <w:p w14:paraId="1A93E041">
      <w:pPr>
        <w:pStyle w:val="9"/>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lang w:eastAsia="zh-CN"/>
        </w:rPr>
        <w:t>.7</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lang w:eastAsia="zh-CN"/>
        </w:rPr>
        <w:t>专业工程发包：</w:t>
      </w:r>
      <w:r>
        <w:rPr>
          <w:rFonts w:hint="eastAsia" w:ascii="宋体" w:hAnsi="宋体" w:eastAsia="宋体" w:cs="宋体"/>
          <w:bCs/>
          <w:color w:val="auto"/>
          <w:sz w:val="24"/>
          <w:szCs w:val="24"/>
          <w:highlight w:val="none"/>
        </w:rPr>
        <w:t>合同范围内的工程未经发包人同意一律不得发包，一经发现，取消承包人的承包资格，由此引起的一切经济损失和法律责任由承包人自行承担。若有专业工程必须发包的，发包人不另行支付总包服务费；其发包合同由承包人与对方签订，发包人不参与承包人与对方之间的结算，该部分工程的造价仍按承包人与发包人签订的合同的有关条款进行结算。注：本项目包含电力部分及电力附属部分内容，应由执有电力相关专业资质的单位承接，若达到必须招标规模标准的，由中标人招标，招标人参与管理，确定电力专业工程承包人和合同价格。</w:t>
      </w:r>
    </w:p>
    <w:p w14:paraId="4678F62D">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23" w:name="_Toc21685"/>
      <w:r>
        <w:rPr>
          <w:rFonts w:hint="eastAsia" w:ascii="宋体" w:hAnsi="宋体" w:eastAsia="宋体" w:cs="宋体"/>
          <w:b/>
          <w:bCs/>
          <w:color w:val="auto"/>
          <w:sz w:val="24"/>
          <w:szCs w:val="24"/>
          <w:highlight w:val="none"/>
          <w:lang w:val="en-US" w:eastAsia="zh-CN" w:bidi="ar"/>
        </w:rPr>
        <w:t xml:space="preserve">15.8  </w:t>
      </w:r>
      <w:r>
        <w:rPr>
          <w:rFonts w:hint="eastAsia" w:ascii="宋体" w:hAnsi="宋体" w:eastAsia="宋体" w:cs="宋体"/>
          <w:b w:val="0"/>
          <w:bCs w:val="0"/>
          <w:color w:val="auto"/>
          <w:sz w:val="24"/>
          <w:szCs w:val="24"/>
          <w:highlight w:val="none"/>
          <w:lang w:val="en-US" w:eastAsia="zh-CN" w:bidi="ar"/>
        </w:rPr>
        <w:t>质量保证</w:t>
      </w:r>
      <w:bookmarkEnd w:id="223"/>
    </w:p>
    <w:p w14:paraId="73C841B6">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.8.1</w:t>
      </w:r>
      <w:r>
        <w:rPr>
          <w:rFonts w:hint="eastAsia" w:ascii="宋体" w:hAnsi="宋体" w:eastAsia="宋体" w:cs="宋体"/>
          <w:color w:val="auto"/>
          <w:sz w:val="24"/>
          <w:szCs w:val="24"/>
          <w:highlight w:val="none"/>
          <w:lang w:eastAsia="zh-CN"/>
        </w:rPr>
        <w:t xml:space="preserve"> 本招标项目缺陷责任期为</w:t>
      </w:r>
      <w:r>
        <w:rPr>
          <w:rFonts w:hint="eastAsia" w:ascii="宋体" w:hAnsi="宋体" w:eastAsia="宋体" w:cs="宋体"/>
          <w:color w:val="auto"/>
          <w:sz w:val="24"/>
          <w:szCs w:val="24"/>
          <w:highlight w:val="none"/>
          <w:u w:val="single"/>
          <w:lang w:val="en-US" w:eastAsia="zh-CN"/>
        </w:rPr>
        <w:t xml:space="preserve"> 2 </w:t>
      </w:r>
      <w:r>
        <w:rPr>
          <w:rFonts w:hint="eastAsia" w:ascii="宋体" w:hAnsi="宋体" w:eastAsia="宋体" w:cs="宋体"/>
          <w:color w:val="auto"/>
          <w:sz w:val="24"/>
          <w:szCs w:val="24"/>
          <w:highlight w:val="none"/>
          <w:lang w:eastAsia="zh-CN"/>
        </w:rPr>
        <w:t>年（自通过竣工验收之日起计），在此期间预留金额为结算价</w:t>
      </w:r>
      <w:r>
        <w:rPr>
          <w:rFonts w:hint="eastAsia" w:ascii="宋体" w:hAnsi="宋体" w:eastAsia="宋体" w:cs="宋体"/>
          <w:color w:val="auto"/>
          <w:sz w:val="24"/>
          <w:szCs w:val="24"/>
          <w:highlight w:val="none"/>
          <w:u w:val="single"/>
          <w:lang w:eastAsia="zh-CN"/>
        </w:rPr>
        <w:t>3%</w:t>
      </w:r>
      <w:r>
        <w:rPr>
          <w:rFonts w:hint="eastAsia" w:ascii="宋体" w:hAnsi="宋体" w:eastAsia="宋体" w:cs="宋体"/>
          <w:color w:val="auto"/>
          <w:sz w:val="24"/>
          <w:szCs w:val="24"/>
          <w:highlight w:val="none"/>
          <w:lang w:eastAsia="zh-CN"/>
        </w:rPr>
        <w:t>的质量保证。</w:t>
      </w:r>
    </w:p>
    <w:p w14:paraId="4136F31C">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.8.2</w:t>
      </w:r>
      <w:r>
        <w:rPr>
          <w:rFonts w:hint="eastAsia" w:ascii="宋体" w:hAnsi="宋体" w:eastAsia="宋体" w:cs="宋体"/>
          <w:color w:val="auto"/>
          <w:sz w:val="24"/>
          <w:szCs w:val="24"/>
          <w:highlight w:val="none"/>
          <w:lang w:eastAsia="zh-CN"/>
        </w:rPr>
        <w:t xml:space="preserve"> 质量保证的形式包括质量保证金、质量保证担保、质量保证保险三种，由承包人自主选择。（1）采用质量保证金形式的，在结清审定总造价时一次性扣留相应金额作为质量保证金。（2）采用质量保证担保或质量保证保险的，承包人应在竣工验收时向发包人提交有效的商业保函、银行保函或保险合同（或保险单）原件，商业保函、银行保函或保险合同（或保险单）的有效期不得短于缺陷责任期。</w:t>
      </w:r>
    </w:p>
    <w:p w14:paraId="365BFA4C">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 xml:space="preserve">.8.3 </w:t>
      </w:r>
      <w:r>
        <w:rPr>
          <w:rFonts w:hint="eastAsia" w:ascii="宋体" w:hAnsi="宋体" w:eastAsia="宋体" w:cs="宋体"/>
          <w:color w:val="auto"/>
          <w:sz w:val="24"/>
          <w:szCs w:val="24"/>
          <w:highlight w:val="none"/>
          <w:lang w:eastAsia="zh-CN"/>
        </w:rPr>
        <w:t>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由他人原因造成的缺陷，发包人负责组织维修，承包人不承担费用，且发包人不得从质量保证中扣除费用。</w:t>
      </w:r>
    </w:p>
    <w:p w14:paraId="354BEC50">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 xml:space="preserve">.8.4 </w:t>
      </w:r>
      <w:r>
        <w:rPr>
          <w:rFonts w:hint="eastAsia" w:ascii="宋体" w:hAnsi="宋体" w:eastAsia="宋体" w:cs="宋体"/>
          <w:color w:val="auto"/>
          <w:sz w:val="24"/>
          <w:szCs w:val="24"/>
          <w:highlight w:val="none"/>
          <w:lang w:eastAsia="zh-CN"/>
        </w:rPr>
        <w:t>缺陷责任期内，承包人应认真履行合同约定的责任。缺陷责任期到期后，承包人向发包人申请退还质量保证，发包人应按照《建设工程质量保证金管理办法》有关规定将质量保证退还给承包人。</w:t>
      </w:r>
    </w:p>
    <w:p w14:paraId="58D94BAD">
      <w:pPr>
        <w:rPr>
          <w:rFonts w:hint="eastAsia" w:ascii="宋体" w:hAnsi="宋体" w:eastAsia="宋体" w:cs="宋体"/>
          <w:lang w:val="en-US" w:eastAsia="zh-CN"/>
        </w:rPr>
      </w:pPr>
    </w:p>
    <w:p w14:paraId="7FCFD948">
      <w:pPr>
        <w:rPr>
          <w:rFonts w:hint="eastAsia" w:ascii="宋体" w:hAnsi="宋体" w:eastAsia="宋体" w:cs="宋体"/>
          <w:lang w:val="en-US" w:eastAsia="zh-CN"/>
        </w:rPr>
      </w:pPr>
    </w:p>
    <w:p w14:paraId="2E939D59">
      <w:pPr>
        <w:rPr>
          <w:rFonts w:hint="eastAsia" w:ascii="宋体" w:hAnsi="宋体" w:eastAsia="宋体" w:cs="宋体"/>
          <w:lang w:val="en-US" w:eastAsia="zh-CN"/>
        </w:rPr>
      </w:pPr>
    </w:p>
    <w:p w14:paraId="0B476A82">
      <w:pPr>
        <w:rPr>
          <w:rFonts w:hint="eastAsia"/>
          <w:lang w:val="en-US" w:eastAsia="zh-CN"/>
        </w:rPr>
      </w:pPr>
    </w:p>
    <w:p w14:paraId="149E1870">
      <w:pPr>
        <w:rPr>
          <w:rFonts w:hint="eastAsia"/>
          <w:lang w:val="en-US" w:eastAsia="zh-CN"/>
        </w:rPr>
      </w:pPr>
    </w:p>
    <w:p w14:paraId="0E31E7B9">
      <w:pPr>
        <w:rPr>
          <w:rFonts w:hint="eastAsia" w:ascii="宋体" w:hAnsi="宋体" w:eastAsia="宋体" w:cs="宋体"/>
          <w:lang w:val="en-US" w:eastAsia="zh-CN"/>
        </w:rPr>
      </w:pPr>
    </w:p>
    <w:p w14:paraId="3F731866">
      <w:pPr>
        <w:rPr>
          <w:rFonts w:hint="eastAsia" w:ascii="宋体" w:hAnsi="宋体" w:eastAsia="宋体" w:cs="宋体"/>
          <w:lang w:val="en-US" w:eastAsia="zh-CN"/>
        </w:rPr>
      </w:pPr>
    </w:p>
    <w:p w14:paraId="173DB6B5">
      <w:pPr>
        <w:rPr>
          <w:rFonts w:hint="eastAsia" w:ascii="宋体" w:hAnsi="宋体" w:eastAsia="宋体" w:cs="宋体"/>
          <w:lang w:val="en-US" w:eastAsia="zh-CN"/>
        </w:rPr>
      </w:pPr>
    </w:p>
    <w:p w14:paraId="6A975D24">
      <w:pPr>
        <w:rPr>
          <w:rFonts w:hint="eastAsia" w:ascii="宋体" w:hAnsi="宋体" w:eastAsia="宋体" w:cs="宋体"/>
          <w:lang w:val="en-US" w:eastAsia="zh-CN"/>
        </w:rPr>
      </w:pPr>
    </w:p>
    <w:p w14:paraId="0E5278BB">
      <w:pPr>
        <w:rPr>
          <w:rFonts w:hint="eastAsia" w:ascii="宋体" w:hAnsi="宋体" w:eastAsia="宋体" w:cs="宋体"/>
          <w:lang w:val="en-US" w:eastAsia="zh-CN"/>
        </w:rPr>
      </w:pPr>
    </w:p>
    <w:p w14:paraId="05418F16">
      <w:pPr>
        <w:rPr>
          <w:rFonts w:hint="eastAsia" w:ascii="宋体" w:hAnsi="宋体" w:eastAsia="宋体" w:cs="宋体"/>
          <w:lang w:val="en-US" w:eastAsia="zh-CN"/>
        </w:rPr>
      </w:pPr>
    </w:p>
    <w:p w14:paraId="0E7CDE14">
      <w:pPr>
        <w:rPr>
          <w:rFonts w:hint="eastAsia" w:ascii="宋体" w:hAnsi="宋体" w:eastAsia="宋体" w:cs="宋体"/>
          <w:lang w:val="en-US" w:eastAsia="zh-CN"/>
        </w:rPr>
      </w:pPr>
    </w:p>
    <w:p w14:paraId="4F337BC7">
      <w:pPr>
        <w:rPr>
          <w:rFonts w:hint="eastAsia" w:ascii="宋体" w:hAnsi="宋体" w:eastAsia="宋体" w:cs="宋体"/>
          <w:lang w:val="en-US" w:eastAsia="zh-CN"/>
        </w:rPr>
      </w:pPr>
    </w:p>
    <w:p w14:paraId="18341E03">
      <w:pPr>
        <w:rPr>
          <w:rFonts w:hint="eastAsia" w:ascii="宋体" w:hAnsi="宋体" w:eastAsia="宋体" w:cs="宋体"/>
          <w:lang w:val="en-US" w:eastAsia="zh-CN"/>
        </w:rPr>
      </w:pPr>
    </w:p>
    <w:p w14:paraId="6F8358C6">
      <w:pPr>
        <w:rPr>
          <w:rFonts w:hint="eastAsia" w:ascii="宋体" w:hAnsi="宋体" w:eastAsia="宋体" w:cs="宋体"/>
          <w:lang w:val="en-US" w:eastAsia="zh-CN"/>
        </w:rPr>
      </w:pPr>
    </w:p>
    <w:p w14:paraId="71C1F71A">
      <w:pPr>
        <w:rPr>
          <w:rFonts w:hint="eastAsia" w:ascii="宋体" w:hAnsi="宋体" w:eastAsia="宋体" w:cs="宋体"/>
          <w:lang w:val="en-US" w:eastAsia="zh-CN"/>
        </w:rPr>
      </w:pPr>
    </w:p>
    <w:p w14:paraId="21D1F574">
      <w:pPr>
        <w:rPr>
          <w:rFonts w:hint="eastAsia" w:ascii="宋体" w:hAnsi="宋体" w:eastAsia="宋体" w:cs="宋体"/>
          <w:lang w:val="en-US" w:eastAsia="zh-CN"/>
        </w:rPr>
      </w:pPr>
    </w:p>
    <w:p w14:paraId="2CD315AE">
      <w:pPr>
        <w:rPr>
          <w:rFonts w:hint="eastAsia" w:ascii="宋体" w:hAnsi="宋体" w:eastAsia="宋体" w:cs="宋体"/>
          <w:lang w:val="en-US" w:eastAsia="zh-CN"/>
        </w:rPr>
      </w:pPr>
    </w:p>
    <w:p w14:paraId="47AF1870">
      <w:pPr>
        <w:rPr>
          <w:rFonts w:hint="eastAsia" w:ascii="宋体" w:hAnsi="宋体" w:eastAsia="宋体" w:cs="宋体"/>
          <w:lang w:val="en-US" w:eastAsia="zh-CN"/>
        </w:rPr>
      </w:pPr>
    </w:p>
    <w:p w14:paraId="37476A96">
      <w:pPr>
        <w:rPr>
          <w:rFonts w:hint="eastAsia" w:ascii="宋体" w:hAnsi="宋体" w:eastAsia="宋体" w:cs="宋体"/>
          <w:lang w:val="en-US" w:eastAsia="zh-CN"/>
        </w:rPr>
      </w:pPr>
    </w:p>
    <w:p w14:paraId="7423B61D">
      <w:pPr>
        <w:rPr>
          <w:rFonts w:hint="eastAsia" w:ascii="宋体" w:hAnsi="宋体" w:eastAsia="宋体" w:cs="宋体"/>
          <w:lang w:val="en-US" w:eastAsia="zh-CN"/>
        </w:rPr>
      </w:pPr>
    </w:p>
    <w:p w14:paraId="67C28AEE">
      <w:pPr>
        <w:rPr>
          <w:rFonts w:hint="eastAsia" w:ascii="宋体" w:hAnsi="宋体" w:eastAsia="宋体" w:cs="宋体"/>
          <w:lang w:val="en-US" w:eastAsia="zh-CN"/>
        </w:rPr>
      </w:pPr>
    </w:p>
    <w:p w14:paraId="43062068">
      <w:pPr>
        <w:rPr>
          <w:rFonts w:hint="eastAsia" w:ascii="宋体" w:hAnsi="宋体" w:eastAsia="宋体" w:cs="宋体"/>
          <w:lang w:val="en-US" w:eastAsia="zh-CN"/>
        </w:rPr>
      </w:pPr>
    </w:p>
    <w:p w14:paraId="6F2FBEA5">
      <w:pPr>
        <w:rPr>
          <w:rFonts w:hint="eastAsia" w:ascii="宋体" w:hAnsi="宋体" w:eastAsia="宋体" w:cs="宋体"/>
          <w:lang w:val="en-US" w:eastAsia="zh-CN"/>
        </w:rPr>
      </w:pPr>
    </w:p>
    <w:p w14:paraId="6AE7F9B8">
      <w:pPr>
        <w:rPr>
          <w:rFonts w:hint="eastAsia" w:ascii="宋体" w:hAnsi="宋体" w:eastAsia="宋体" w:cs="宋体"/>
          <w:lang w:val="en-US" w:eastAsia="zh-CN"/>
        </w:rPr>
      </w:pPr>
    </w:p>
    <w:p w14:paraId="5999B868">
      <w:pPr>
        <w:rPr>
          <w:rFonts w:hint="eastAsia" w:ascii="宋体" w:hAnsi="宋体" w:eastAsia="宋体" w:cs="宋体"/>
          <w:lang w:val="en-US" w:eastAsia="zh-CN"/>
        </w:rPr>
      </w:pPr>
    </w:p>
    <w:p w14:paraId="251B0041">
      <w:pPr>
        <w:rPr>
          <w:rFonts w:hint="eastAsia" w:ascii="宋体" w:hAnsi="宋体" w:eastAsia="宋体" w:cs="宋体"/>
          <w:lang w:val="en-US" w:eastAsia="zh-CN"/>
        </w:rPr>
      </w:pPr>
    </w:p>
    <w:p w14:paraId="6FB9D1E9">
      <w:pPr>
        <w:rPr>
          <w:rFonts w:hint="eastAsia" w:ascii="宋体" w:hAnsi="宋体" w:eastAsia="宋体" w:cs="宋体"/>
          <w:lang w:val="en-US" w:eastAsia="zh-CN"/>
        </w:rPr>
      </w:pPr>
    </w:p>
    <w:p w14:paraId="1E0D3329">
      <w:pPr>
        <w:rPr>
          <w:rFonts w:hint="eastAsia" w:ascii="宋体" w:hAnsi="宋体" w:eastAsia="宋体" w:cs="宋体"/>
          <w:lang w:val="en-US" w:eastAsia="zh-CN"/>
        </w:rPr>
      </w:pPr>
    </w:p>
    <w:p w14:paraId="0A1C2E85">
      <w:pPr>
        <w:rPr>
          <w:rFonts w:hint="eastAsia" w:ascii="宋体" w:hAnsi="宋体" w:eastAsia="宋体" w:cs="宋体"/>
          <w:lang w:val="en-US" w:eastAsia="zh-CN"/>
        </w:rPr>
      </w:pPr>
    </w:p>
    <w:p w14:paraId="450E2142">
      <w:pPr>
        <w:rPr>
          <w:rFonts w:hint="eastAsia" w:ascii="宋体" w:hAnsi="宋体" w:eastAsia="宋体" w:cs="宋体"/>
          <w:lang w:val="en-US" w:eastAsia="zh-CN"/>
        </w:rPr>
      </w:pPr>
    </w:p>
    <w:p w14:paraId="0F0DAA1B">
      <w:pPr>
        <w:rPr>
          <w:rFonts w:hint="eastAsia" w:ascii="宋体" w:hAnsi="宋体" w:eastAsia="宋体" w:cs="宋体"/>
          <w:lang w:val="en-US" w:eastAsia="zh-CN"/>
        </w:rPr>
      </w:pPr>
    </w:p>
    <w:p w14:paraId="54749CE1">
      <w:pPr>
        <w:rPr>
          <w:rFonts w:hint="eastAsia" w:ascii="宋体" w:hAnsi="宋体" w:eastAsia="宋体" w:cs="宋体"/>
          <w:lang w:val="en-US" w:eastAsia="zh-CN"/>
        </w:rPr>
      </w:pPr>
    </w:p>
    <w:p w14:paraId="5992B179">
      <w:pPr>
        <w:rPr>
          <w:rFonts w:hint="eastAsia" w:ascii="宋体" w:hAnsi="宋体" w:eastAsia="宋体" w:cs="宋体"/>
          <w:lang w:val="en-US" w:eastAsia="zh-CN"/>
        </w:rPr>
      </w:pPr>
    </w:p>
    <w:p w14:paraId="2C4353C6">
      <w:pPr>
        <w:rPr>
          <w:rFonts w:hint="eastAsia" w:ascii="宋体" w:hAnsi="宋体" w:eastAsia="宋体" w:cs="宋体"/>
          <w:lang w:val="en-US" w:eastAsia="zh-CN"/>
        </w:rPr>
      </w:pPr>
    </w:p>
    <w:p w14:paraId="0EB50C1A">
      <w:pPr>
        <w:rPr>
          <w:rFonts w:hint="eastAsia" w:ascii="宋体" w:hAnsi="宋体" w:eastAsia="宋体" w:cs="宋体"/>
          <w:lang w:val="en-US" w:eastAsia="zh-CN"/>
        </w:rPr>
      </w:pPr>
    </w:p>
    <w:p w14:paraId="53B52D89">
      <w:pPr>
        <w:pStyle w:val="4"/>
        <w:tabs>
          <w:tab w:val="left" w:pos="885"/>
        </w:tabs>
        <w:wordWrap w:val="0"/>
        <w:autoSpaceDE/>
        <w:autoSpaceDN/>
        <w:snapToGrid w:val="0"/>
        <w:spacing w:line="360" w:lineRule="auto"/>
        <w:ind w:left="885" w:hanging="885"/>
        <w:jc w:val="center"/>
        <w:rPr>
          <w:rFonts w:hint="eastAsia" w:ascii="宋体" w:hAnsi="宋体" w:eastAsia="宋体" w:cs="宋体"/>
          <w:b/>
          <w:snapToGrid w:val="0"/>
          <w:color w:val="auto"/>
          <w:kern w:val="0"/>
          <w:highlight w:val="none"/>
        </w:rPr>
      </w:pPr>
      <w:bookmarkStart w:id="224" w:name="_Toc10521"/>
      <w:bookmarkStart w:id="225" w:name="_Toc27525"/>
      <w:r>
        <w:rPr>
          <w:rFonts w:hint="eastAsia" w:ascii="宋体" w:hAnsi="宋体" w:eastAsia="宋体" w:cs="宋体"/>
          <w:b/>
          <w:snapToGrid w:val="0"/>
          <w:color w:val="auto"/>
          <w:sz w:val="24"/>
          <w:highlight w:val="none"/>
        </w:rPr>
        <w:t>第四章</w:t>
      </w:r>
      <w:bookmarkStart w:id="226" w:name="_Hlt87793853"/>
      <w:bookmarkEnd w:id="226"/>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技术要求</w:t>
      </w:r>
      <w:bookmarkEnd w:id="224"/>
      <w:bookmarkEnd w:id="225"/>
      <w:bookmarkStart w:id="227" w:name="_Hlt80411122"/>
      <w:bookmarkEnd w:id="227"/>
      <w:bookmarkStart w:id="228" w:name="_Hlt69357851"/>
      <w:bookmarkEnd w:id="228"/>
      <w:bookmarkStart w:id="229" w:name="_Hlt69358207"/>
      <w:bookmarkEnd w:id="229"/>
      <w:bookmarkStart w:id="230" w:name="_Hlt69359335"/>
      <w:bookmarkEnd w:id="230"/>
      <w:bookmarkStart w:id="231" w:name="_Hlt69265216"/>
      <w:bookmarkEnd w:id="231"/>
      <w:bookmarkStart w:id="232" w:name="_Hlt68774758"/>
      <w:bookmarkEnd w:id="232"/>
      <w:bookmarkStart w:id="233" w:name="_Hlt87793346"/>
      <w:bookmarkEnd w:id="233"/>
      <w:bookmarkStart w:id="234" w:name="_Hlt66104926"/>
      <w:bookmarkEnd w:id="234"/>
      <w:bookmarkStart w:id="235" w:name="_Hlt75685840"/>
      <w:bookmarkEnd w:id="235"/>
      <w:bookmarkStart w:id="236" w:name="_Hlt69116854"/>
      <w:bookmarkEnd w:id="236"/>
      <w:bookmarkStart w:id="237" w:name="_Hlt87793370"/>
      <w:bookmarkEnd w:id="237"/>
    </w:p>
    <w:p w14:paraId="734D183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38" w:name="_Toc26090"/>
      <w:bookmarkStart w:id="239" w:name="_Toc17047"/>
      <w:r>
        <w:rPr>
          <w:rFonts w:hint="eastAsia" w:ascii="宋体" w:hAnsi="宋体" w:eastAsia="宋体" w:cs="宋体"/>
          <w:b/>
          <w:bCs/>
          <w:color w:val="auto"/>
          <w:spacing w:val="-11"/>
          <w:sz w:val="24"/>
          <w:szCs w:val="24"/>
          <w:highlight w:val="none"/>
          <w:lang w:val="en-US" w:eastAsia="zh-CN"/>
        </w:rPr>
        <w:t>1.房屋建筑工程建设项目</w:t>
      </w:r>
      <w:bookmarkEnd w:id="238"/>
      <w:bookmarkEnd w:id="239"/>
    </w:p>
    <w:p w14:paraId="218F839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bookmarkStart w:id="240" w:name="_Hlt78709799"/>
      <w:bookmarkEnd w:id="240"/>
      <w:bookmarkStart w:id="241" w:name="_Hlt69116858"/>
      <w:bookmarkEnd w:id="241"/>
      <w:bookmarkStart w:id="242" w:name="_Hlt69635252"/>
      <w:bookmarkEnd w:id="242"/>
      <w:bookmarkStart w:id="243" w:name="_Hlt69358458"/>
      <w:bookmarkEnd w:id="243"/>
      <w:bookmarkStart w:id="244" w:name="_Hlt69359086"/>
      <w:bookmarkEnd w:id="244"/>
      <w:bookmarkStart w:id="245" w:name="_Hlt69359245"/>
      <w:bookmarkEnd w:id="245"/>
      <w:bookmarkStart w:id="246" w:name="_Hlt69359243"/>
      <w:bookmarkEnd w:id="246"/>
      <w:r>
        <w:rPr>
          <w:rFonts w:hint="eastAsia" w:ascii="宋体" w:hAnsi="宋体" w:eastAsia="宋体" w:cs="宋体"/>
          <w:bCs/>
          <w:snapToGrid w:val="0"/>
          <w:color w:val="auto"/>
          <w:kern w:val="0"/>
          <w:sz w:val="24"/>
          <w:szCs w:val="24"/>
          <w:highlight w:val="none"/>
        </w:rPr>
        <w:t>房屋建筑工程建设项目必须执行的现行技术规范，包括且不限于：</w:t>
      </w:r>
    </w:p>
    <w:p w14:paraId="4E5A4EB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（1）《建筑工程施工质量验收统一标准》；</w:t>
      </w:r>
    </w:p>
    <w:p w14:paraId="51C3229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（2）《建筑地基基础工程施工质量验收规范》；</w:t>
      </w:r>
    </w:p>
    <w:p w14:paraId="35B95C0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（3）《砌体工程施工质量验收规范》；</w:t>
      </w:r>
    </w:p>
    <w:p w14:paraId="43D0081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（4）《混凝土结构工程施工质量验收规范》；</w:t>
      </w:r>
    </w:p>
    <w:p w14:paraId="6C4C169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（5）《屋面工程质量验收规范》；</w:t>
      </w:r>
    </w:p>
    <w:p w14:paraId="6612E9C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（6）《地下防水工程质量验收规范》；</w:t>
      </w:r>
    </w:p>
    <w:p w14:paraId="070A69D2">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（7）《建筑地面工程施工质量验收规范》；</w:t>
      </w:r>
    </w:p>
    <w:p w14:paraId="18D7882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（8）《建筑装饰装修工程施工质量验收规范》；</w:t>
      </w:r>
    </w:p>
    <w:p w14:paraId="5AA4B15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（9）《建筑给排水及采暖工程施工质量验收规范》；</w:t>
      </w:r>
    </w:p>
    <w:p w14:paraId="2A65A6B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（10）《建筑电气工程施工质量验收规范》；</w:t>
      </w:r>
    </w:p>
    <w:p w14:paraId="6DBB2AD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（11）《住建部绿色建筑评价标准》；</w:t>
      </w:r>
    </w:p>
    <w:p w14:paraId="3DA12AF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（12）《建筑节能与可再生能源利用通用规范》（GB55015-2021）；</w:t>
      </w:r>
    </w:p>
    <w:p w14:paraId="398E5EF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7" w:name="_Toc2709"/>
      <w:r>
        <w:rPr>
          <w:rFonts w:hint="eastAsia" w:ascii="宋体" w:hAnsi="宋体" w:eastAsia="宋体" w:cs="宋体"/>
          <w:bCs/>
          <w:snapToGrid w:val="0"/>
          <w:color w:val="auto"/>
          <w:kern w:val="0"/>
          <w:sz w:val="24"/>
          <w:szCs w:val="24"/>
          <w:highlight w:val="none"/>
          <w:lang w:val="en-US" w:eastAsia="zh-CN"/>
        </w:rPr>
        <w:t>（13）《建筑环境通用规范》；</w:t>
      </w:r>
      <w:bookmarkEnd w:id="247"/>
    </w:p>
    <w:p w14:paraId="031802A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（14）《建筑与市政工程无障碍通用规范》 GB 55019-2021；</w:t>
      </w:r>
    </w:p>
    <w:p w14:paraId="3D94675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8" w:name="_Toc11217"/>
      <w:r>
        <w:rPr>
          <w:rFonts w:hint="eastAsia" w:ascii="宋体" w:hAnsi="宋体" w:eastAsia="宋体" w:cs="宋体"/>
          <w:bCs/>
          <w:snapToGrid w:val="0"/>
          <w:color w:val="auto"/>
          <w:kern w:val="0"/>
          <w:sz w:val="24"/>
          <w:szCs w:val="24"/>
          <w:highlight w:val="none"/>
          <w:lang w:val="en-US" w:eastAsia="zh-CN"/>
        </w:rPr>
        <w:t>（15）《建筑防火通用规范》GB 55037-2022；</w:t>
      </w:r>
      <w:bookmarkEnd w:id="248"/>
    </w:p>
    <w:p w14:paraId="2947DFF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（16）《建筑与市政工程抗震通用规范》GB55002-2001；</w:t>
      </w:r>
    </w:p>
    <w:p w14:paraId="46BF576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（17）《建筑与市政地基基础通用规范》GB55003-2001；</w:t>
      </w:r>
    </w:p>
    <w:p w14:paraId="098A9110">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（18）《广东省住房和城乡建设厅绿色施工导则》；</w:t>
      </w:r>
    </w:p>
    <w:p w14:paraId="1DDCA89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（19）《广东省建筑工程绿色施工评价标准》；</w:t>
      </w:r>
    </w:p>
    <w:p w14:paraId="663B1A0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（20）《广东省建筑节能与绿色建筑工程施工质量验收规范》；</w:t>
      </w:r>
    </w:p>
    <w:p w14:paraId="4804FA7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（21）其他现行国家、广东省关于房建工程的施工及验收规范、定额、规程、标准。</w:t>
      </w:r>
    </w:p>
    <w:p w14:paraId="59DEDCF1">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49" w:name="_Toc30825"/>
      <w:bookmarkStart w:id="250" w:name="_Toc30106"/>
      <w:r>
        <w:rPr>
          <w:rFonts w:hint="eastAsia" w:ascii="宋体" w:hAnsi="宋体" w:eastAsia="宋体" w:cs="宋体"/>
          <w:b/>
          <w:bCs/>
          <w:color w:val="auto"/>
          <w:spacing w:val="-11"/>
          <w:sz w:val="24"/>
          <w:szCs w:val="24"/>
          <w:highlight w:val="none"/>
          <w:lang w:val="en-US" w:eastAsia="zh-CN"/>
        </w:rPr>
        <w:t>2.市政基础设施工程建设项目</w:t>
      </w:r>
      <w:bookmarkEnd w:id="249"/>
      <w:bookmarkEnd w:id="250"/>
    </w:p>
    <w:p w14:paraId="2CEB27A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市政基础设施工程建设项目必须执行的现行技术规范，包括且不限于：</w:t>
      </w:r>
    </w:p>
    <w:p w14:paraId="558C1C0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（1）《公路路基施工技术规范》；</w:t>
      </w:r>
    </w:p>
    <w:p w14:paraId="482B841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（2）《市政道路工程质量检验评定标准》；</w:t>
      </w:r>
    </w:p>
    <w:p w14:paraId="524F194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（3）《市政排水管渠工程质量检验评定标准》；</w:t>
      </w:r>
    </w:p>
    <w:p w14:paraId="607991A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（4）《给水排水管道工程施工及验收规范》；</w:t>
      </w:r>
    </w:p>
    <w:p w14:paraId="52AF864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1" w:name="_Toc28136"/>
      <w:r>
        <w:rPr>
          <w:rFonts w:hint="eastAsia" w:ascii="宋体" w:hAnsi="宋体" w:eastAsia="宋体" w:cs="宋体"/>
          <w:bCs/>
          <w:snapToGrid w:val="0"/>
          <w:color w:val="auto"/>
          <w:kern w:val="0"/>
          <w:sz w:val="24"/>
          <w:szCs w:val="24"/>
          <w:highlight w:val="none"/>
          <w:lang w:val="en-US" w:eastAsia="zh-CN"/>
        </w:rPr>
        <w:t>（5）《城市道路路基工程施工及验收规范》；</w:t>
      </w:r>
      <w:bookmarkEnd w:id="251"/>
    </w:p>
    <w:p w14:paraId="25D5746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2" w:name="_Toc30468"/>
      <w:r>
        <w:rPr>
          <w:rFonts w:hint="eastAsia" w:ascii="宋体" w:hAnsi="宋体" w:eastAsia="宋体" w:cs="宋体"/>
          <w:bCs/>
          <w:snapToGrid w:val="0"/>
          <w:color w:val="auto"/>
          <w:kern w:val="0"/>
          <w:sz w:val="24"/>
          <w:szCs w:val="24"/>
          <w:highlight w:val="none"/>
          <w:lang w:val="en-US" w:eastAsia="zh-CN"/>
        </w:rPr>
        <w:t>（6）《水泥砼路面施工及验收规范》；</w:t>
      </w:r>
      <w:bookmarkEnd w:id="252"/>
      <w:bookmarkStart w:id="253" w:name="_Toc27799"/>
    </w:p>
    <w:p w14:paraId="74C6897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（7）《公路水泥砼路面施工技术规范》；</w:t>
      </w:r>
      <w:bookmarkEnd w:id="253"/>
    </w:p>
    <w:p w14:paraId="19CC251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4" w:name="_Toc12308"/>
      <w:r>
        <w:rPr>
          <w:rFonts w:hint="eastAsia" w:ascii="宋体" w:hAnsi="宋体" w:eastAsia="宋体" w:cs="宋体"/>
          <w:bCs/>
          <w:snapToGrid w:val="0"/>
          <w:color w:val="auto"/>
          <w:kern w:val="0"/>
          <w:sz w:val="24"/>
          <w:szCs w:val="24"/>
          <w:highlight w:val="none"/>
          <w:lang w:val="en-US" w:eastAsia="zh-CN"/>
        </w:rPr>
        <w:t>（8）《埋地硬聚氯乙烯排水管道工程技术规程》；</w:t>
      </w:r>
      <w:bookmarkEnd w:id="254"/>
    </w:p>
    <w:p w14:paraId="34D4253E">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5" w:name="_Toc13357"/>
      <w:r>
        <w:rPr>
          <w:rFonts w:hint="eastAsia" w:ascii="宋体" w:hAnsi="宋体" w:eastAsia="宋体" w:cs="宋体"/>
          <w:bCs/>
          <w:snapToGrid w:val="0"/>
          <w:color w:val="auto"/>
          <w:kern w:val="0"/>
          <w:sz w:val="24"/>
          <w:szCs w:val="24"/>
          <w:highlight w:val="none"/>
          <w:lang w:val="en-US" w:eastAsia="zh-CN"/>
        </w:rPr>
        <w:t>（9）《沥青路面施工及验收规范》；</w:t>
      </w:r>
      <w:bookmarkEnd w:id="255"/>
    </w:p>
    <w:p w14:paraId="010FCBB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6" w:name="_Toc19104"/>
      <w:r>
        <w:rPr>
          <w:rFonts w:hint="eastAsia" w:ascii="宋体" w:hAnsi="宋体" w:eastAsia="宋体" w:cs="宋体"/>
          <w:bCs/>
          <w:snapToGrid w:val="0"/>
          <w:color w:val="auto"/>
          <w:kern w:val="0"/>
          <w:sz w:val="24"/>
          <w:szCs w:val="24"/>
          <w:highlight w:val="none"/>
          <w:lang w:val="en-US" w:eastAsia="zh-CN"/>
        </w:rPr>
        <w:t>（10）《广东省市政工程施工质量技术资料统一用表》。</w:t>
      </w:r>
      <w:bookmarkEnd w:id="256"/>
    </w:p>
    <w:p w14:paraId="6F64952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7" w:name="_Toc13247"/>
      <w:r>
        <w:rPr>
          <w:rFonts w:hint="eastAsia" w:ascii="宋体" w:hAnsi="宋体" w:eastAsia="宋体" w:cs="宋体"/>
          <w:bCs/>
          <w:snapToGrid w:val="0"/>
          <w:color w:val="auto"/>
          <w:kern w:val="0"/>
          <w:sz w:val="24"/>
          <w:szCs w:val="24"/>
          <w:highlight w:val="none"/>
          <w:lang w:val="en-US" w:eastAsia="zh-CN"/>
        </w:rPr>
        <w:t>（11）《建筑与市政工程无障碍通用规范》 GB 55019-2021；</w:t>
      </w:r>
      <w:bookmarkEnd w:id="257"/>
    </w:p>
    <w:p w14:paraId="1E71A5A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8" w:name="_Toc29931"/>
      <w:r>
        <w:rPr>
          <w:rFonts w:hint="eastAsia" w:ascii="宋体" w:hAnsi="宋体" w:eastAsia="宋体" w:cs="宋体"/>
          <w:bCs/>
          <w:snapToGrid w:val="0"/>
          <w:color w:val="auto"/>
          <w:kern w:val="0"/>
          <w:sz w:val="24"/>
          <w:szCs w:val="24"/>
          <w:highlight w:val="none"/>
          <w:lang w:val="en-US" w:eastAsia="zh-CN"/>
        </w:rPr>
        <w:t>（12）《建筑防火通用规范》GB 55037-2022</w:t>
      </w:r>
      <w:bookmarkEnd w:id="258"/>
      <w:r>
        <w:rPr>
          <w:rFonts w:hint="eastAsia" w:ascii="宋体" w:hAnsi="宋体" w:eastAsia="宋体" w:cs="宋体"/>
          <w:bCs/>
          <w:snapToGrid w:val="0"/>
          <w:color w:val="auto"/>
          <w:kern w:val="0"/>
          <w:sz w:val="24"/>
          <w:szCs w:val="24"/>
          <w:highlight w:val="none"/>
          <w:lang w:val="en-US" w:eastAsia="zh-CN"/>
        </w:rPr>
        <w:t>；</w:t>
      </w:r>
    </w:p>
    <w:p w14:paraId="0A32268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9" w:name="_Toc30206"/>
      <w:r>
        <w:rPr>
          <w:rFonts w:hint="eastAsia" w:ascii="宋体" w:hAnsi="宋体" w:eastAsia="宋体" w:cs="宋体"/>
          <w:bCs/>
          <w:snapToGrid w:val="0"/>
          <w:color w:val="auto"/>
          <w:kern w:val="0"/>
          <w:sz w:val="24"/>
          <w:szCs w:val="24"/>
          <w:highlight w:val="none"/>
          <w:lang w:val="en-US" w:eastAsia="zh-CN"/>
        </w:rPr>
        <w:t>（13）《建筑与市政工程抗震通用规范》GB55002-2001</w:t>
      </w:r>
      <w:bookmarkEnd w:id="259"/>
      <w:r>
        <w:rPr>
          <w:rFonts w:hint="eastAsia" w:ascii="宋体" w:hAnsi="宋体" w:eastAsia="宋体" w:cs="宋体"/>
          <w:bCs/>
          <w:snapToGrid w:val="0"/>
          <w:color w:val="auto"/>
          <w:kern w:val="0"/>
          <w:sz w:val="24"/>
          <w:szCs w:val="24"/>
          <w:highlight w:val="none"/>
          <w:lang w:val="en-US" w:eastAsia="zh-CN"/>
        </w:rPr>
        <w:t>；</w:t>
      </w:r>
    </w:p>
    <w:p w14:paraId="298D3072">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0" w:name="_Toc13940"/>
      <w:r>
        <w:rPr>
          <w:rFonts w:hint="eastAsia" w:ascii="宋体" w:hAnsi="宋体" w:eastAsia="宋体" w:cs="宋体"/>
          <w:bCs/>
          <w:snapToGrid w:val="0"/>
          <w:color w:val="auto"/>
          <w:kern w:val="0"/>
          <w:sz w:val="24"/>
          <w:szCs w:val="24"/>
          <w:highlight w:val="none"/>
          <w:lang w:val="en-US" w:eastAsia="zh-CN"/>
        </w:rPr>
        <w:t>（14）《建筑与市政地基基础通用规范》GB55003-200</w:t>
      </w:r>
      <w:bookmarkEnd w:id="260"/>
      <w:r>
        <w:rPr>
          <w:rFonts w:hint="eastAsia" w:ascii="宋体" w:hAnsi="宋体" w:eastAsia="宋体" w:cs="宋体"/>
          <w:bCs/>
          <w:snapToGrid w:val="0"/>
          <w:color w:val="auto"/>
          <w:kern w:val="0"/>
          <w:sz w:val="24"/>
          <w:szCs w:val="24"/>
          <w:highlight w:val="none"/>
          <w:lang w:val="en-US" w:eastAsia="zh-CN"/>
        </w:rPr>
        <w:t>；</w:t>
      </w:r>
    </w:p>
    <w:p w14:paraId="7F5C686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1" w:name="_Toc13747"/>
      <w:r>
        <w:rPr>
          <w:rFonts w:hint="eastAsia" w:ascii="宋体" w:hAnsi="宋体" w:eastAsia="宋体" w:cs="宋体"/>
          <w:bCs/>
          <w:snapToGrid w:val="0"/>
          <w:color w:val="auto"/>
          <w:kern w:val="0"/>
          <w:sz w:val="24"/>
          <w:szCs w:val="24"/>
          <w:highlight w:val="none"/>
          <w:lang w:val="en-US" w:eastAsia="zh-CN"/>
        </w:rPr>
        <w:t>（15）《城市道路照明设计标准》（CJJ45-2015）；</w:t>
      </w:r>
      <w:bookmarkEnd w:id="261"/>
    </w:p>
    <w:p w14:paraId="0F139841">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2" w:name="_Toc4862"/>
      <w:r>
        <w:rPr>
          <w:rFonts w:hint="eastAsia" w:ascii="宋体" w:hAnsi="宋体" w:eastAsia="宋体" w:cs="宋体"/>
          <w:bCs/>
          <w:snapToGrid w:val="0"/>
          <w:color w:val="auto"/>
          <w:kern w:val="0"/>
          <w:sz w:val="24"/>
          <w:szCs w:val="24"/>
          <w:highlight w:val="none"/>
          <w:lang w:val="en-US" w:eastAsia="zh-CN"/>
        </w:rPr>
        <w:t>（16）《低压配电设计规范》（GB50054-2011）；</w:t>
      </w:r>
      <w:bookmarkEnd w:id="262"/>
    </w:p>
    <w:p w14:paraId="521230E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3" w:name="_Toc21300"/>
      <w:r>
        <w:rPr>
          <w:rFonts w:hint="eastAsia" w:ascii="宋体" w:hAnsi="宋体" w:eastAsia="宋体" w:cs="宋体"/>
          <w:bCs/>
          <w:snapToGrid w:val="0"/>
          <w:color w:val="auto"/>
          <w:kern w:val="0"/>
          <w:sz w:val="24"/>
          <w:szCs w:val="24"/>
          <w:highlight w:val="none"/>
          <w:lang w:val="en-US" w:eastAsia="zh-CN"/>
        </w:rPr>
        <w:t>（17）《城市道路照明工程施工及验收规程》（CJJ89-2012）；</w:t>
      </w:r>
      <w:bookmarkEnd w:id="263"/>
    </w:p>
    <w:p w14:paraId="5DA9A4A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4" w:name="_Toc3776"/>
      <w:r>
        <w:rPr>
          <w:rFonts w:hint="eastAsia" w:ascii="宋体" w:hAnsi="宋体" w:eastAsia="宋体" w:cs="宋体"/>
          <w:bCs/>
          <w:snapToGrid w:val="0"/>
          <w:color w:val="auto"/>
          <w:kern w:val="0"/>
          <w:sz w:val="24"/>
          <w:szCs w:val="24"/>
          <w:highlight w:val="none"/>
          <w:lang w:val="en-US" w:eastAsia="zh-CN"/>
        </w:rPr>
        <w:t>（18）《LED 道路照明工程技术规范》（DB44/T 1898-2016）；</w:t>
      </w:r>
      <w:bookmarkEnd w:id="264"/>
    </w:p>
    <w:p w14:paraId="026D962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5" w:name="_Toc6724"/>
      <w:r>
        <w:rPr>
          <w:rFonts w:hint="eastAsia" w:ascii="宋体" w:hAnsi="宋体" w:eastAsia="宋体" w:cs="宋体"/>
          <w:bCs/>
          <w:snapToGrid w:val="0"/>
          <w:color w:val="auto"/>
          <w:kern w:val="0"/>
          <w:sz w:val="24"/>
          <w:szCs w:val="24"/>
          <w:highlight w:val="none"/>
          <w:lang w:val="en-US" w:eastAsia="zh-CN"/>
        </w:rPr>
        <w:t>（19）《灯具第 1 部分：一般要求与试验》（GB7000.1-2015）；</w:t>
      </w:r>
      <w:bookmarkEnd w:id="265"/>
    </w:p>
    <w:p w14:paraId="62E09E9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6" w:name="_Toc25902"/>
      <w:r>
        <w:rPr>
          <w:rFonts w:hint="eastAsia" w:ascii="宋体" w:hAnsi="宋体" w:eastAsia="宋体" w:cs="宋体"/>
          <w:bCs/>
          <w:snapToGrid w:val="0"/>
          <w:color w:val="auto"/>
          <w:kern w:val="0"/>
          <w:sz w:val="24"/>
          <w:szCs w:val="24"/>
          <w:highlight w:val="none"/>
          <w:lang w:val="en-US" w:eastAsia="zh-CN"/>
        </w:rPr>
        <w:t>（20）《电缆工程电缆设计标准》（GB50217-2018）；</w:t>
      </w:r>
      <w:bookmarkEnd w:id="266"/>
    </w:p>
    <w:p w14:paraId="2D96973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7" w:name="_Toc1090"/>
      <w:r>
        <w:rPr>
          <w:rFonts w:hint="eastAsia" w:ascii="宋体" w:hAnsi="宋体" w:eastAsia="宋体" w:cs="宋体"/>
          <w:bCs/>
          <w:snapToGrid w:val="0"/>
          <w:color w:val="auto"/>
          <w:kern w:val="0"/>
          <w:sz w:val="24"/>
          <w:szCs w:val="24"/>
          <w:highlight w:val="none"/>
          <w:lang w:val="en-US" w:eastAsia="zh-CN"/>
        </w:rPr>
        <w:t>（21）其他现行国家、广东省关于市政工程的技术及验收规范、定额、规程、标准。</w:t>
      </w:r>
      <w:bookmarkEnd w:id="267"/>
    </w:p>
    <w:p w14:paraId="7F17637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68" w:name="_Toc3836"/>
      <w:bookmarkStart w:id="269" w:name="_Toc11550"/>
      <w:r>
        <w:rPr>
          <w:rFonts w:hint="eastAsia" w:ascii="宋体" w:hAnsi="宋体" w:eastAsia="宋体" w:cs="宋体"/>
          <w:b/>
          <w:bCs/>
          <w:color w:val="auto"/>
          <w:spacing w:val="-11"/>
          <w:sz w:val="24"/>
          <w:szCs w:val="24"/>
          <w:highlight w:val="none"/>
          <w:lang w:val="en-US" w:eastAsia="zh-CN"/>
        </w:rPr>
        <w:t>3.备查要求</w:t>
      </w:r>
      <w:bookmarkEnd w:id="268"/>
      <w:bookmarkEnd w:id="269"/>
    </w:p>
    <w:p w14:paraId="7C248B02">
      <w:pPr>
        <w:wordWrap w:val="0"/>
        <w:adjustRightInd w:val="0"/>
        <w:snapToGrid w:val="0"/>
        <w:spacing w:line="360" w:lineRule="auto"/>
        <w:ind w:firstLine="56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人必须在施工现场准备至少一套上述规范，</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人和监理单位可随时检查</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人的上述规范，并监督</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人按规范要求执行</w:t>
      </w:r>
      <w:bookmarkStart w:id="270" w:name="_Hlt69670335"/>
      <w:bookmarkEnd w:id="270"/>
      <w:r>
        <w:rPr>
          <w:rFonts w:hint="eastAsia" w:ascii="宋体" w:hAnsi="宋体" w:eastAsia="宋体" w:cs="宋体"/>
          <w:bCs/>
          <w:snapToGrid w:val="0"/>
          <w:color w:val="auto"/>
          <w:kern w:val="0"/>
          <w:sz w:val="24"/>
          <w:szCs w:val="24"/>
          <w:highlight w:val="none"/>
          <w:lang w:eastAsia="zh-CN"/>
        </w:rPr>
        <w:t>。</w:t>
      </w:r>
    </w:p>
    <w:p w14:paraId="272C0D8A">
      <w:pPr>
        <w:rPr>
          <w:rFonts w:hint="eastAsia" w:ascii="宋体" w:hAnsi="宋体" w:eastAsia="宋体" w:cs="宋体"/>
          <w:lang w:eastAsia="zh-CN"/>
        </w:rPr>
      </w:pPr>
    </w:p>
    <w:p w14:paraId="5DF324EC">
      <w:pPr>
        <w:rPr>
          <w:rFonts w:hint="eastAsia" w:ascii="宋体" w:hAnsi="宋体" w:eastAsia="宋体" w:cs="宋体"/>
          <w:lang w:eastAsia="zh-CN"/>
        </w:rPr>
      </w:pPr>
    </w:p>
    <w:p w14:paraId="19FEA4E7">
      <w:pPr>
        <w:rPr>
          <w:rFonts w:hint="eastAsia" w:ascii="宋体" w:hAnsi="宋体" w:eastAsia="宋体" w:cs="宋体"/>
          <w:lang w:eastAsia="zh-CN"/>
        </w:rPr>
      </w:pPr>
    </w:p>
    <w:p w14:paraId="58FBF145">
      <w:pPr>
        <w:rPr>
          <w:rFonts w:hint="eastAsia" w:ascii="宋体" w:hAnsi="宋体" w:eastAsia="宋体" w:cs="宋体"/>
          <w:lang w:eastAsia="zh-CN"/>
        </w:rPr>
      </w:pPr>
    </w:p>
    <w:p w14:paraId="69EF7EFC">
      <w:pPr>
        <w:rPr>
          <w:rFonts w:hint="eastAsia" w:ascii="宋体" w:hAnsi="宋体" w:eastAsia="宋体" w:cs="宋体"/>
          <w:lang w:eastAsia="zh-CN"/>
        </w:rPr>
      </w:pPr>
    </w:p>
    <w:p w14:paraId="0BE24F3A">
      <w:pPr>
        <w:rPr>
          <w:rFonts w:hint="eastAsia" w:ascii="宋体" w:hAnsi="宋体" w:eastAsia="宋体" w:cs="宋体"/>
          <w:lang w:eastAsia="zh-CN"/>
        </w:rPr>
      </w:pPr>
    </w:p>
    <w:p w14:paraId="291010C6">
      <w:pPr>
        <w:rPr>
          <w:rFonts w:hint="eastAsia" w:ascii="宋体" w:hAnsi="宋体" w:eastAsia="宋体" w:cs="宋体"/>
          <w:lang w:eastAsia="zh-CN"/>
        </w:rPr>
      </w:pPr>
    </w:p>
    <w:p w14:paraId="79499EC9">
      <w:pPr>
        <w:rPr>
          <w:rFonts w:hint="eastAsia" w:ascii="宋体" w:hAnsi="宋体" w:eastAsia="宋体" w:cs="宋体"/>
          <w:lang w:eastAsia="zh-CN"/>
        </w:rPr>
      </w:pPr>
    </w:p>
    <w:p w14:paraId="5963324A">
      <w:pPr>
        <w:rPr>
          <w:rFonts w:hint="eastAsia" w:ascii="宋体" w:hAnsi="宋体" w:eastAsia="宋体" w:cs="宋体"/>
          <w:lang w:eastAsia="zh-CN"/>
        </w:rPr>
      </w:pPr>
    </w:p>
    <w:p w14:paraId="3E051E01">
      <w:pPr>
        <w:rPr>
          <w:rFonts w:hint="eastAsia" w:ascii="宋体" w:hAnsi="宋体" w:eastAsia="宋体" w:cs="宋体"/>
          <w:lang w:eastAsia="zh-CN"/>
        </w:rPr>
      </w:pPr>
    </w:p>
    <w:p w14:paraId="3296A7D0">
      <w:pPr>
        <w:rPr>
          <w:rFonts w:hint="eastAsia" w:ascii="宋体" w:hAnsi="宋体" w:eastAsia="宋体" w:cs="宋体"/>
          <w:lang w:eastAsia="zh-CN"/>
        </w:rPr>
      </w:pPr>
    </w:p>
    <w:p w14:paraId="73A36266">
      <w:pPr>
        <w:rPr>
          <w:rFonts w:hint="eastAsia" w:ascii="宋体" w:hAnsi="宋体" w:eastAsia="宋体" w:cs="宋体"/>
          <w:lang w:eastAsia="zh-CN"/>
        </w:rPr>
      </w:pPr>
    </w:p>
    <w:p w14:paraId="5D5C3951">
      <w:pPr>
        <w:rPr>
          <w:rFonts w:hint="eastAsia" w:ascii="宋体" w:hAnsi="宋体" w:eastAsia="宋体" w:cs="宋体"/>
          <w:lang w:eastAsia="zh-CN"/>
        </w:rPr>
      </w:pPr>
    </w:p>
    <w:p w14:paraId="4E10EEC1">
      <w:pPr>
        <w:rPr>
          <w:rFonts w:hint="eastAsia" w:ascii="宋体" w:hAnsi="宋体" w:eastAsia="宋体" w:cs="宋体"/>
          <w:lang w:eastAsia="zh-CN"/>
        </w:rPr>
      </w:pPr>
    </w:p>
    <w:p w14:paraId="187BE5FD">
      <w:pPr>
        <w:rPr>
          <w:rFonts w:hint="eastAsia" w:ascii="宋体" w:hAnsi="宋体" w:eastAsia="宋体" w:cs="宋体"/>
          <w:lang w:eastAsia="zh-CN"/>
        </w:rPr>
      </w:pPr>
    </w:p>
    <w:p w14:paraId="65F8FDE4">
      <w:pPr>
        <w:rPr>
          <w:rFonts w:hint="eastAsia" w:ascii="宋体" w:hAnsi="宋体" w:eastAsia="宋体" w:cs="宋体"/>
          <w:lang w:eastAsia="zh-CN"/>
        </w:rPr>
      </w:pPr>
    </w:p>
    <w:p w14:paraId="27B8E0EE">
      <w:pPr>
        <w:rPr>
          <w:rFonts w:hint="eastAsia" w:ascii="宋体" w:hAnsi="宋体" w:eastAsia="宋体" w:cs="宋体"/>
          <w:lang w:eastAsia="zh-CN"/>
        </w:rPr>
      </w:pPr>
    </w:p>
    <w:p w14:paraId="744B5637">
      <w:pPr>
        <w:rPr>
          <w:rFonts w:hint="eastAsia" w:ascii="宋体" w:hAnsi="宋体" w:eastAsia="宋体" w:cs="宋体"/>
          <w:lang w:eastAsia="zh-CN"/>
        </w:rPr>
      </w:pPr>
    </w:p>
    <w:p w14:paraId="3BBD4F7B">
      <w:pPr>
        <w:pStyle w:val="4"/>
        <w:keepNext w:val="0"/>
        <w:keepLines w:val="0"/>
        <w:pageBreakBefore w:val="0"/>
        <w:widowControl w:val="0"/>
        <w:tabs>
          <w:tab w:val="left" w:pos="885"/>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
          <w:snapToGrid w:val="0"/>
          <w:color w:val="auto"/>
          <w:sz w:val="24"/>
          <w:highlight w:val="none"/>
        </w:rPr>
      </w:pPr>
      <w:bookmarkStart w:id="271" w:name="_Toc26952"/>
      <w:bookmarkStart w:id="272" w:name="_Toc30652"/>
      <w:r>
        <w:rPr>
          <w:rFonts w:hint="eastAsia" w:ascii="宋体" w:hAnsi="宋体" w:eastAsia="宋体" w:cs="宋体"/>
          <w:b/>
          <w:snapToGrid w:val="0"/>
          <w:color w:val="auto"/>
          <w:sz w:val="24"/>
          <w:highlight w:val="none"/>
        </w:rPr>
        <w:t>第五章</w:t>
      </w:r>
      <w:bookmarkStart w:id="273" w:name="_Hlt87793860"/>
      <w:bookmarkEnd w:id="273"/>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图纸和招标工程</w:t>
      </w:r>
      <w:bookmarkStart w:id="274" w:name="_Hlt69669215"/>
      <w:bookmarkEnd w:id="274"/>
      <w:r>
        <w:rPr>
          <w:rFonts w:hint="eastAsia" w:ascii="宋体" w:hAnsi="宋体" w:eastAsia="宋体" w:cs="宋体"/>
          <w:b/>
          <w:snapToGrid w:val="0"/>
          <w:color w:val="auto"/>
          <w:sz w:val="24"/>
          <w:highlight w:val="none"/>
        </w:rPr>
        <w:t>量清单</w:t>
      </w:r>
      <w:bookmarkEnd w:id="271"/>
      <w:bookmarkEnd w:id="272"/>
    </w:p>
    <w:p w14:paraId="30EC790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snapToGrid w:val="0"/>
          <w:color w:val="auto"/>
          <w:kern w:val="0"/>
          <w:sz w:val="24"/>
          <w:szCs w:val="24"/>
          <w:highlight w:val="none"/>
        </w:rPr>
      </w:pPr>
      <w:bookmarkStart w:id="275" w:name="_Hlt69669182"/>
      <w:bookmarkEnd w:id="275"/>
      <w:bookmarkStart w:id="276" w:name="_Hlt87793868"/>
      <w:bookmarkEnd w:id="276"/>
      <w:bookmarkStart w:id="277" w:name="_Hlt66104919"/>
      <w:bookmarkEnd w:id="277"/>
      <w:bookmarkStart w:id="278" w:name="_Hlt75747203"/>
      <w:bookmarkEnd w:id="278"/>
      <w:r>
        <w:rPr>
          <w:rFonts w:hint="eastAsia" w:ascii="宋体" w:hAnsi="宋体" w:eastAsia="宋体" w:cs="宋体"/>
          <w:b w:val="0"/>
          <w:bCs w:val="0"/>
          <w:snapToGrid w:val="0"/>
          <w:color w:val="auto"/>
          <w:kern w:val="0"/>
          <w:sz w:val="24"/>
          <w:szCs w:val="24"/>
          <w:highlight w:val="none"/>
          <w:lang w:val="en-US" w:eastAsia="zh-CN"/>
        </w:rPr>
        <w:t>□有，另附复印件        ☑有，自行网上下载(浏览)         □无</w:t>
      </w:r>
    </w:p>
    <w:p w14:paraId="301EE95D">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79" w:name="_Toc2389"/>
      <w:r>
        <w:rPr>
          <w:rFonts w:hint="eastAsia" w:ascii="宋体" w:hAnsi="宋体" w:eastAsia="宋体" w:cs="宋体"/>
          <w:b/>
          <w:bCs/>
          <w:color w:val="auto"/>
          <w:spacing w:val="-11"/>
          <w:sz w:val="24"/>
          <w:szCs w:val="24"/>
          <w:highlight w:val="none"/>
          <w:lang w:val="en-US" w:eastAsia="zh-CN"/>
        </w:rPr>
        <w:t>1.图纸</w:t>
      </w:r>
      <w:bookmarkEnd w:id="279"/>
    </w:p>
    <w:p w14:paraId="07760D9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本招标文件随文另附施工图（电子文件）各一套。</w:t>
      </w:r>
    </w:p>
    <w:p w14:paraId="055C8AC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80" w:name="_Toc30082"/>
      <w:r>
        <w:rPr>
          <w:rFonts w:hint="eastAsia" w:ascii="宋体" w:hAnsi="宋体" w:eastAsia="宋体" w:cs="宋体"/>
          <w:b/>
          <w:bCs/>
          <w:color w:val="auto"/>
          <w:spacing w:val="-11"/>
          <w:sz w:val="24"/>
          <w:szCs w:val="24"/>
          <w:highlight w:val="none"/>
          <w:lang w:val="en-US" w:eastAsia="zh-CN"/>
        </w:rPr>
        <w:t>2.招标工程量清单</w:t>
      </w:r>
      <w:bookmarkEnd w:id="280"/>
    </w:p>
    <w:p w14:paraId="6D1595F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2.1 本招标文件随文另附招标工程量清单（电子文件）一套。</w:t>
      </w:r>
    </w:p>
    <w:p w14:paraId="52DCD21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1" w:name="_Toc7961"/>
      <w:r>
        <w:rPr>
          <w:rFonts w:hint="eastAsia" w:ascii="宋体" w:hAnsi="宋体" w:eastAsia="宋体" w:cs="宋体"/>
          <w:bCs/>
          <w:snapToGrid w:val="0"/>
          <w:color w:val="auto"/>
          <w:kern w:val="0"/>
          <w:sz w:val="24"/>
          <w:szCs w:val="24"/>
          <w:highlight w:val="none"/>
          <w:lang w:val="en-US" w:eastAsia="zh-CN"/>
        </w:rPr>
        <w:t>2.2 本工程按照以下依据编制招标工程量清单、招标控制价：</w:t>
      </w:r>
      <w:bookmarkEnd w:id="281"/>
    </w:p>
    <w:p w14:paraId="2CDCC34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2" w:name="_Toc32626"/>
      <w:r>
        <w:rPr>
          <w:rFonts w:hint="eastAsia" w:ascii="宋体" w:hAnsi="宋体" w:eastAsia="宋体" w:cs="宋体"/>
          <w:bCs/>
          <w:snapToGrid w:val="0"/>
          <w:color w:val="auto"/>
          <w:kern w:val="0"/>
          <w:sz w:val="24"/>
          <w:szCs w:val="24"/>
          <w:highlight w:val="none"/>
          <w:lang w:val="en-US" w:eastAsia="zh-CN"/>
        </w:rPr>
        <w:t>（1）《建设工程工程量清单计价规范》（GB50500—2013）；</w:t>
      </w:r>
      <w:bookmarkEnd w:id="282"/>
    </w:p>
    <w:p w14:paraId="01774E4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3" w:name="_Toc32632"/>
      <w:r>
        <w:rPr>
          <w:rFonts w:hint="eastAsia" w:ascii="宋体" w:hAnsi="宋体" w:eastAsia="宋体" w:cs="宋体"/>
          <w:bCs/>
          <w:snapToGrid w:val="0"/>
          <w:color w:val="auto"/>
          <w:kern w:val="0"/>
          <w:sz w:val="24"/>
          <w:szCs w:val="24"/>
          <w:highlight w:val="none"/>
          <w:lang w:val="en-US" w:eastAsia="zh-CN"/>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工程量清单、招标控制价的补充和(或)修改文件。</w:t>
      </w:r>
      <w:bookmarkEnd w:id="283"/>
      <w:r>
        <w:rPr>
          <w:rFonts w:hint="eastAsia" w:ascii="宋体" w:hAnsi="宋体" w:eastAsia="宋体" w:cs="宋体"/>
          <w:bCs/>
          <w:snapToGrid w:val="0"/>
          <w:color w:val="auto"/>
          <w:kern w:val="0"/>
          <w:sz w:val="24"/>
          <w:szCs w:val="24"/>
          <w:highlight w:val="none"/>
          <w:lang w:val="en-US" w:eastAsia="zh-CN"/>
        </w:rPr>
        <w:t xml:space="preserve"> </w:t>
      </w:r>
    </w:p>
    <w:p w14:paraId="0496BAE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4" w:name="_Toc12902"/>
      <w:r>
        <w:rPr>
          <w:rFonts w:hint="eastAsia" w:ascii="宋体" w:hAnsi="宋体" w:eastAsia="宋体" w:cs="宋体"/>
          <w:bCs/>
          <w:snapToGrid w:val="0"/>
          <w:color w:val="auto"/>
          <w:kern w:val="0"/>
          <w:sz w:val="24"/>
          <w:szCs w:val="24"/>
          <w:highlight w:val="none"/>
          <w:lang w:val="en-US" w:eastAsia="zh-CN"/>
        </w:rPr>
        <w:t>（3）本招标工程量清单措施项目中的绿色施工安全防护措施费、暂列金额、暂估价不得作为竞争性费用，投标报价必须按本招标工程量清单规定的金额填报。</w:t>
      </w:r>
      <w:bookmarkEnd w:id="284"/>
    </w:p>
    <w:p w14:paraId="2D3BD3AE">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5" w:name="_Toc32266"/>
      <w:r>
        <w:rPr>
          <w:rFonts w:hint="eastAsia" w:ascii="宋体" w:hAnsi="宋体" w:eastAsia="宋体" w:cs="宋体"/>
          <w:bCs/>
          <w:snapToGrid w:val="0"/>
          <w:color w:val="auto"/>
          <w:kern w:val="0"/>
          <w:sz w:val="24"/>
          <w:szCs w:val="24"/>
          <w:highlight w:val="none"/>
          <w:lang w:val="en-US" w:eastAsia="zh-CN"/>
        </w:rPr>
        <w:t>（4）投标报价使用的表格格式须按照 GB50500-2013《建设工程工程量清单计价规范》。</w:t>
      </w:r>
      <w:bookmarkEnd w:id="285"/>
    </w:p>
    <w:p w14:paraId="3F52F0C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6" w:name="_Toc13700"/>
      <w:r>
        <w:rPr>
          <w:rFonts w:hint="eastAsia" w:ascii="宋体" w:hAnsi="宋体" w:eastAsia="宋体" w:cs="宋体"/>
          <w:bCs/>
          <w:snapToGrid w:val="0"/>
          <w:color w:val="auto"/>
          <w:kern w:val="0"/>
          <w:sz w:val="24"/>
          <w:szCs w:val="24"/>
          <w:highlight w:val="none"/>
          <w:lang w:val="en-US" w:eastAsia="zh-CN"/>
        </w:rPr>
        <w:t>（5）《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bookmarkEnd w:id="286"/>
    </w:p>
    <w:p w14:paraId="49B1030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7" w:name="_Toc10455"/>
      <w:r>
        <w:rPr>
          <w:rFonts w:hint="eastAsia" w:ascii="宋体" w:hAnsi="宋体" w:eastAsia="宋体" w:cs="宋体"/>
          <w:bCs/>
          <w:snapToGrid w:val="0"/>
          <w:color w:val="auto"/>
          <w:kern w:val="0"/>
          <w:sz w:val="24"/>
          <w:szCs w:val="24"/>
          <w:highlight w:val="none"/>
          <w:lang w:val="en-US" w:eastAsia="zh-CN"/>
        </w:rPr>
        <w:t>（6）施工图及相关资料；</w:t>
      </w:r>
      <w:bookmarkEnd w:id="287"/>
    </w:p>
    <w:p w14:paraId="2E0315E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8" w:name="_Toc1743"/>
      <w:r>
        <w:rPr>
          <w:rFonts w:hint="eastAsia" w:ascii="宋体" w:hAnsi="宋体" w:eastAsia="宋体" w:cs="宋体"/>
          <w:bCs/>
          <w:snapToGrid w:val="0"/>
          <w:color w:val="auto"/>
          <w:kern w:val="0"/>
          <w:sz w:val="24"/>
          <w:szCs w:val="24"/>
          <w:highlight w:val="none"/>
          <w:lang w:val="en-US" w:eastAsia="zh-CN"/>
        </w:rPr>
        <w:t>（7）招标文件；</w:t>
      </w:r>
      <w:bookmarkEnd w:id="288"/>
    </w:p>
    <w:p w14:paraId="5357C6C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9" w:name="_Toc30083"/>
      <w:r>
        <w:rPr>
          <w:rFonts w:hint="eastAsia" w:ascii="宋体" w:hAnsi="宋体" w:eastAsia="宋体" w:cs="宋体"/>
          <w:bCs/>
          <w:snapToGrid w:val="0"/>
          <w:color w:val="auto"/>
          <w:kern w:val="0"/>
          <w:sz w:val="24"/>
          <w:szCs w:val="24"/>
          <w:highlight w:val="none"/>
          <w:lang w:val="en-US" w:eastAsia="zh-CN"/>
        </w:rPr>
        <w:t>（8）施工现场情况、地勘水文资料、工程特点及常规施工方案；</w:t>
      </w:r>
      <w:bookmarkEnd w:id="289"/>
    </w:p>
    <w:p w14:paraId="416327A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90" w:name="_Toc15937"/>
      <w:r>
        <w:rPr>
          <w:rFonts w:hint="eastAsia" w:ascii="宋体" w:hAnsi="宋体" w:eastAsia="宋体" w:cs="宋体"/>
          <w:bCs/>
          <w:snapToGrid w:val="0"/>
          <w:color w:val="auto"/>
          <w:kern w:val="0"/>
          <w:sz w:val="24"/>
          <w:szCs w:val="24"/>
          <w:highlight w:val="none"/>
          <w:lang w:val="en-US" w:eastAsia="zh-CN"/>
        </w:rPr>
        <w:t>（9）与建设工程有关的标准、规范、技术资料、材料设备信息价或市场价格等。</w:t>
      </w:r>
      <w:bookmarkEnd w:id="290"/>
    </w:p>
    <w:p w14:paraId="312D3A83">
      <w:pPr>
        <w:rPr>
          <w:rFonts w:hint="eastAsia" w:ascii="宋体" w:hAnsi="宋体" w:eastAsia="宋体" w:cs="宋体"/>
          <w:lang w:val="en-US" w:eastAsia="zh-CN"/>
        </w:rPr>
      </w:pPr>
    </w:p>
    <w:p w14:paraId="52A4AAD7">
      <w:pPr>
        <w:rPr>
          <w:rFonts w:hint="eastAsia" w:ascii="宋体" w:hAnsi="宋体" w:eastAsia="宋体" w:cs="宋体"/>
          <w:lang w:val="en-US" w:eastAsia="zh-CN"/>
        </w:rPr>
      </w:pPr>
    </w:p>
    <w:p w14:paraId="140BCE1C">
      <w:pPr>
        <w:rPr>
          <w:rFonts w:hint="eastAsia" w:ascii="宋体" w:hAnsi="宋体" w:eastAsia="宋体" w:cs="宋体"/>
          <w:lang w:val="en-US" w:eastAsia="zh-CN"/>
        </w:rPr>
      </w:pPr>
    </w:p>
    <w:p w14:paraId="6977C69B">
      <w:pPr>
        <w:rPr>
          <w:rFonts w:hint="eastAsia"/>
          <w:lang w:val="en-US" w:eastAsia="zh-CN"/>
        </w:rPr>
      </w:pPr>
    </w:p>
    <w:p w14:paraId="4A87BCA8">
      <w:pPr>
        <w:rPr>
          <w:rFonts w:hint="eastAsia" w:ascii="宋体" w:hAnsi="宋体" w:eastAsia="宋体" w:cs="宋体"/>
          <w:lang w:val="en-US" w:eastAsia="zh-CN"/>
        </w:rPr>
      </w:pPr>
    </w:p>
    <w:p w14:paraId="055BD2B2">
      <w:pPr>
        <w:rPr>
          <w:rFonts w:hint="eastAsia" w:ascii="宋体" w:hAnsi="宋体" w:eastAsia="宋体" w:cs="宋体"/>
          <w:lang w:val="en-US" w:eastAsia="zh-CN"/>
        </w:rPr>
      </w:pPr>
    </w:p>
    <w:p w14:paraId="4811ADCA">
      <w:pPr>
        <w:rPr>
          <w:rFonts w:hint="eastAsia" w:ascii="宋体" w:hAnsi="宋体" w:eastAsia="宋体" w:cs="宋体"/>
          <w:lang w:val="en-US" w:eastAsia="zh-CN"/>
        </w:rPr>
      </w:pPr>
    </w:p>
    <w:p w14:paraId="4947C4AC">
      <w:pPr>
        <w:pStyle w:val="4"/>
        <w:wordWrap w:val="0"/>
        <w:autoSpaceDE/>
        <w:autoSpaceDN/>
        <w:snapToGrid w:val="0"/>
        <w:spacing w:line="360" w:lineRule="auto"/>
        <w:jc w:val="center"/>
        <w:rPr>
          <w:rFonts w:hint="eastAsia" w:ascii="宋体" w:hAnsi="宋体" w:eastAsia="宋体" w:cs="宋体"/>
          <w:color w:val="auto"/>
          <w:highlight w:val="none"/>
        </w:rPr>
      </w:pPr>
      <w:bookmarkStart w:id="291" w:name="_Toc6239"/>
      <w:bookmarkStart w:id="292" w:name="_Toc11826"/>
      <w:r>
        <w:rPr>
          <w:rFonts w:hint="eastAsia" w:ascii="宋体" w:hAnsi="宋体" w:eastAsia="宋体" w:cs="宋体"/>
          <w:b/>
          <w:snapToGrid w:val="0"/>
          <w:color w:val="auto"/>
          <w:sz w:val="24"/>
          <w:highlight w:val="none"/>
        </w:rPr>
        <w:t>第六章</w:t>
      </w:r>
      <w:bookmarkStart w:id="293" w:name="_Hlt75747044"/>
      <w:bookmarkEnd w:id="293"/>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投标文件格式</w:t>
      </w:r>
      <w:bookmarkEnd w:id="291"/>
      <w:bookmarkEnd w:id="292"/>
      <w:bookmarkStart w:id="294" w:name="_附件四：工期承诺书"/>
      <w:bookmarkEnd w:id="294"/>
      <w:bookmarkStart w:id="295" w:name="_附件一：投标函"/>
      <w:bookmarkEnd w:id="295"/>
      <w:bookmarkStart w:id="296" w:name="_附件五：综合评审合理低价法"/>
      <w:bookmarkEnd w:id="296"/>
      <w:bookmarkStart w:id="297" w:name="_附件二：工期承诺书"/>
      <w:bookmarkEnd w:id="297"/>
      <w:bookmarkStart w:id="298" w:name="_附件二：近三年度主要施工项目（竣工及在建）一览表"/>
      <w:bookmarkEnd w:id="298"/>
      <w:bookmarkStart w:id="299" w:name="_附件一：对招标文件条款自愿接受承诺书"/>
      <w:bookmarkEnd w:id="299"/>
      <w:bookmarkStart w:id="300" w:name="_Toc137621693"/>
      <w:bookmarkStart w:id="301" w:name="_Toc200338097"/>
      <w:bookmarkStart w:id="302" w:name="_Hlt66847557"/>
      <w:bookmarkStart w:id="303" w:name="_Toc66849200"/>
    </w:p>
    <w:p w14:paraId="35D4332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04" w:name="_Toc9708"/>
      <w:bookmarkStart w:id="305" w:name="_Toc5248"/>
      <w:r>
        <w:rPr>
          <w:rFonts w:hint="eastAsia" w:ascii="宋体" w:hAnsi="宋体" w:eastAsia="宋体" w:cs="宋体"/>
          <w:b/>
          <w:bCs/>
          <w:color w:val="auto"/>
          <w:spacing w:val="-11"/>
          <w:sz w:val="24"/>
          <w:szCs w:val="24"/>
          <w:highlight w:val="none"/>
          <w:lang w:val="en-US" w:eastAsia="zh-CN"/>
        </w:rPr>
        <w:t>格式一   封面</w:t>
      </w:r>
      <w:bookmarkEnd w:id="304"/>
      <w:bookmarkEnd w:id="305"/>
    </w:p>
    <w:p w14:paraId="2C41E55F">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64F599D5">
      <w:pPr>
        <w:pStyle w:val="60"/>
        <w:widowControl w:val="0"/>
        <w:wordWrap w:val="0"/>
        <w:adjustRightInd w:val="0"/>
        <w:snapToGrid w:val="0"/>
        <w:spacing w:line="360" w:lineRule="auto"/>
        <w:jc w:val="both"/>
        <w:rPr>
          <w:rFonts w:hint="eastAsia" w:ascii="宋体" w:hAnsi="宋体" w:eastAsia="宋体" w:cs="宋体"/>
          <w:b/>
          <w:snapToGrid w:val="0"/>
          <w:color w:val="auto"/>
          <w:sz w:val="24"/>
          <w:highlight w:val="none"/>
        </w:rPr>
      </w:pPr>
    </w:p>
    <w:p w14:paraId="264A32FC">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01047916">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68318CBB">
      <w:pPr>
        <w:keepNext w:val="0"/>
        <w:keepLines w:val="0"/>
        <w:widowControl/>
        <w:suppressLineNumbers w:val="0"/>
        <w:spacing w:line="360" w:lineRule="auto"/>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（项目名称）</w:t>
      </w:r>
      <w:r>
        <w:rPr>
          <w:rFonts w:hint="eastAsia" w:ascii="宋体" w:hAnsi="宋体" w:eastAsia="宋体" w:cs="宋体"/>
          <w:b/>
          <w:snapToGrid w:val="0"/>
          <w:color w:val="auto"/>
          <w:sz w:val="48"/>
          <w:szCs w:val="48"/>
          <w:highlight w:val="none"/>
          <w:lang w:val="en-US" w:eastAsia="zh-CN"/>
        </w:rPr>
        <w:t>工程施工</w:t>
      </w:r>
      <w:r>
        <w:rPr>
          <w:rFonts w:hint="eastAsia" w:ascii="宋体" w:hAnsi="宋体" w:eastAsia="宋体" w:cs="宋体"/>
          <w:b/>
          <w:snapToGrid w:val="0"/>
          <w:color w:val="auto"/>
          <w:sz w:val="48"/>
          <w:szCs w:val="48"/>
          <w:highlight w:val="none"/>
        </w:rPr>
        <w:t>招标</w:t>
      </w:r>
    </w:p>
    <w:p w14:paraId="3BFA3CC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539028D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44CCF37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1CBA27F3">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3D95CC72">
      <w:pPr>
        <w:pStyle w:val="60"/>
        <w:widowControl w:val="0"/>
        <w:wordWrap w:val="0"/>
        <w:adjustRightInd w:val="0"/>
        <w:snapToGrid w:val="0"/>
        <w:spacing w:line="360" w:lineRule="auto"/>
        <w:rPr>
          <w:rFonts w:hint="eastAsia" w:ascii="宋体" w:hAnsi="宋体" w:eastAsia="宋体" w:cs="宋体"/>
          <w:b/>
          <w:snapToGrid w:val="0"/>
          <w:color w:val="auto"/>
          <w:highlight w:val="none"/>
        </w:rPr>
      </w:pPr>
    </w:p>
    <w:p w14:paraId="71A1C0CC">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56947D7C">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452183E4">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63A9DDCA">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6234196">
      <w:pPr>
        <w:pStyle w:val="60"/>
        <w:widowControl w:val="0"/>
        <w:wordWrap w:val="0"/>
        <w:adjustRightInd w:val="0"/>
        <w:snapToGrid w:val="0"/>
        <w:spacing w:line="360" w:lineRule="auto"/>
        <w:ind w:firstLine="0"/>
        <w:jc w:val="both"/>
        <w:rPr>
          <w:rFonts w:hint="eastAsia" w:ascii="宋体" w:hAnsi="宋体" w:eastAsia="宋体" w:cs="宋体"/>
          <w:bCs/>
          <w:snapToGrid w:val="0"/>
          <w:color w:val="auto"/>
          <w:sz w:val="32"/>
          <w:highlight w:val="none"/>
        </w:rPr>
      </w:pPr>
    </w:p>
    <w:p w14:paraId="2D081AA0">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56D1462D">
      <w:pPr>
        <w:pStyle w:val="60"/>
        <w:widowControl w:val="0"/>
        <w:wordWrap w:val="0"/>
        <w:adjustRightInd w:val="0"/>
        <w:snapToGrid w:val="0"/>
        <w:spacing w:line="360" w:lineRule="auto"/>
        <w:ind w:firstLine="0"/>
        <w:jc w:val="both"/>
        <w:rPr>
          <w:rFonts w:hint="eastAsia" w:ascii="宋体" w:hAnsi="宋体" w:eastAsia="宋体" w:cs="宋体"/>
          <w:bCs/>
          <w:snapToGrid w:val="0"/>
          <w:color w:val="auto"/>
          <w:sz w:val="32"/>
          <w:highlight w:val="none"/>
          <w:u w:val="single"/>
        </w:rPr>
      </w:pPr>
    </w:p>
    <w:p w14:paraId="673B1733">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2F36BE3D">
      <w:pPr>
        <w:rPr>
          <w:rFonts w:hint="eastAsia" w:ascii="宋体" w:hAnsi="宋体" w:eastAsia="宋体" w:cs="宋体"/>
        </w:rPr>
      </w:pPr>
      <w:bookmarkStart w:id="306" w:name="_Toc15092"/>
      <w:bookmarkStart w:id="307" w:name="_Toc106418843"/>
      <w:bookmarkStart w:id="308" w:name="_Toc104711098"/>
    </w:p>
    <w:p w14:paraId="6832A50E">
      <w:pPr>
        <w:rPr>
          <w:rFonts w:hint="eastAsia" w:ascii="宋体" w:hAnsi="宋体" w:eastAsia="宋体" w:cs="宋体"/>
        </w:rPr>
      </w:pPr>
    </w:p>
    <w:p w14:paraId="4E5A5E31">
      <w:pPr>
        <w:rPr>
          <w:rFonts w:hint="eastAsia" w:ascii="宋体" w:hAnsi="宋体" w:eastAsia="宋体" w:cs="宋体"/>
        </w:rPr>
      </w:pPr>
    </w:p>
    <w:p w14:paraId="024AE31D">
      <w:pPr>
        <w:rPr>
          <w:rFonts w:hint="eastAsia" w:ascii="宋体" w:hAnsi="宋体" w:eastAsia="宋体" w:cs="宋体"/>
        </w:rPr>
      </w:pPr>
    </w:p>
    <w:p w14:paraId="33966578">
      <w:pPr>
        <w:rPr>
          <w:rFonts w:hint="eastAsia" w:ascii="宋体" w:hAnsi="宋体" w:eastAsia="宋体" w:cs="宋体"/>
        </w:rPr>
      </w:pPr>
    </w:p>
    <w:p w14:paraId="7100C261">
      <w:pPr>
        <w:rPr>
          <w:rFonts w:hint="eastAsia" w:ascii="宋体" w:hAnsi="宋体" w:eastAsia="宋体" w:cs="宋体"/>
        </w:rPr>
      </w:pPr>
    </w:p>
    <w:p w14:paraId="4FDFF029">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09" w:name="_Toc19730"/>
      <w:r>
        <w:rPr>
          <w:rFonts w:hint="eastAsia" w:ascii="宋体" w:hAnsi="宋体" w:eastAsia="宋体" w:cs="宋体"/>
          <w:b/>
          <w:bCs/>
          <w:color w:val="auto"/>
          <w:spacing w:val="-11"/>
          <w:sz w:val="24"/>
          <w:szCs w:val="24"/>
          <w:highlight w:val="none"/>
          <w:lang w:val="en-US" w:eastAsia="zh-CN"/>
        </w:rPr>
        <w:t>格式</w:t>
      </w:r>
      <w:bookmarkStart w:id="310" w:name="_Hlt97526007"/>
      <w:bookmarkEnd w:id="310"/>
      <w:r>
        <w:rPr>
          <w:rFonts w:hint="eastAsia" w:ascii="宋体" w:hAnsi="宋体" w:eastAsia="宋体" w:cs="宋体"/>
          <w:b/>
          <w:bCs/>
          <w:color w:val="auto"/>
          <w:spacing w:val="-11"/>
          <w:sz w:val="24"/>
          <w:szCs w:val="24"/>
          <w:highlight w:val="none"/>
          <w:lang w:val="en-US" w:eastAsia="zh-CN"/>
        </w:rPr>
        <w:t>二   投标函</w:t>
      </w:r>
      <w:bookmarkEnd w:id="306"/>
      <w:bookmarkEnd w:id="309"/>
    </w:p>
    <w:p w14:paraId="07C295E9">
      <w:pPr>
        <w:wordWrap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投  标  函</w:t>
      </w:r>
      <w:bookmarkEnd w:id="307"/>
      <w:bookmarkEnd w:id="308"/>
    </w:p>
    <w:p w14:paraId="37577B2E">
      <w:pPr>
        <w:wordWrap w:val="0"/>
        <w:adjustRightInd w:val="0"/>
        <w:snapToGrid w:val="0"/>
        <w:spacing w:line="360" w:lineRule="auto"/>
        <w:jc w:val="center"/>
        <w:rPr>
          <w:rFonts w:hint="eastAsia" w:ascii="宋体" w:hAnsi="宋体" w:eastAsia="宋体" w:cs="宋体"/>
          <w:b/>
          <w:snapToGrid w:val="0"/>
          <w:color w:val="auto"/>
          <w:kern w:val="0"/>
          <w:highlight w:val="none"/>
        </w:rPr>
      </w:pPr>
    </w:p>
    <w:p w14:paraId="72CE9446">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1BB50ABC">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51F54">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color w:val="auto"/>
          <w:kern w:val="0"/>
          <w:szCs w:val="24"/>
          <w:highlight w:val="none"/>
          <w:lang w:bidi="ar"/>
        </w:rPr>
        <w:t>暂列金额</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53D8C7E3">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6B88A785">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23012583">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AA735D9">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我方在此承诺，所递交投标文件的全部内容均为真实、有效、准确的，并愿意承担因我方就此弄虚作假所引起的一切法律后果，同时理解和同意有可能被要求提供更多的资料。</w:t>
      </w:r>
    </w:p>
    <w:p w14:paraId="72DE2632">
      <w:pPr>
        <w:wordWrap w:val="0"/>
        <w:adjustRightInd w:val="0"/>
        <w:snapToGrid w:val="0"/>
        <w:spacing w:line="360" w:lineRule="auto"/>
        <w:ind w:firstLine="570"/>
        <w:rPr>
          <w:rFonts w:hint="eastAsia" w:ascii="宋体" w:hAnsi="宋体" w:eastAsia="宋体" w:cs="宋体"/>
          <w:snapToGrid w:val="0"/>
          <w:color w:val="auto"/>
          <w:kern w:val="0"/>
          <w:highlight w:val="none"/>
        </w:rPr>
      </w:pPr>
      <w:bookmarkStart w:id="311" w:name="_Hlt68771070"/>
      <w:bookmarkEnd w:id="311"/>
      <w:r>
        <w:rPr>
          <w:rFonts w:hint="eastAsia" w:ascii="宋体" w:hAnsi="宋体" w:eastAsia="宋体" w:cs="宋体"/>
          <w:snapToGrid w:val="0"/>
          <w:color w:val="auto"/>
          <w:kern w:val="0"/>
          <w:highlight w:val="none"/>
        </w:rPr>
        <w:t xml:space="preserve">6. 我方理解你方不一定要接纳收到的最低投标总价或任何投标总价的投标人中标，也不要求你方解释我方是否中标的原因。  </w:t>
      </w:r>
    </w:p>
    <w:p w14:paraId="286754D7">
      <w:pPr>
        <w:wordWrap w:val="0"/>
        <w:adjustRightInd w:val="0"/>
        <w:snapToGrid w:val="0"/>
        <w:spacing w:line="360" w:lineRule="auto"/>
        <w:rPr>
          <w:rFonts w:hint="eastAsia" w:ascii="宋体" w:hAnsi="宋体" w:eastAsia="宋体" w:cs="宋体"/>
          <w:snapToGrid w:val="0"/>
          <w:color w:val="auto"/>
          <w:kern w:val="0"/>
          <w:highlight w:val="none"/>
        </w:rPr>
      </w:pPr>
    </w:p>
    <w:p w14:paraId="4C19F572">
      <w:pPr>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02FADCC8">
      <w:pPr>
        <w:wordWrap w:val="0"/>
        <w:adjustRightInd w:val="0"/>
        <w:snapToGrid w:val="0"/>
        <w:spacing w:line="360" w:lineRule="auto"/>
        <w:jc w:val="both"/>
        <w:rPr>
          <w:rFonts w:hint="eastAsia" w:ascii="宋体" w:hAnsi="宋体" w:eastAsia="宋体" w:cs="宋体"/>
          <w:snapToGrid w:val="0"/>
          <w:color w:val="auto"/>
          <w:kern w:val="0"/>
          <w:highlight w:val="none"/>
        </w:rPr>
      </w:pPr>
    </w:p>
    <w:p w14:paraId="21A9E1B3">
      <w:pPr>
        <w:wordWrap w:val="0"/>
        <w:adjustRightInd w:val="0"/>
        <w:snapToGrid w:val="0"/>
        <w:spacing w:line="360" w:lineRule="auto"/>
        <w:ind w:firstLine="42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4C5BD80">
      <w:pPr>
        <w:wordWrap w:val="0"/>
        <w:adjustRightInd w:val="0"/>
        <w:snapToGrid w:val="0"/>
        <w:spacing w:line="360" w:lineRule="auto"/>
        <w:ind w:firstLine="420" w:firstLineChars="200"/>
        <w:jc w:val="right"/>
        <w:rPr>
          <w:rFonts w:hint="eastAsia" w:ascii="宋体" w:hAnsi="宋体" w:eastAsia="宋体" w:cs="宋体"/>
          <w:snapToGrid w:val="0"/>
          <w:color w:val="auto"/>
          <w:kern w:val="0"/>
          <w:highlight w:val="none"/>
        </w:rPr>
      </w:pPr>
    </w:p>
    <w:p w14:paraId="16BA2C90">
      <w:pPr>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723254A">
      <w:pPr>
        <w:rPr>
          <w:rFonts w:hint="eastAsia" w:ascii="宋体" w:hAnsi="宋体" w:eastAsia="宋体" w:cs="宋体"/>
        </w:rPr>
      </w:pPr>
    </w:p>
    <w:p w14:paraId="651C624D">
      <w:pPr>
        <w:rPr>
          <w:rFonts w:hint="eastAsia" w:ascii="宋体" w:hAnsi="宋体" w:eastAsia="宋体" w:cs="宋体"/>
        </w:rPr>
      </w:pPr>
    </w:p>
    <w:p w14:paraId="2AB6725F">
      <w:pPr>
        <w:rPr>
          <w:rFonts w:hint="eastAsia" w:ascii="宋体" w:hAnsi="宋体" w:eastAsia="宋体" w:cs="宋体"/>
        </w:rPr>
      </w:pPr>
    </w:p>
    <w:p w14:paraId="55FAC9DF">
      <w:pPr>
        <w:rPr>
          <w:rFonts w:hint="eastAsia" w:ascii="宋体" w:hAnsi="宋体" w:eastAsia="宋体" w:cs="宋体"/>
        </w:rPr>
      </w:pPr>
    </w:p>
    <w:p w14:paraId="197EDB44">
      <w:pPr>
        <w:rPr>
          <w:rFonts w:hint="eastAsia" w:ascii="宋体" w:hAnsi="宋体" w:eastAsia="宋体" w:cs="宋体"/>
        </w:rPr>
      </w:pPr>
    </w:p>
    <w:p w14:paraId="3C10911C">
      <w:pPr>
        <w:rPr>
          <w:rFonts w:hint="eastAsia" w:ascii="宋体" w:hAnsi="宋体" w:eastAsia="宋体" w:cs="宋体"/>
        </w:rPr>
      </w:pPr>
    </w:p>
    <w:p w14:paraId="797BAF72">
      <w:pPr>
        <w:rPr>
          <w:rFonts w:hint="eastAsia" w:ascii="宋体" w:hAnsi="宋体" w:eastAsia="宋体" w:cs="宋体"/>
        </w:rPr>
      </w:pPr>
    </w:p>
    <w:p w14:paraId="458AF8B9">
      <w:pPr>
        <w:rPr>
          <w:rFonts w:hint="eastAsia" w:ascii="宋体" w:hAnsi="宋体" w:eastAsia="宋体" w:cs="宋体"/>
        </w:rPr>
      </w:pPr>
    </w:p>
    <w:p w14:paraId="797ED5A1">
      <w:pPr>
        <w:rPr>
          <w:rFonts w:hint="eastAsia" w:ascii="宋体" w:hAnsi="宋体" w:eastAsia="宋体" w:cs="宋体"/>
        </w:rPr>
      </w:pPr>
    </w:p>
    <w:p w14:paraId="5C1E69FC">
      <w:pPr>
        <w:rPr>
          <w:rFonts w:hint="eastAsia" w:ascii="宋体" w:hAnsi="宋体" w:eastAsia="宋体" w:cs="宋体"/>
        </w:rPr>
      </w:pPr>
    </w:p>
    <w:p w14:paraId="53BA4DC2">
      <w:pPr>
        <w:rPr>
          <w:rFonts w:hint="eastAsia" w:ascii="宋体" w:hAnsi="宋体" w:eastAsia="宋体" w:cs="宋体"/>
        </w:rPr>
      </w:pPr>
    </w:p>
    <w:p w14:paraId="6F3792C5">
      <w:pPr>
        <w:rPr>
          <w:rFonts w:hint="eastAsia" w:ascii="宋体" w:hAnsi="宋体" w:eastAsia="宋体" w:cs="宋体"/>
        </w:rPr>
      </w:pPr>
    </w:p>
    <w:p w14:paraId="32CD095F">
      <w:pPr>
        <w:rPr>
          <w:rFonts w:hint="eastAsia" w:ascii="宋体" w:hAnsi="宋体" w:eastAsia="宋体" w:cs="宋体"/>
        </w:rPr>
      </w:pPr>
    </w:p>
    <w:p w14:paraId="747A1937">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2" w:name="_Toc4499"/>
      <w:bookmarkStart w:id="313" w:name="_Toc6212"/>
      <w:r>
        <w:rPr>
          <w:rFonts w:hint="eastAsia" w:ascii="宋体" w:hAnsi="宋体" w:eastAsia="宋体" w:cs="宋体"/>
          <w:b/>
          <w:bCs/>
          <w:color w:val="auto"/>
          <w:spacing w:val="-11"/>
          <w:sz w:val="24"/>
          <w:szCs w:val="24"/>
          <w:highlight w:val="none"/>
          <w:lang w:val="en-US" w:eastAsia="zh-CN"/>
        </w:rPr>
        <w:t>格式三   各项承诺一览表</w:t>
      </w:r>
      <w:bookmarkEnd w:id="312"/>
      <w:bookmarkEnd w:id="313"/>
    </w:p>
    <w:p w14:paraId="1E50F52C">
      <w:pPr>
        <w:wordWrap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各项承诺一览表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606D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16" w:type="dxa"/>
            <w:noWrap w:val="0"/>
            <w:vAlign w:val="center"/>
          </w:tcPr>
          <w:p w14:paraId="42B41F15">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28B2AB86">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17F76C2A">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4019" w:type="dxa"/>
            <w:noWrap w:val="0"/>
            <w:vAlign w:val="center"/>
          </w:tcPr>
          <w:p w14:paraId="688DFD5B">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04D2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6" w:type="dxa"/>
            <w:noWrap w:val="0"/>
            <w:vAlign w:val="center"/>
          </w:tcPr>
          <w:p w14:paraId="5958BEF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3487A47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0BED1AE0">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02708758">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74CEC527">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636A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6" w:hRule="atLeast"/>
          <w:jc w:val="center"/>
        </w:trPr>
        <w:tc>
          <w:tcPr>
            <w:tcW w:w="716" w:type="dxa"/>
            <w:noWrap w:val="0"/>
            <w:vAlign w:val="center"/>
          </w:tcPr>
          <w:p w14:paraId="4C234E3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B709FA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EC178BC">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1C927612">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4019" w:type="dxa"/>
            <w:noWrap w:val="0"/>
            <w:vAlign w:val="center"/>
          </w:tcPr>
          <w:p w14:paraId="414B34FF">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35F6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3" w:hRule="atLeast"/>
          <w:jc w:val="center"/>
        </w:trPr>
        <w:tc>
          <w:tcPr>
            <w:tcW w:w="716" w:type="dxa"/>
            <w:noWrap w:val="0"/>
            <w:vAlign w:val="center"/>
          </w:tcPr>
          <w:p w14:paraId="248211D3">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5115D9C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7D11496D">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4288B06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3709780C">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6E87702E">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7414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3" w:hRule="atLeast"/>
          <w:jc w:val="center"/>
        </w:trPr>
        <w:tc>
          <w:tcPr>
            <w:tcW w:w="716" w:type="dxa"/>
            <w:noWrap w:val="0"/>
            <w:vAlign w:val="center"/>
          </w:tcPr>
          <w:p w14:paraId="31EAA83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346FC519">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7AC888FE">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124AC659">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6293E7F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0F90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16" w:type="dxa"/>
            <w:noWrap w:val="0"/>
            <w:vAlign w:val="center"/>
          </w:tcPr>
          <w:p w14:paraId="1EDFD2C6">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53216285">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575AB90A">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42AB3134">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4019" w:type="dxa"/>
            <w:noWrap w:val="0"/>
            <w:vAlign w:val="center"/>
          </w:tcPr>
          <w:p w14:paraId="51609CB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C18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B31AF3E">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05E969B8">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291B7F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1B9704D9">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bottom w:val="single" w:color="auto" w:sz="4" w:space="0"/>
            </w:tcBorders>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78231BCB">
            <w:pPr>
              <w:pStyle w:val="62"/>
              <w:wordWrap w:val="0"/>
              <w:adjustRightInd w:val="0"/>
              <w:snapToGrid w:val="0"/>
              <w:spacing w:line="36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p>
          <w:p w14:paraId="4CC2F0D7">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5F8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043514C3">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35F3116">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59E6BB78">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04907DD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70E0D9D1">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189C95F2">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BFC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727DA8FA">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0D21C7D0">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18281251">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0EFF3052">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5019C284">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DDE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105C35A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01E74381">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07DC4A3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5A06FEEF">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1FD7AE5E">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D3237B">
      <w:pPr>
        <w:pStyle w:val="61"/>
        <w:wordWrap w:val="0"/>
        <w:adjustRightInd w:val="0"/>
        <w:snapToGrid w:val="0"/>
        <w:spacing w:line="360" w:lineRule="auto"/>
        <w:jc w:val="left"/>
        <w:rPr>
          <w:rFonts w:hint="eastAsia" w:ascii="宋体" w:hAnsi="宋体" w:eastAsia="宋体" w:cs="宋体"/>
          <w:snapToGrid w:val="0"/>
          <w:color w:val="auto"/>
          <w:kern w:val="0"/>
          <w:highlight w:val="none"/>
        </w:rPr>
      </w:pPr>
    </w:p>
    <w:p w14:paraId="046F0F03">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484E4F6D">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0F7A98C2">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2229334B">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6E81400B">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26E5072B">
      <w:pPr>
        <w:pStyle w:val="14"/>
        <w:wordWrap w:val="0"/>
        <w:adjustRightInd w:val="0"/>
        <w:snapToGrid w:val="0"/>
        <w:spacing w:line="360" w:lineRule="auto"/>
        <w:ind w:firstLine="420" w:firstLineChars="200"/>
        <w:rPr>
          <w:rFonts w:hint="eastAsia" w:ascii="宋体" w:hAnsi="宋体" w:eastAsia="宋体" w:cs="宋体"/>
          <w:snapToGrid w:val="0"/>
          <w:color w:val="auto"/>
          <w:kern w:val="0"/>
          <w:szCs w:val="24"/>
          <w:highlight w:val="none"/>
        </w:rPr>
      </w:pPr>
    </w:p>
    <w:p w14:paraId="74AA5DC2">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5C841019">
      <w:pPr>
        <w:rPr>
          <w:rFonts w:hint="eastAsia" w:ascii="宋体" w:hAnsi="宋体" w:eastAsia="宋体" w:cs="宋体"/>
        </w:rPr>
      </w:pPr>
    </w:p>
    <w:p w14:paraId="628D37FD">
      <w:pPr>
        <w:rPr>
          <w:rFonts w:hint="eastAsia" w:ascii="宋体" w:hAnsi="宋体" w:eastAsia="宋体" w:cs="宋体"/>
        </w:rPr>
      </w:pPr>
    </w:p>
    <w:p w14:paraId="05699BF2">
      <w:pPr>
        <w:rPr>
          <w:rFonts w:hint="eastAsia" w:ascii="宋体" w:hAnsi="宋体" w:eastAsia="宋体" w:cs="宋体"/>
        </w:rPr>
      </w:pPr>
    </w:p>
    <w:p w14:paraId="74DED8EF">
      <w:pPr>
        <w:rPr>
          <w:rFonts w:hint="eastAsia" w:ascii="宋体" w:hAnsi="宋体" w:eastAsia="宋体" w:cs="宋体"/>
        </w:rPr>
      </w:pPr>
    </w:p>
    <w:p w14:paraId="255CDE9C">
      <w:pPr>
        <w:rPr>
          <w:rFonts w:hint="eastAsia" w:ascii="宋体" w:hAnsi="宋体" w:eastAsia="宋体" w:cs="宋体"/>
        </w:rPr>
      </w:pPr>
    </w:p>
    <w:p w14:paraId="6C88DCBC">
      <w:pPr>
        <w:rPr>
          <w:rFonts w:hint="eastAsia" w:ascii="宋体" w:hAnsi="宋体" w:eastAsia="宋体" w:cs="宋体"/>
        </w:rPr>
      </w:pPr>
    </w:p>
    <w:p w14:paraId="716F893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4" w:name="_Toc27327"/>
      <w:bookmarkStart w:id="315" w:name="_Toc10088"/>
      <w:r>
        <w:rPr>
          <w:rFonts w:hint="eastAsia" w:ascii="宋体" w:hAnsi="宋体" w:eastAsia="宋体" w:cs="宋体"/>
          <w:b/>
          <w:bCs/>
          <w:color w:val="auto"/>
          <w:spacing w:val="-11"/>
          <w:sz w:val="24"/>
          <w:szCs w:val="24"/>
          <w:highlight w:val="none"/>
          <w:lang w:val="en-US" w:eastAsia="zh-CN"/>
        </w:rPr>
        <w:t>格式四   授权委托书</w:t>
      </w:r>
      <w:bookmarkEnd w:id="314"/>
      <w:bookmarkEnd w:id="315"/>
    </w:p>
    <w:p w14:paraId="66087581">
      <w:pPr>
        <w:wordWrap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68A237FF">
      <w:pPr>
        <w:wordWrap w:val="0"/>
        <w:adjustRightInd w:val="0"/>
        <w:snapToGrid w:val="0"/>
        <w:spacing w:line="360" w:lineRule="auto"/>
        <w:rPr>
          <w:rFonts w:hint="eastAsia" w:ascii="宋体" w:hAnsi="宋体" w:eastAsia="宋体" w:cs="宋体"/>
          <w:snapToGrid w:val="0"/>
          <w:color w:val="auto"/>
          <w:kern w:val="0"/>
          <w:szCs w:val="28"/>
          <w:highlight w:val="none"/>
        </w:rPr>
      </w:pPr>
    </w:p>
    <w:p w14:paraId="572DC2E8">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5B8DDD93">
      <w:pPr>
        <w:wordWrap w:val="0"/>
        <w:adjustRightInd w:val="0"/>
        <w:snapToGrid w:val="0"/>
        <w:spacing w:line="360" w:lineRule="auto"/>
        <w:ind w:firstLine="420" w:firstLineChars="200"/>
        <w:rPr>
          <w:rFonts w:hint="eastAsia" w:ascii="宋体" w:hAnsi="宋体" w:eastAsia="宋体" w:cs="宋体"/>
          <w:b w:val="0"/>
          <w:bCs w:val="0"/>
          <w:i w:val="0"/>
          <w:iCs w:val="0"/>
          <w:snapToGrid w:val="0"/>
          <w:color w:val="auto"/>
          <w:kern w:val="0"/>
          <w:szCs w:val="21"/>
          <w:highlight w:val="none"/>
        </w:rPr>
      </w:pPr>
      <w:r>
        <w:rPr>
          <w:rFonts w:hint="eastAsia" w:ascii="宋体" w:hAnsi="宋体" w:eastAsia="宋体" w:cs="宋体"/>
          <w:b w:val="0"/>
          <w:bCs w:val="0"/>
          <w:i w:val="0"/>
          <w:iCs w:val="0"/>
          <w:snapToGrid w:val="0"/>
          <w:color w:val="auto"/>
          <w:kern w:val="0"/>
          <w:szCs w:val="21"/>
          <w:highlight w:val="none"/>
        </w:rPr>
        <w:t>委托期限：</w:t>
      </w:r>
      <w:r>
        <w:rPr>
          <w:rFonts w:hint="eastAsia" w:ascii="宋体" w:hAnsi="宋体" w:eastAsia="宋体" w:cs="宋体"/>
          <w:b w:val="0"/>
          <w:bCs w:val="0"/>
          <w:i w:val="0"/>
          <w:iCs w:val="0"/>
          <w:snapToGrid w:val="0"/>
          <w:color w:val="auto"/>
          <w:kern w:val="0"/>
          <w:szCs w:val="21"/>
          <w:highlight w:val="none"/>
          <w:lang w:val="en-US" w:eastAsia="zh-CN"/>
        </w:rPr>
        <w:t>至</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年</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月</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日</w:t>
      </w:r>
      <w:r>
        <w:rPr>
          <w:rFonts w:hint="eastAsia" w:ascii="宋体" w:hAnsi="宋体" w:eastAsia="宋体" w:cs="宋体"/>
          <w:b w:val="0"/>
          <w:bCs w:val="0"/>
          <w:i w:val="0"/>
          <w:iCs w:val="0"/>
          <w:snapToGrid w:val="0"/>
          <w:color w:val="auto"/>
          <w:kern w:val="0"/>
          <w:szCs w:val="21"/>
          <w:highlight w:val="none"/>
          <w:u w:val="single"/>
          <w:lang w:val="en-US" w:eastAsia="zh-CN"/>
        </w:rPr>
        <w:t>（不得短于招标文件规定的投标有效期）</w:t>
      </w:r>
      <w:r>
        <w:rPr>
          <w:rFonts w:hint="eastAsia" w:ascii="宋体" w:hAnsi="宋体" w:eastAsia="宋体" w:cs="宋体"/>
          <w:b w:val="0"/>
          <w:bCs w:val="0"/>
          <w:i w:val="0"/>
          <w:iCs w:val="0"/>
          <w:snapToGrid w:val="0"/>
          <w:color w:val="auto"/>
          <w:kern w:val="0"/>
          <w:szCs w:val="21"/>
          <w:highlight w:val="none"/>
          <w:lang w:val="en-US" w:eastAsia="zh-CN"/>
        </w:rPr>
        <w:t>。</w:t>
      </w:r>
    </w:p>
    <w:p w14:paraId="756D8030">
      <w:pPr>
        <w:wordWrap w:val="0"/>
        <w:adjustRightInd w:val="0"/>
        <w:snapToGrid w:val="0"/>
        <w:spacing w:line="360" w:lineRule="auto"/>
        <w:ind w:firstLine="422" w:firstLineChars="200"/>
        <w:rPr>
          <w:rFonts w:hint="eastAsia" w:ascii="宋体" w:hAnsi="宋体" w:eastAsia="宋体" w:cs="宋体"/>
          <w:b/>
          <w:bCs/>
          <w:i w:val="0"/>
          <w:iCs w:val="0"/>
          <w:snapToGrid w:val="0"/>
          <w:color w:val="auto"/>
          <w:kern w:val="0"/>
          <w:szCs w:val="21"/>
          <w:highlight w:val="none"/>
        </w:rPr>
      </w:pPr>
    </w:p>
    <w:p w14:paraId="2A192204">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0415E772">
      <w:pPr>
        <w:wordWrap w:val="0"/>
        <w:adjustRightInd w:val="0"/>
        <w:snapToGrid w:val="0"/>
        <w:spacing w:line="360" w:lineRule="auto"/>
        <w:ind w:firstLine="420" w:firstLineChars="200"/>
        <w:rPr>
          <w:rFonts w:hint="eastAsia" w:ascii="宋体" w:hAnsi="宋体" w:eastAsia="宋体" w:cs="宋体"/>
          <w:snapToGrid w:val="0"/>
          <w:color w:val="auto"/>
          <w:kern w:val="0"/>
          <w:szCs w:val="21"/>
          <w:highlight w:val="none"/>
        </w:rPr>
      </w:pPr>
    </w:p>
    <w:p w14:paraId="1C8A9DF5">
      <w:pPr>
        <w:wordWrap w:val="0"/>
        <w:adjustRightInd w:val="0"/>
        <w:snapToGrid w:val="0"/>
        <w:spacing w:line="360" w:lineRule="auto"/>
        <w:ind w:firstLine="420" w:firstLineChars="200"/>
        <w:rPr>
          <w:rFonts w:hint="eastAsia" w:ascii="宋体" w:hAnsi="宋体" w:eastAsia="宋体" w:cs="宋体"/>
          <w:snapToGrid w:val="0"/>
          <w:color w:val="auto"/>
          <w:kern w:val="0"/>
          <w:szCs w:val="21"/>
          <w:highlight w:val="none"/>
        </w:rPr>
      </w:pPr>
    </w:p>
    <w:p w14:paraId="6259FD5E">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6A252D18">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3BADAF4">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56C03AB1">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88ECF2A">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4D7910DF">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6BD1BF">
      <w:pPr>
        <w:rPr>
          <w:rFonts w:hint="eastAsia" w:ascii="宋体" w:hAnsi="宋体" w:eastAsia="宋体" w:cs="宋体"/>
        </w:rPr>
      </w:pPr>
    </w:p>
    <w:p w14:paraId="10596A54">
      <w:pPr>
        <w:rPr>
          <w:rFonts w:hint="eastAsia" w:ascii="宋体" w:hAnsi="宋体" w:eastAsia="宋体" w:cs="宋体"/>
        </w:rPr>
      </w:pPr>
    </w:p>
    <w:p w14:paraId="0C542C18">
      <w:pP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5ED4BC5">
                            <w:pPr>
                              <w:jc w:val="center"/>
                              <w:rPr>
                                <w:rFonts w:hint="eastAsia"/>
                                <w:szCs w:val="21"/>
                              </w:rPr>
                            </w:pPr>
                          </w:p>
                          <w:p w14:paraId="201C270E">
                            <w:pPr>
                              <w:jc w:val="both"/>
                              <w:rPr>
                                <w:rFonts w:hint="eastAsia"/>
                                <w:szCs w:val="21"/>
                              </w:rPr>
                            </w:pPr>
                          </w:p>
                          <w:p w14:paraId="6CB2FB26">
                            <w:pPr>
                              <w:jc w:val="center"/>
                              <w:rPr>
                                <w:szCs w:val="21"/>
                              </w:rPr>
                            </w:pPr>
                            <w:r>
                              <w:rPr>
                                <w:rFonts w:hint="eastAsia"/>
                                <w:szCs w:val="21"/>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35ED4BC5">
                      <w:pPr>
                        <w:jc w:val="center"/>
                        <w:rPr>
                          <w:rFonts w:hint="eastAsia"/>
                          <w:szCs w:val="21"/>
                        </w:rPr>
                      </w:pPr>
                    </w:p>
                    <w:p w14:paraId="201C270E">
                      <w:pPr>
                        <w:jc w:val="both"/>
                        <w:rPr>
                          <w:rFonts w:hint="eastAsia"/>
                          <w:szCs w:val="21"/>
                        </w:rPr>
                      </w:pPr>
                    </w:p>
                    <w:p w14:paraId="6CB2FB26">
                      <w:pPr>
                        <w:jc w:val="center"/>
                        <w:rPr>
                          <w:szCs w:val="21"/>
                        </w:rPr>
                      </w:pPr>
                      <w:r>
                        <w:rPr>
                          <w:rFonts w:hint="eastAsia"/>
                          <w:szCs w:val="21"/>
                        </w:rPr>
                        <w:t>委托代理人身份证彩色扫描件正、反面</w:t>
                      </w:r>
                    </w:p>
                  </w:txbxContent>
                </v:textbox>
              </v:shape>
            </w:pict>
          </mc:Fallback>
        </mc:AlternateContent>
      </w:r>
    </w:p>
    <w:p w14:paraId="61BED0D8">
      <w:pPr>
        <w:rPr>
          <w:rFonts w:hint="eastAsia" w:ascii="宋体" w:hAnsi="宋体" w:eastAsia="宋体" w:cs="宋体"/>
        </w:rPr>
      </w:pPr>
    </w:p>
    <w:p w14:paraId="6DCC7A25">
      <w:pPr>
        <w:rPr>
          <w:rFonts w:hint="eastAsia" w:ascii="宋体" w:hAnsi="宋体" w:eastAsia="宋体" w:cs="宋体"/>
        </w:rPr>
      </w:pPr>
    </w:p>
    <w:p w14:paraId="6A1F5D3C">
      <w:pPr>
        <w:rPr>
          <w:rFonts w:hint="eastAsia" w:ascii="宋体" w:hAnsi="宋体" w:eastAsia="宋体" w:cs="宋体"/>
        </w:rPr>
      </w:pPr>
    </w:p>
    <w:p w14:paraId="02ECA28D">
      <w:pPr>
        <w:rPr>
          <w:rFonts w:hint="eastAsia" w:ascii="宋体" w:hAnsi="宋体" w:eastAsia="宋体" w:cs="宋体"/>
        </w:rPr>
      </w:pPr>
    </w:p>
    <w:p w14:paraId="683343FB">
      <w:pPr>
        <w:rPr>
          <w:rFonts w:hint="eastAsia" w:ascii="宋体" w:hAnsi="宋体" w:eastAsia="宋体" w:cs="宋体"/>
        </w:rPr>
      </w:pPr>
    </w:p>
    <w:p w14:paraId="3E5D6803">
      <w:pPr>
        <w:rPr>
          <w:rFonts w:hint="eastAsia" w:ascii="宋体" w:hAnsi="宋体" w:eastAsia="宋体" w:cs="宋体"/>
        </w:rPr>
      </w:pPr>
    </w:p>
    <w:p w14:paraId="3D6B16A0">
      <w:pPr>
        <w:rPr>
          <w:rFonts w:hint="eastAsia" w:ascii="宋体" w:hAnsi="宋体" w:eastAsia="宋体" w:cs="宋体"/>
        </w:rPr>
      </w:pPr>
    </w:p>
    <w:p w14:paraId="6B336B49">
      <w:pPr>
        <w:rPr>
          <w:rFonts w:hint="eastAsia" w:ascii="宋体" w:hAnsi="宋体" w:eastAsia="宋体" w:cs="宋体"/>
        </w:rPr>
      </w:pPr>
    </w:p>
    <w:p w14:paraId="6A08C93E">
      <w:pPr>
        <w:rPr>
          <w:rFonts w:hint="eastAsia" w:ascii="宋体" w:hAnsi="宋体" w:eastAsia="宋体" w:cs="宋体"/>
        </w:rPr>
      </w:pPr>
    </w:p>
    <w:p w14:paraId="77315177">
      <w:pPr>
        <w:rPr>
          <w:rFonts w:hint="eastAsia" w:ascii="宋体" w:hAnsi="宋体" w:eastAsia="宋体" w:cs="宋体"/>
        </w:rPr>
      </w:pPr>
    </w:p>
    <w:p w14:paraId="47167783">
      <w:pPr>
        <w:rPr>
          <w:rFonts w:hint="eastAsia" w:ascii="宋体" w:hAnsi="宋体" w:eastAsia="宋体" w:cs="宋体"/>
        </w:rPr>
      </w:pPr>
    </w:p>
    <w:p w14:paraId="3E918856">
      <w:pPr>
        <w:rPr>
          <w:rFonts w:hint="eastAsia" w:ascii="宋体" w:hAnsi="宋体" w:eastAsia="宋体" w:cs="宋体"/>
        </w:rPr>
      </w:pPr>
    </w:p>
    <w:p w14:paraId="67BC31A3">
      <w:pPr>
        <w:rPr>
          <w:rFonts w:hint="eastAsia" w:ascii="宋体" w:hAnsi="宋体" w:eastAsia="宋体" w:cs="宋体"/>
        </w:rPr>
      </w:pPr>
    </w:p>
    <w:p w14:paraId="5DEF4393">
      <w:pPr>
        <w:rPr>
          <w:rFonts w:hint="eastAsia" w:ascii="宋体" w:hAnsi="宋体" w:eastAsia="宋体" w:cs="宋体"/>
        </w:rPr>
      </w:pPr>
    </w:p>
    <w:p w14:paraId="0F7FAC28">
      <w:pPr>
        <w:rPr>
          <w:rFonts w:hint="eastAsia" w:ascii="宋体" w:hAnsi="宋体" w:eastAsia="宋体" w:cs="宋体"/>
        </w:rPr>
      </w:pPr>
    </w:p>
    <w:p w14:paraId="0EFBE34F">
      <w:pPr>
        <w:rPr>
          <w:rFonts w:hint="eastAsia" w:ascii="宋体" w:hAnsi="宋体" w:eastAsia="宋体" w:cs="宋体"/>
        </w:rPr>
      </w:pPr>
    </w:p>
    <w:p w14:paraId="196529BF">
      <w:pPr>
        <w:rPr>
          <w:rFonts w:hint="eastAsia" w:ascii="宋体" w:hAnsi="宋体" w:eastAsia="宋体" w:cs="宋体"/>
        </w:rPr>
      </w:pPr>
    </w:p>
    <w:p w14:paraId="4FC40903">
      <w:pPr>
        <w:rPr>
          <w:rFonts w:hint="eastAsia" w:ascii="宋体" w:hAnsi="宋体" w:eastAsia="宋体" w:cs="宋体"/>
        </w:rPr>
      </w:pPr>
    </w:p>
    <w:p w14:paraId="3E17E85F">
      <w:pPr>
        <w:rPr>
          <w:rFonts w:hint="eastAsia" w:ascii="宋体" w:hAnsi="宋体" w:eastAsia="宋体" w:cs="宋体"/>
        </w:rPr>
      </w:pPr>
    </w:p>
    <w:p w14:paraId="3705CA0A">
      <w:pPr>
        <w:rPr>
          <w:rFonts w:hint="eastAsia" w:ascii="宋体" w:hAnsi="宋体" w:eastAsia="宋体" w:cs="宋体"/>
        </w:rPr>
      </w:pPr>
    </w:p>
    <w:p w14:paraId="14B86FF1">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6" w:name="_Toc18510"/>
      <w:bookmarkStart w:id="317" w:name="_Toc24252"/>
      <w:r>
        <w:rPr>
          <w:rFonts w:hint="eastAsia" w:ascii="宋体" w:hAnsi="宋体" w:eastAsia="宋体" w:cs="宋体"/>
          <w:b/>
          <w:bCs/>
          <w:color w:val="auto"/>
          <w:spacing w:val="-11"/>
          <w:sz w:val="24"/>
          <w:szCs w:val="24"/>
          <w:highlight w:val="none"/>
          <w:lang w:val="en-US" w:eastAsia="zh-CN"/>
        </w:rPr>
        <w:t>格式五   法定代表人身份证明</w:t>
      </w:r>
      <w:bookmarkEnd w:id="316"/>
      <w:bookmarkEnd w:id="317"/>
    </w:p>
    <w:p w14:paraId="09613183">
      <w:pPr>
        <w:wordWrap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58A9CFE4">
      <w:pPr>
        <w:wordWrap w:val="0"/>
        <w:adjustRightInd w:val="0"/>
        <w:snapToGrid w:val="0"/>
        <w:spacing w:line="360" w:lineRule="auto"/>
        <w:rPr>
          <w:rFonts w:hint="eastAsia" w:ascii="宋体" w:hAnsi="宋体" w:eastAsia="宋体" w:cs="宋体"/>
          <w:snapToGrid w:val="0"/>
          <w:color w:val="auto"/>
          <w:kern w:val="0"/>
          <w:szCs w:val="21"/>
          <w:highlight w:val="none"/>
        </w:rPr>
      </w:pPr>
    </w:p>
    <w:p w14:paraId="540C6373">
      <w:pPr>
        <w:wordWrap w:val="0"/>
        <w:adjustRightInd w:val="0"/>
        <w:snapToGrid w:val="0"/>
        <w:spacing w:line="360" w:lineRule="auto"/>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3AB35966">
      <w:pPr>
        <w:wordWrap w:val="0"/>
        <w:adjustRightInd w:val="0"/>
        <w:snapToGrid w:val="0"/>
        <w:spacing w:line="360" w:lineRule="auto"/>
        <w:ind w:firstLine="1050" w:firstLineChars="5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7481C7F6">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14AE9157">
      <w:pPr>
        <w:wordWrap w:val="0"/>
        <w:adjustRightInd w:val="0"/>
        <w:snapToGrid w:val="0"/>
        <w:spacing w:line="360" w:lineRule="auto"/>
        <w:rPr>
          <w:rFonts w:hint="eastAsia" w:ascii="宋体" w:hAnsi="宋体" w:eastAsia="宋体" w:cs="宋体"/>
          <w:snapToGrid w:val="0"/>
          <w:color w:val="auto"/>
          <w:kern w:val="0"/>
          <w:szCs w:val="21"/>
          <w:highlight w:val="none"/>
        </w:rPr>
      </w:pPr>
    </w:p>
    <w:p w14:paraId="13D37778">
      <w:pPr>
        <w:wordWrap w:val="0"/>
        <w:adjustRightInd w:val="0"/>
        <w:snapToGrid w:val="0"/>
        <w:spacing w:line="360" w:lineRule="auto"/>
        <w:rPr>
          <w:rFonts w:hint="eastAsia" w:ascii="宋体" w:hAnsi="宋体" w:eastAsia="宋体" w:cs="宋体"/>
          <w:snapToGrid w:val="0"/>
          <w:color w:val="auto"/>
          <w:kern w:val="0"/>
          <w:szCs w:val="21"/>
          <w:highlight w:val="none"/>
        </w:rPr>
      </w:pPr>
    </w:p>
    <w:p w14:paraId="51B836BE">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BD0D72E">
      <w:pPr>
        <w:wordWrap w:val="0"/>
        <w:adjustRightInd w:val="0"/>
        <w:snapToGrid w:val="0"/>
        <w:spacing w:line="360" w:lineRule="auto"/>
        <w:jc w:val="right"/>
        <w:rPr>
          <w:rFonts w:hint="eastAsia" w:ascii="宋体" w:hAnsi="宋体" w:eastAsia="宋体" w:cs="宋体"/>
          <w:snapToGrid w:val="0"/>
          <w:color w:val="auto"/>
          <w:kern w:val="0"/>
          <w:szCs w:val="21"/>
          <w:highlight w:val="none"/>
        </w:rPr>
      </w:pPr>
    </w:p>
    <w:p w14:paraId="26453FAF">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77CFA69C">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4B16DAD1">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6F7072C">
      <w:pPr>
        <w:wordWrap w:val="0"/>
        <w:adjustRightInd w:val="0"/>
        <w:snapToGrid w:val="0"/>
        <w:spacing w:line="360" w:lineRule="auto"/>
        <w:ind w:firstLine="210" w:firstLineChars="1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919DBBA">
      <w:pPr>
        <w:rPr>
          <w:rFonts w:hint="eastAsia" w:ascii="宋体" w:hAnsi="宋体" w:eastAsia="宋体" w:cs="宋体"/>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12653D35">
      <w:pPr>
        <w:rPr>
          <w:rFonts w:hint="eastAsia" w:ascii="宋体" w:hAnsi="宋体" w:eastAsia="宋体" w:cs="宋体"/>
        </w:rPr>
      </w:pPr>
    </w:p>
    <w:p w14:paraId="4C25B00A">
      <w:pPr>
        <w:rPr>
          <w:rFonts w:hint="eastAsia" w:ascii="宋体" w:hAnsi="宋体" w:eastAsia="宋体" w:cs="宋体"/>
        </w:rPr>
      </w:pPr>
    </w:p>
    <w:p w14:paraId="26C1E0A4">
      <w:pP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2"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2125E3">
                            <w:pPr>
                              <w:jc w:val="both"/>
                              <w:rPr>
                                <w:rFonts w:hint="eastAsia"/>
                                <w:szCs w:val="21"/>
                              </w:rPr>
                            </w:pPr>
                          </w:p>
                          <w:p w14:paraId="2F711A31">
                            <w:pPr>
                              <w:jc w:val="center"/>
                              <w:rPr>
                                <w:rFonts w:hint="eastAsia"/>
                                <w:szCs w:val="21"/>
                              </w:rPr>
                            </w:pPr>
                          </w:p>
                          <w:p w14:paraId="20F0F4F4">
                            <w:pPr>
                              <w:jc w:val="center"/>
                              <w:rPr>
                                <w:szCs w:val="21"/>
                              </w:rPr>
                            </w:pPr>
                            <w:r>
                              <w:rPr>
                                <w:rFonts w:hint="eastAsia"/>
                                <w:szCs w:val="21"/>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XUptgAAAAJAQAADwAAAAAAAAABACAAAAAiAAAAZHJzL2Rvd25yZXYueG1sUEsBAhQAFAAAAAgA&#10;h07iQP2aoBQlAgAAVAQAAA4AAAAAAAAAAQAgAAAAJwEAAGRycy9lMm9Eb2MueG1sUEsFBgAAAAAG&#10;AAYAWQEAAL4FAAAAAA==&#10;">
                <v:fill on="t" focussize="0,0"/>
                <v:stroke color="#000000" joinstyle="miter"/>
                <v:imagedata o:title=""/>
                <o:lock v:ext="edit" aspectratio="f"/>
                <v:textbox>
                  <w:txbxContent>
                    <w:p w14:paraId="532125E3">
                      <w:pPr>
                        <w:jc w:val="both"/>
                        <w:rPr>
                          <w:rFonts w:hint="eastAsia"/>
                          <w:szCs w:val="21"/>
                        </w:rPr>
                      </w:pPr>
                    </w:p>
                    <w:p w14:paraId="2F711A31">
                      <w:pPr>
                        <w:jc w:val="center"/>
                        <w:rPr>
                          <w:rFonts w:hint="eastAsia"/>
                          <w:szCs w:val="21"/>
                        </w:rPr>
                      </w:pPr>
                    </w:p>
                    <w:p w14:paraId="20F0F4F4">
                      <w:pPr>
                        <w:jc w:val="center"/>
                        <w:rPr>
                          <w:szCs w:val="21"/>
                        </w:rPr>
                      </w:pPr>
                      <w:r>
                        <w:rPr>
                          <w:rFonts w:hint="eastAsia"/>
                          <w:szCs w:val="21"/>
                        </w:rPr>
                        <w:t>法定代表人身份证彩色扫描件正、反面</w:t>
                      </w:r>
                    </w:p>
                  </w:txbxContent>
                </v:textbox>
              </v:shape>
            </w:pict>
          </mc:Fallback>
        </mc:AlternateContent>
      </w:r>
    </w:p>
    <w:p w14:paraId="6BB36E90">
      <w:pPr>
        <w:rPr>
          <w:rFonts w:hint="eastAsia" w:ascii="宋体" w:hAnsi="宋体" w:eastAsia="宋体" w:cs="宋体"/>
        </w:rPr>
      </w:pPr>
    </w:p>
    <w:p w14:paraId="001E54A3">
      <w:pPr>
        <w:rPr>
          <w:rFonts w:hint="eastAsia" w:ascii="宋体" w:hAnsi="宋体" w:eastAsia="宋体" w:cs="宋体"/>
        </w:rPr>
      </w:pPr>
    </w:p>
    <w:p w14:paraId="632F3628">
      <w:pPr>
        <w:rPr>
          <w:rFonts w:hint="eastAsia" w:ascii="宋体" w:hAnsi="宋体" w:eastAsia="宋体" w:cs="宋体"/>
        </w:rPr>
      </w:pPr>
    </w:p>
    <w:p w14:paraId="330D22E7">
      <w:pPr>
        <w:rPr>
          <w:rFonts w:hint="eastAsia" w:ascii="宋体" w:hAnsi="宋体" w:eastAsia="宋体" w:cs="宋体"/>
        </w:rPr>
      </w:pPr>
    </w:p>
    <w:p w14:paraId="4BB9672C">
      <w:pPr>
        <w:rPr>
          <w:rFonts w:hint="eastAsia" w:ascii="宋体" w:hAnsi="宋体" w:eastAsia="宋体" w:cs="宋体"/>
        </w:rPr>
      </w:pPr>
    </w:p>
    <w:p w14:paraId="2994404E">
      <w:pPr>
        <w:rPr>
          <w:rFonts w:hint="eastAsia" w:ascii="宋体" w:hAnsi="宋体" w:eastAsia="宋体" w:cs="宋体"/>
        </w:rPr>
      </w:pPr>
    </w:p>
    <w:p w14:paraId="5F31FA10">
      <w:pPr>
        <w:rPr>
          <w:rFonts w:hint="eastAsia" w:ascii="宋体" w:hAnsi="宋体" w:eastAsia="宋体" w:cs="宋体"/>
        </w:rPr>
      </w:pPr>
    </w:p>
    <w:p w14:paraId="6144B3B2">
      <w:pPr>
        <w:rPr>
          <w:rFonts w:hint="eastAsia" w:ascii="宋体" w:hAnsi="宋体" w:eastAsia="宋体" w:cs="宋体"/>
        </w:rPr>
      </w:pPr>
    </w:p>
    <w:p w14:paraId="33375A46">
      <w:pPr>
        <w:rPr>
          <w:rFonts w:hint="eastAsia" w:ascii="宋体" w:hAnsi="宋体" w:eastAsia="宋体" w:cs="宋体"/>
        </w:rPr>
      </w:pPr>
    </w:p>
    <w:p w14:paraId="6A658622">
      <w:pPr>
        <w:rPr>
          <w:rFonts w:hint="eastAsia" w:ascii="宋体" w:hAnsi="宋体" w:eastAsia="宋体" w:cs="宋体"/>
        </w:rPr>
      </w:pPr>
    </w:p>
    <w:p w14:paraId="24F286FA">
      <w:pPr>
        <w:rPr>
          <w:rFonts w:hint="eastAsia" w:ascii="宋体" w:hAnsi="宋体" w:eastAsia="宋体" w:cs="宋体"/>
        </w:rPr>
      </w:pPr>
    </w:p>
    <w:p w14:paraId="693204F3">
      <w:pPr>
        <w:rPr>
          <w:rFonts w:hint="eastAsia" w:ascii="宋体" w:hAnsi="宋体" w:eastAsia="宋体" w:cs="宋体"/>
        </w:rPr>
      </w:pPr>
    </w:p>
    <w:p w14:paraId="32FB5CA0">
      <w:pPr>
        <w:rPr>
          <w:rFonts w:hint="eastAsia" w:ascii="宋体" w:hAnsi="宋体" w:eastAsia="宋体" w:cs="宋体"/>
        </w:rPr>
      </w:pPr>
    </w:p>
    <w:p w14:paraId="573B2C2E">
      <w:pPr>
        <w:rPr>
          <w:rFonts w:hint="eastAsia" w:ascii="宋体" w:hAnsi="宋体" w:eastAsia="宋体" w:cs="宋体"/>
        </w:rPr>
      </w:pPr>
    </w:p>
    <w:p w14:paraId="6755B165">
      <w:pPr>
        <w:rPr>
          <w:rFonts w:hint="eastAsia" w:ascii="宋体" w:hAnsi="宋体" w:eastAsia="宋体" w:cs="宋体"/>
        </w:rPr>
      </w:pPr>
    </w:p>
    <w:p w14:paraId="55A5C2D2">
      <w:pPr>
        <w:rPr>
          <w:rFonts w:hint="eastAsia" w:ascii="宋体" w:hAnsi="宋体" w:eastAsia="宋体" w:cs="宋体"/>
        </w:rPr>
      </w:pPr>
    </w:p>
    <w:p w14:paraId="14382192">
      <w:pPr>
        <w:rPr>
          <w:rFonts w:hint="eastAsia" w:ascii="宋体" w:hAnsi="宋体" w:eastAsia="宋体" w:cs="宋体"/>
        </w:rPr>
      </w:pPr>
    </w:p>
    <w:p w14:paraId="7AB00C9F">
      <w:pPr>
        <w:rPr>
          <w:rFonts w:hint="eastAsia" w:ascii="宋体" w:hAnsi="宋体" w:eastAsia="宋体" w:cs="宋体"/>
        </w:rPr>
      </w:pPr>
    </w:p>
    <w:p w14:paraId="2ACFF5F0">
      <w:pPr>
        <w:rPr>
          <w:rFonts w:hint="eastAsia" w:ascii="宋体" w:hAnsi="宋体" w:eastAsia="宋体" w:cs="宋体"/>
        </w:rPr>
      </w:pPr>
    </w:p>
    <w:p w14:paraId="3D27C896">
      <w:pPr>
        <w:rPr>
          <w:rFonts w:hint="eastAsia" w:ascii="宋体" w:hAnsi="宋体" w:eastAsia="宋体" w:cs="宋体"/>
        </w:rPr>
      </w:pPr>
    </w:p>
    <w:p w14:paraId="5DAD38EF">
      <w:pPr>
        <w:rPr>
          <w:rFonts w:hint="eastAsia" w:ascii="宋体" w:hAnsi="宋体" w:eastAsia="宋体" w:cs="宋体"/>
        </w:rPr>
      </w:pPr>
    </w:p>
    <w:p w14:paraId="1EBEE754">
      <w:pPr>
        <w:rPr>
          <w:rFonts w:hint="eastAsia" w:ascii="宋体" w:hAnsi="宋体" w:eastAsia="宋体" w:cs="宋体"/>
        </w:rPr>
      </w:pPr>
    </w:p>
    <w:p w14:paraId="09679D34">
      <w:pPr>
        <w:rPr>
          <w:rFonts w:hint="eastAsia" w:ascii="宋体" w:hAnsi="宋体" w:eastAsia="宋体" w:cs="宋体"/>
        </w:rPr>
      </w:pPr>
    </w:p>
    <w:p w14:paraId="54EDEFDB">
      <w:pPr>
        <w:rPr>
          <w:rFonts w:hint="eastAsia" w:ascii="宋体" w:hAnsi="宋体" w:eastAsia="宋体" w:cs="宋体"/>
        </w:rPr>
      </w:pPr>
    </w:p>
    <w:p w14:paraId="143AB60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8" w:name="_Toc102"/>
      <w:bookmarkStart w:id="319" w:name="_Toc22808"/>
      <w:r>
        <w:rPr>
          <w:rFonts w:hint="eastAsia" w:ascii="宋体" w:hAnsi="宋体" w:eastAsia="宋体" w:cs="宋体"/>
          <w:b/>
          <w:bCs/>
          <w:color w:val="auto"/>
          <w:spacing w:val="-11"/>
          <w:sz w:val="24"/>
          <w:szCs w:val="24"/>
          <w:highlight w:val="none"/>
          <w:lang w:val="en-US" w:eastAsia="zh-CN"/>
        </w:rPr>
        <w:t>格式六    投标人基本情况表</w:t>
      </w:r>
      <w:bookmarkEnd w:id="318"/>
      <w:bookmarkEnd w:id="319"/>
    </w:p>
    <w:p w14:paraId="53B6A321">
      <w:pPr>
        <w:pStyle w:val="60"/>
        <w:widowControl w:val="0"/>
        <w:wordWrap w:val="0"/>
        <w:adjustRightInd w:val="0"/>
        <w:snapToGrid w:val="0"/>
        <w:spacing w:before="260" w:after="260" w:line="240" w:lineRule="auto"/>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1409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noWrap w:val="0"/>
            <w:vAlign w:val="center"/>
          </w:tcPr>
          <w:p w14:paraId="1F5E6A1E">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投标人名称</w:t>
            </w:r>
          </w:p>
        </w:tc>
        <w:tc>
          <w:tcPr>
            <w:tcW w:w="7020" w:type="dxa"/>
            <w:gridSpan w:val="8"/>
            <w:noWrap w:val="0"/>
            <w:vAlign w:val="center"/>
          </w:tcPr>
          <w:p w14:paraId="338CD7A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50CE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4F3A345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注册地址</w:t>
            </w:r>
          </w:p>
        </w:tc>
        <w:tc>
          <w:tcPr>
            <w:tcW w:w="3389" w:type="dxa"/>
            <w:gridSpan w:val="3"/>
            <w:noWrap w:val="0"/>
            <w:vAlign w:val="center"/>
          </w:tcPr>
          <w:p w14:paraId="4824853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0762499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邮政编码</w:t>
            </w:r>
          </w:p>
        </w:tc>
        <w:tc>
          <w:tcPr>
            <w:tcW w:w="2385" w:type="dxa"/>
            <w:gridSpan w:val="3"/>
            <w:noWrap w:val="0"/>
            <w:vAlign w:val="center"/>
          </w:tcPr>
          <w:p w14:paraId="29AEF494">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2819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1485" w:type="dxa"/>
            <w:vMerge w:val="restart"/>
            <w:noWrap w:val="0"/>
            <w:vAlign w:val="center"/>
          </w:tcPr>
          <w:p w14:paraId="005A109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联系方式</w:t>
            </w:r>
          </w:p>
        </w:tc>
        <w:tc>
          <w:tcPr>
            <w:tcW w:w="897" w:type="dxa"/>
            <w:noWrap w:val="0"/>
            <w:vAlign w:val="center"/>
          </w:tcPr>
          <w:p w14:paraId="1CDD002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联系人</w:t>
            </w:r>
          </w:p>
        </w:tc>
        <w:tc>
          <w:tcPr>
            <w:tcW w:w="2492" w:type="dxa"/>
            <w:gridSpan w:val="2"/>
            <w:noWrap w:val="0"/>
            <w:vAlign w:val="center"/>
          </w:tcPr>
          <w:p w14:paraId="7A1F704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7B9A7A9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  话</w:t>
            </w:r>
          </w:p>
        </w:tc>
        <w:tc>
          <w:tcPr>
            <w:tcW w:w="2385" w:type="dxa"/>
            <w:gridSpan w:val="3"/>
            <w:noWrap w:val="0"/>
            <w:vAlign w:val="center"/>
          </w:tcPr>
          <w:p w14:paraId="66A6231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0A0D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vMerge w:val="continue"/>
            <w:noWrap w:val="0"/>
            <w:vAlign w:val="center"/>
          </w:tcPr>
          <w:p w14:paraId="2F52E13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897" w:type="dxa"/>
            <w:noWrap w:val="0"/>
            <w:vAlign w:val="center"/>
          </w:tcPr>
          <w:p w14:paraId="4AF67B2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传  真</w:t>
            </w:r>
          </w:p>
        </w:tc>
        <w:tc>
          <w:tcPr>
            <w:tcW w:w="2492" w:type="dxa"/>
            <w:gridSpan w:val="2"/>
            <w:noWrap w:val="0"/>
            <w:vAlign w:val="center"/>
          </w:tcPr>
          <w:p w14:paraId="63F7C35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1E86FE0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电子邮箱</w:t>
            </w:r>
          </w:p>
        </w:tc>
        <w:tc>
          <w:tcPr>
            <w:tcW w:w="2385" w:type="dxa"/>
            <w:gridSpan w:val="3"/>
            <w:noWrap w:val="0"/>
            <w:vAlign w:val="center"/>
          </w:tcPr>
          <w:p w14:paraId="0D1A343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CC4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1485" w:type="dxa"/>
            <w:noWrap w:val="0"/>
            <w:vAlign w:val="center"/>
          </w:tcPr>
          <w:p w14:paraId="1D074B8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单位性质</w:t>
            </w:r>
          </w:p>
        </w:tc>
        <w:tc>
          <w:tcPr>
            <w:tcW w:w="7020" w:type="dxa"/>
            <w:gridSpan w:val="8"/>
            <w:noWrap w:val="0"/>
            <w:vAlign w:val="center"/>
          </w:tcPr>
          <w:p w14:paraId="17E2BE7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79D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61900B6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法定代表人</w:t>
            </w:r>
          </w:p>
        </w:tc>
        <w:tc>
          <w:tcPr>
            <w:tcW w:w="897" w:type="dxa"/>
            <w:noWrap w:val="0"/>
            <w:vAlign w:val="center"/>
          </w:tcPr>
          <w:p w14:paraId="0DD2431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p>
        </w:tc>
        <w:tc>
          <w:tcPr>
            <w:tcW w:w="1689" w:type="dxa"/>
            <w:noWrap w:val="0"/>
            <w:vAlign w:val="center"/>
          </w:tcPr>
          <w:p w14:paraId="6B968462">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noWrap w:val="0"/>
            <w:vAlign w:val="center"/>
          </w:tcPr>
          <w:p w14:paraId="58E84C4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技术职称</w:t>
            </w:r>
          </w:p>
        </w:tc>
        <w:tc>
          <w:tcPr>
            <w:tcW w:w="1220" w:type="dxa"/>
            <w:gridSpan w:val="2"/>
            <w:noWrap w:val="0"/>
            <w:vAlign w:val="center"/>
          </w:tcPr>
          <w:p w14:paraId="33B8317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709" w:type="dxa"/>
            <w:noWrap w:val="0"/>
            <w:vAlign w:val="center"/>
          </w:tcPr>
          <w:p w14:paraId="6E6CA87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电话</w:t>
            </w:r>
          </w:p>
        </w:tc>
        <w:tc>
          <w:tcPr>
            <w:tcW w:w="1416" w:type="dxa"/>
            <w:noWrap w:val="0"/>
            <w:vAlign w:val="center"/>
          </w:tcPr>
          <w:p w14:paraId="6C8B591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643C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0A8DF084">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成立时间</w:t>
            </w:r>
          </w:p>
        </w:tc>
        <w:tc>
          <w:tcPr>
            <w:tcW w:w="2586" w:type="dxa"/>
            <w:gridSpan w:val="2"/>
            <w:noWrap w:val="0"/>
            <w:vAlign w:val="center"/>
          </w:tcPr>
          <w:p w14:paraId="5104AEE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4434" w:type="dxa"/>
            <w:gridSpan w:val="6"/>
            <w:noWrap w:val="0"/>
            <w:vAlign w:val="center"/>
          </w:tcPr>
          <w:p w14:paraId="21133CC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员工总人数（个）：</w:t>
            </w:r>
          </w:p>
        </w:tc>
      </w:tr>
      <w:tr w14:paraId="17A0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1485" w:type="dxa"/>
            <w:noWrap w:val="0"/>
            <w:vAlign w:val="center"/>
          </w:tcPr>
          <w:p w14:paraId="7DAA4B3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企业资质</w:t>
            </w:r>
          </w:p>
          <w:p w14:paraId="3060BCD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类型和等级</w:t>
            </w:r>
          </w:p>
        </w:tc>
        <w:tc>
          <w:tcPr>
            <w:tcW w:w="2586" w:type="dxa"/>
            <w:gridSpan w:val="2"/>
            <w:noWrap w:val="0"/>
            <w:vAlign w:val="center"/>
          </w:tcPr>
          <w:p w14:paraId="69FFFC2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restart"/>
            <w:noWrap w:val="0"/>
            <w:vAlign w:val="center"/>
          </w:tcPr>
          <w:p w14:paraId="2951E8B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其中</w:t>
            </w:r>
          </w:p>
        </w:tc>
        <w:tc>
          <w:tcPr>
            <w:tcW w:w="1929" w:type="dxa"/>
            <w:gridSpan w:val="3"/>
            <w:noWrap w:val="0"/>
            <w:vAlign w:val="center"/>
          </w:tcPr>
          <w:p w14:paraId="10A76B0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项目经理</w:t>
            </w:r>
          </w:p>
        </w:tc>
        <w:tc>
          <w:tcPr>
            <w:tcW w:w="1416" w:type="dxa"/>
            <w:noWrap w:val="0"/>
            <w:vAlign w:val="center"/>
          </w:tcPr>
          <w:p w14:paraId="31D0B562">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829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1485" w:type="dxa"/>
            <w:noWrap w:val="0"/>
            <w:vAlign w:val="center"/>
          </w:tcPr>
          <w:p w14:paraId="5B9824B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营业执照号</w:t>
            </w:r>
          </w:p>
        </w:tc>
        <w:tc>
          <w:tcPr>
            <w:tcW w:w="2586" w:type="dxa"/>
            <w:gridSpan w:val="2"/>
            <w:noWrap w:val="0"/>
            <w:vAlign w:val="center"/>
          </w:tcPr>
          <w:p w14:paraId="791A985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4D71DDB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6D1569DE">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高级职称人员</w:t>
            </w:r>
          </w:p>
        </w:tc>
        <w:tc>
          <w:tcPr>
            <w:tcW w:w="1416" w:type="dxa"/>
            <w:noWrap w:val="0"/>
            <w:vAlign w:val="center"/>
          </w:tcPr>
          <w:p w14:paraId="7D0B54C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C3B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85" w:type="dxa"/>
            <w:noWrap w:val="0"/>
            <w:vAlign w:val="center"/>
          </w:tcPr>
          <w:p w14:paraId="13245F5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注册资金</w:t>
            </w:r>
          </w:p>
        </w:tc>
        <w:tc>
          <w:tcPr>
            <w:tcW w:w="2586" w:type="dxa"/>
            <w:gridSpan w:val="2"/>
            <w:noWrap w:val="0"/>
            <w:vAlign w:val="center"/>
          </w:tcPr>
          <w:p w14:paraId="4BBE96E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7B0EB2E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1D277CA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中级职称人员</w:t>
            </w:r>
          </w:p>
        </w:tc>
        <w:tc>
          <w:tcPr>
            <w:tcW w:w="1416" w:type="dxa"/>
            <w:noWrap w:val="0"/>
            <w:vAlign w:val="center"/>
          </w:tcPr>
          <w:p w14:paraId="5DB1AC0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802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jc w:val="center"/>
        </w:trPr>
        <w:tc>
          <w:tcPr>
            <w:tcW w:w="1485" w:type="dxa"/>
            <w:noWrap w:val="0"/>
            <w:vAlign w:val="center"/>
          </w:tcPr>
          <w:p w14:paraId="10815DE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0FBBE56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开户银行</w:t>
            </w:r>
          </w:p>
        </w:tc>
        <w:tc>
          <w:tcPr>
            <w:tcW w:w="2586" w:type="dxa"/>
            <w:gridSpan w:val="2"/>
            <w:noWrap w:val="0"/>
            <w:vAlign w:val="center"/>
          </w:tcPr>
          <w:p w14:paraId="7177D23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102FD1A0">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03E2601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初级职称人员</w:t>
            </w:r>
          </w:p>
        </w:tc>
        <w:tc>
          <w:tcPr>
            <w:tcW w:w="1416" w:type="dxa"/>
            <w:noWrap w:val="0"/>
            <w:vAlign w:val="center"/>
          </w:tcPr>
          <w:p w14:paraId="59C9DAB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54D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jc w:val="center"/>
        </w:trPr>
        <w:tc>
          <w:tcPr>
            <w:tcW w:w="1485" w:type="dxa"/>
            <w:noWrap w:val="0"/>
            <w:vAlign w:val="center"/>
          </w:tcPr>
          <w:p w14:paraId="7059B49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4476743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银行账号</w:t>
            </w:r>
          </w:p>
        </w:tc>
        <w:tc>
          <w:tcPr>
            <w:tcW w:w="2586" w:type="dxa"/>
            <w:gridSpan w:val="2"/>
            <w:noWrap w:val="0"/>
            <w:vAlign w:val="center"/>
          </w:tcPr>
          <w:p w14:paraId="375D098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6520508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573D844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技术员</w:t>
            </w:r>
          </w:p>
        </w:tc>
        <w:tc>
          <w:tcPr>
            <w:tcW w:w="1416" w:type="dxa"/>
            <w:noWrap w:val="0"/>
            <w:vAlign w:val="center"/>
          </w:tcPr>
          <w:p w14:paraId="3B0533B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6491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5" w:type="dxa"/>
            <w:noWrap w:val="0"/>
            <w:vAlign w:val="center"/>
          </w:tcPr>
          <w:p w14:paraId="6BDB8E90">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经营范围</w:t>
            </w:r>
          </w:p>
        </w:tc>
        <w:tc>
          <w:tcPr>
            <w:tcW w:w="7020" w:type="dxa"/>
            <w:gridSpan w:val="8"/>
            <w:noWrap w:val="0"/>
            <w:vAlign w:val="center"/>
          </w:tcPr>
          <w:p w14:paraId="2CA0F450">
            <w:pPr>
              <w:pStyle w:val="63"/>
              <w:wordWrap w:val="0"/>
              <w:adjustRightInd w:val="0"/>
              <w:snapToGrid w:val="0"/>
              <w:spacing w:line="360" w:lineRule="auto"/>
              <w:jc w:val="left"/>
              <w:rPr>
                <w:rFonts w:hint="eastAsia" w:ascii="宋体" w:hAnsi="宋体" w:eastAsia="宋体" w:cs="宋体"/>
                <w:snapToGrid w:val="0"/>
                <w:color w:val="auto"/>
                <w:kern w:val="0"/>
                <w:szCs w:val="21"/>
                <w:highlight w:val="none"/>
              </w:rPr>
            </w:pPr>
          </w:p>
        </w:tc>
      </w:tr>
      <w:tr w14:paraId="52E8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1485" w:type="dxa"/>
            <w:noWrap w:val="0"/>
            <w:vAlign w:val="center"/>
          </w:tcPr>
          <w:p w14:paraId="4E31F12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关联企业情况</w:t>
            </w:r>
          </w:p>
        </w:tc>
        <w:tc>
          <w:tcPr>
            <w:tcW w:w="7020" w:type="dxa"/>
            <w:gridSpan w:val="8"/>
            <w:noWrap w:val="0"/>
            <w:vAlign w:val="center"/>
          </w:tcPr>
          <w:p w14:paraId="61991BD2">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包括但不限于与投标人存在以下关系的不同单位：</w:t>
            </w:r>
          </w:p>
          <w:p w14:paraId="25823A94">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法定代表人为同一人的。</w:t>
            </w:r>
          </w:p>
          <w:p w14:paraId="4A80F19E">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2</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存在控股、管理关系的。</w:t>
            </w:r>
          </w:p>
          <w:p w14:paraId="546624C5">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主要人员相互任职的。</w:t>
            </w:r>
          </w:p>
        </w:tc>
      </w:tr>
      <w:tr w14:paraId="116F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85" w:type="dxa"/>
            <w:noWrap w:val="0"/>
            <w:vAlign w:val="center"/>
          </w:tcPr>
          <w:p w14:paraId="584EA06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备注</w:t>
            </w:r>
          </w:p>
        </w:tc>
        <w:tc>
          <w:tcPr>
            <w:tcW w:w="7020" w:type="dxa"/>
            <w:gridSpan w:val="8"/>
            <w:noWrap w:val="0"/>
            <w:vAlign w:val="center"/>
          </w:tcPr>
          <w:p w14:paraId="124B712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bl>
    <w:p w14:paraId="4939D955">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说明：</w:t>
      </w:r>
    </w:p>
    <w:p w14:paraId="2014D061">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bookmarkStart w:id="320" w:name="_Toc32526"/>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《投标人基本情况表》后应附以下资料：</w:t>
      </w:r>
      <w:bookmarkEnd w:id="320"/>
    </w:p>
    <w:p w14:paraId="5FC0DE77">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（1）企业营业执照、资质证书、安全生产许可证的</w:t>
      </w:r>
      <w:r>
        <w:rPr>
          <w:rFonts w:hint="eastAsia" w:ascii="宋体" w:hAnsi="宋体" w:eastAsia="宋体" w:cs="宋体"/>
          <w:snapToGrid w:val="0"/>
          <w:color w:val="auto"/>
          <w:kern w:val="0"/>
          <w:szCs w:val="21"/>
          <w:highlight w:val="none"/>
          <w:lang w:val="en-US" w:eastAsia="zh-CN"/>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 “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r>
        <w:rPr>
          <w:rFonts w:hint="eastAsia" w:ascii="宋体" w:hAnsi="宋体" w:eastAsia="宋体" w:cs="宋体"/>
          <w:snapToGrid w:val="0"/>
          <w:color w:val="auto"/>
          <w:kern w:val="0"/>
          <w:szCs w:val="21"/>
          <w:highlight w:val="none"/>
        </w:rPr>
        <w:t>；</w:t>
      </w:r>
    </w:p>
    <w:p w14:paraId="07D556BE">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（2）“进粤企业和人员诚信信</w:t>
      </w:r>
      <w:r>
        <w:rPr>
          <w:rFonts w:hint="eastAsia" w:ascii="宋体" w:hAnsi="宋体" w:eastAsia="宋体" w:cs="宋体"/>
          <w:snapToGrid w:val="0"/>
          <w:color w:val="auto"/>
          <w:kern w:val="0"/>
          <w:highlight w:val="none"/>
        </w:rPr>
        <w:t>息登记平台”企业信息情况打印页彩色扫描件或网页截图。（适用于省外建筑企业）；</w:t>
      </w:r>
    </w:p>
    <w:p w14:paraId="0280223A">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highlight w:val="none"/>
        </w:rPr>
        <w:t>《法人和非法人组织公共信用信息报告》(在“信用中国”网站企业查询界面中下载) 。</w:t>
      </w:r>
    </w:p>
    <w:p w14:paraId="17DD4076">
      <w:pPr>
        <w:pStyle w:val="6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highlight w:val="none"/>
        </w:rPr>
      </w:pPr>
    </w:p>
    <w:p w14:paraId="426AAF63">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1" w:name="_Toc8882"/>
      <w:bookmarkStart w:id="322" w:name="_Toc15417"/>
      <w:r>
        <w:rPr>
          <w:rFonts w:hint="eastAsia" w:ascii="宋体" w:hAnsi="宋体" w:eastAsia="宋体" w:cs="宋体"/>
          <w:b/>
          <w:bCs/>
          <w:color w:val="auto"/>
          <w:spacing w:val="-11"/>
          <w:sz w:val="24"/>
          <w:szCs w:val="24"/>
          <w:highlight w:val="none"/>
          <w:lang w:val="en-US" w:eastAsia="zh-CN"/>
        </w:rPr>
        <w:t>格式七   项目经理简历表</w:t>
      </w:r>
      <w:bookmarkEnd w:id="321"/>
      <w:bookmarkEnd w:id="322"/>
    </w:p>
    <w:tbl>
      <w:tblPr>
        <w:tblStyle w:val="24"/>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CB61F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B56E75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7A85DF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183A7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D4225F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CA00F7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119A79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9C63A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D5BABF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A3C9DB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96336A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4FF960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BA84E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484DC2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E0CC2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E1C2C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C4DCE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E576E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B9EDB8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95D6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3C2143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3413EC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63FE25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0952E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1CBA6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EC89A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A7962D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A928A3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653F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2674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345822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D82C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49ADCE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09924B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2DC386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475D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2ABFA7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520A4C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A91C04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A2077B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518EA9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AF2ECC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80BA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C3E40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2E7052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82ABA0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6DB0CB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856575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2617E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F5CA8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CB66F2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F1A1B4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75A39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5F9564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4D19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2E536B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6CEDCDC0">
      <w:pPr>
        <w:jc w:val="center"/>
        <w:rPr>
          <w:rFonts w:hint="eastAsia" w:ascii="宋体" w:hAnsi="宋体" w:eastAsia="宋体" w:cs="宋体"/>
          <w:b/>
          <w:bCs/>
          <w:sz w:val="30"/>
          <w:szCs w:val="30"/>
        </w:rPr>
      </w:pPr>
      <w:bookmarkStart w:id="323" w:name="_Toc30114"/>
      <w:r>
        <w:rPr>
          <w:rFonts w:hint="eastAsia" w:ascii="宋体" w:hAnsi="宋体" w:eastAsia="宋体" w:cs="宋体"/>
          <w:b/>
          <w:bCs/>
          <w:sz w:val="30"/>
          <w:szCs w:val="30"/>
        </w:rPr>
        <w:t>项目经理简历表</w:t>
      </w:r>
      <w:bookmarkEnd w:id="323"/>
    </w:p>
    <w:p w14:paraId="5C260890">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7A758A19">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0CE73ABD">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113DCC34">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3F546439">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A2A543C">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59A691F7">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说明：《项目经理简历表》后应附拟派项目经理以下资料：</w:t>
      </w:r>
    </w:p>
    <w:p w14:paraId="5C22EF16">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bookmarkStart w:id="324" w:name="_Toc950"/>
      <w:r>
        <w:rPr>
          <w:rFonts w:hint="eastAsia" w:ascii="宋体" w:hAnsi="宋体" w:eastAsia="宋体" w:cs="宋体"/>
          <w:snapToGrid w:val="0"/>
          <w:color w:val="auto"/>
          <w:kern w:val="0"/>
          <w:sz w:val="21"/>
          <w:szCs w:val="28"/>
          <w:highlight w:val="none"/>
        </w:rPr>
        <w:t>1</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身份证彩色扫描件；</w:t>
      </w:r>
      <w:bookmarkEnd w:id="324"/>
    </w:p>
    <w:p w14:paraId="137698AC">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建造师电子注册证书（在使用有效期内的有效电子证书）；</w:t>
      </w:r>
    </w:p>
    <w:p w14:paraId="2F647E35">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B类安全生产考核合格证书彩色扫描件或广东省建筑施工企业管理人员安全生产考核系统考核合格信息；</w:t>
      </w:r>
    </w:p>
    <w:p w14:paraId="6A6DA73D">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4</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至少一个月，其中必须有2025年</w:t>
      </w:r>
      <w:r>
        <w:rPr>
          <w:rFonts w:hint="eastAsia" w:ascii="宋体" w:hAnsi="宋体" w:eastAsia="宋体" w:cs="宋体"/>
          <w:snapToGrid w:val="0"/>
          <w:color w:val="auto"/>
          <w:kern w:val="0"/>
          <w:sz w:val="21"/>
          <w:szCs w:val="28"/>
          <w:highlight w:val="none"/>
          <w:lang w:val="en-US" w:eastAsia="zh-CN"/>
        </w:rPr>
        <w:t>7</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）彩色扫描件。拟派项目经理为退休返聘人员无法提供社保证明的，提供退休证和劳动合同彩色扫描件。</w:t>
      </w:r>
    </w:p>
    <w:p w14:paraId="1A0A328B">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szCs w:val="28"/>
          <w:highlight w:val="none"/>
        </w:rPr>
        <w:t>5</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highlight w:val="none"/>
        </w:rPr>
        <w:t>“进粤企业和人员诚信信息登记平台”个人（项目经理等）信息情况截图。（适用于省外建筑企业）</w:t>
      </w:r>
    </w:p>
    <w:p w14:paraId="3BC740CB">
      <w:pPr>
        <w:rPr>
          <w:rFonts w:hint="eastAsia" w:ascii="宋体" w:hAnsi="宋体" w:eastAsia="宋体" w:cs="宋体"/>
        </w:rPr>
      </w:pPr>
    </w:p>
    <w:p w14:paraId="78BD32D6">
      <w:pPr>
        <w:rPr>
          <w:rFonts w:hint="eastAsia" w:ascii="宋体" w:hAnsi="宋体" w:eastAsia="宋体" w:cs="宋体"/>
        </w:rPr>
      </w:pPr>
    </w:p>
    <w:p w14:paraId="5A2A6006">
      <w:pPr>
        <w:rPr>
          <w:rFonts w:hint="eastAsia" w:ascii="宋体" w:hAnsi="宋体" w:eastAsia="宋体" w:cs="宋体"/>
        </w:rPr>
      </w:pPr>
    </w:p>
    <w:p w14:paraId="79CFF234">
      <w:pPr>
        <w:rPr>
          <w:rFonts w:hint="eastAsia" w:ascii="宋体" w:hAnsi="宋体" w:eastAsia="宋体" w:cs="宋体"/>
        </w:rPr>
      </w:pPr>
    </w:p>
    <w:p w14:paraId="161307C0">
      <w:pPr>
        <w:rPr>
          <w:rFonts w:hint="eastAsia" w:ascii="宋体" w:hAnsi="宋体" w:eastAsia="宋体" w:cs="宋体"/>
        </w:rPr>
      </w:pPr>
    </w:p>
    <w:p w14:paraId="53B5F7AD">
      <w:pPr>
        <w:rPr>
          <w:rFonts w:hint="eastAsia" w:ascii="宋体" w:hAnsi="宋体" w:eastAsia="宋体" w:cs="宋体"/>
        </w:rPr>
      </w:pPr>
    </w:p>
    <w:p w14:paraId="18551E3D">
      <w:pPr>
        <w:rPr>
          <w:rFonts w:hint="eastAsia" w:ascii="宋体" w:hAnsi="宋体" w:eastAsia="宋体" w:cs="宋体"/>
        </w:rPr>
      </w:pPr>
    </w:p>
    <w:p w14:paraId="582DBCE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5" w:name="_Toc17035"/>
      <w:bookmarkStart w:id="326" w:name="_Toc25955"/>
      <w:r>
        <w:rPr>
          <w:rFonts w:hint="eastAsia" w:ascii="宋体" w:hAnsi="宋体" w:eastAsia="宋体" w:cs="宋体"/>
          <w:b/>
          <w:bCs/>
          <w:color w:val="auto"/>
          <w:spacing w:val="-11"/>
          <w:sz w:val="24"/>
          <w:szCs w:val="24"/>
          <w:highlight w:val="none"/>
          <w:lang w:val="en-US" w:eastAsia="zh-CN"/>
        </w:rPr>
        <w:t>格式八   项目经理任职声明</w:t>
      </w:r>
      <w:bookmarkEnd w:id="325"/>
      <w:bookmarkEnd w:id="326"/>
    </w:p>
    <w:p w14:paraId="6509A88D">
      <w:pPr>
        <w:wordWrap w:val="0"/>
        <w:adjustRightInd w:val="0"/>
        <w:snapToGrid w:val="0"/>
        <w:spacing w:before="260" w:after="260" w:line="360" w:lineRule="auto"/>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73DA9097">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99AA83C">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5575BC8B">
      <w:pPr>
        <w:wordWrap w:val="0"/>
        <w:adjustRightInd w:val="0"/>
        <w:snapToGrid w:val="0"/>
        <w:spacing w:line="360" w:lineRule="auto"/>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60348B3F">
      <w:pPr>
        <w:wordWrap w:val="0"/>
        <w:adjustRightInd w:val="0"/>
        <w:snapToGrid w:val="0"/>
        <w:spacing w:line="360" w:lineRule="auto"/>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10BE7076">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5BFD446E">
      <w:pPr>
        <w:rPr>
          <w:rFonts w:hint="eastAsia" w:ascii="宋体" w:hAnsi="宋体" w:eastAsia="宋体" w:cs="宋体"/>
        </w:rPr>
      </w:pPr>
      <w:r>
        <w:rPr>
          <w:rFonts w:hint="eastAsia" w:ascii="宋体" w:hAnsi="宋体" w:eastAsia="宋体" w:cs="宋体"/>
          <w:snapToGrid w:val="0"/>
          <w:color w:val="auto"/>
          <w:kern w:val="0"/>
          <w:szCs w:val="28"/>
          <w:highlight w:val="none"/>
        </w:rPr>
        <w:t>　</w:t>
      </w:r>
    </w:p>
    <w:p w14:paraId="37BD09A4">
      <w:pPr>
        <w:rPr>
          <w:rFonts w:hint="eastAsia" w:ascii="宋体" w:hAnsi="宋体" w:eastAsia="宋体" w:cs="宋体"/>
        </w:rPr>
      </w:pPr>
      <w:r>
        <w:rPr>
          <w:rFonts w:hint="eastAsia" w:ascii="宋体" w:hAnsi="宋体" w:eastAsia="宋体" w:cs="宋体"/>
        </w:rPr>
        <w:t>　</w:t>
      </w:r>
    </w:p>
    <w:p w14:paraId="38BA62EC">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2D3E5E4F">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4EE621C8">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1BD82FD6">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3E30BC6E">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2EEA4A8A">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1CBEEDFF">
      <w:pPr>
        <w:rPr>
          <w:rFonts w:hint="eastAsia" w:ascii="宋体" w:hAnsi="宋体" w:eastAsia="宋体" w:cs="宋体"/>
        </w:rPr>
      </w:pPr>
    </w:p>
    <w:p w14:paraId="4C3B3340">
      <w:pPr>
        <w:rPr>
          <w:rFonts w:hint="eastAsia" w:ascii="宋体" w:hAnsi="宋体" w:eastAsia="宋体" w:cs="宋体"/>
        </w:rPr>
      </w:pPr>
    </w:p>
    <w:p w14:paraId="3085189B">
      <w:pPr>
        <w:rPr>
          <w:rFonts w:hint="eastAsia" w:ascii="宋体" w:hAnsi="宋体" w:eastAsia="宋体" w:cs="宋体"/>
        </w:rPr>
      </w:pPr>
    </w:p>
    <w:p w14:paraId="28919134">
      <w:pPr>
        <w:rPr>
          <w:rFonts w:hint="eastAsia" w:ascii="宋体" w:hAnsi="宋体" w:eastAsia="宋体" w:cs="宋体"/>
        </w:rPr>
      </w:pPr>
    </w:p>
    <w:p w14:paraId="6F63443F">
      <w:pPr>
        <w:rPr>
          <w:rFonts w:hint="eastAsia" w:ascii="宋体" w:hAnsi="宋体" w:eastAsia="宋体" w:cs="宋体"/>
        </w:rPr>
      </w:pPr>
    </w:p>
    <w:p w14:paraId="7826462E">
      <w:pPr>
        <w:rPr>
          <w:rFonts w:hint="eastAsia" w:ascii="宋体" w:hAnsi="宋体" w:eastAsia="宋体" w:cs="宋体"/>
        </w:rPr>
      </w:pPr>
    </w:p>
    <w:p w14:paraId="47844A6D">
      <w:pPr>
        <w:rPr>
          <w:rFonts w:hint="eastAsia" w:ascii="宋体" w:hAnsi="宋体" w:eastAsia="宋体" w:cs="宋体"/>
        </w:rPr>
      </w:pPr>
    </w:p>
    <w:p w14:paraId="0AC09AE7">
      <w:pPr>
        <w:rPr>
          <w:rFonts w:hint="eastAsia" w:ascii="宋体" w:hAnsi="宋体" w:eastAsia="宋体" w:cs="宋体"/>
        </w:rPr>
      </w:pPr>
    </w:p>
    <w:p w14:paraId="08929D72">
      <w:pPr>
        <w:rPr>
          <w:rFonts w:hint="eastAsia" w:ascii="宋体" w:hAnsi="宋体" w:eastAsia="宋体" w:cs="宋体"/>
        </w:rPr>
      </w:pPr>
    </w:p>
    <w:p w14:paraId="7B5D25EE">
      <w:pPr>
        <w:rPr>
          <w:rFonts w:hint="eastAsia" w:ascii="宋体" w:hAnsi="宋体" w:eastAsia="宋体" w:cs="宋体"/>
        </w:rPr>
      </w:pPr>
    </w:p>
    <w:p w14:paraId="3341094E">
      <w:pPr>
        <w:rPr>
          <w:rFonts w:hint="eastAsia" w:ascii="宋体" w:hAnsi="宋体" w:eastAsia="宋体" w:cs="宋体"/>
        </w:rPr>
      </w:pPr>
    </w:p>
    <w:p w14:paraId="37995BE5">
      <w:pPr>
        <w:rPr>
          <w:rFonts w:hint="eastAsia" w:ascii="宋体" w:hAnsi="宋体" w:eastAsia="宋体" w:cs="宋体"/>
        </w:rPr>
      </w:pPr>
    </w:p>
    <w:p w14:paraId="3F9FE769">
      <w:pPr>
        <w:rPr>
          <w:rFonts w:hint="eastAsia" w:ascii="宋体" w:hAnsi="宋体" w:eastAsia="宋体" w:cs="宋体"/>
        </w:rPr>
      </w:pPr>
    </w:p>
    <w:p w14:paraId="6B60A7C9">
      <w:pPr>
        <w:rPr>
          <w:rFonts w:hint="eastAsia" w:ascii="宋体" w:hAnsi="宋体" w:eastAsia="宋体" w:cs="宋体"/>
        </w:rPr>
      </w:pPr>
    </w:p>
    <w:p w14:paraId="217BAFFE">
      <w:pPr>
        <w:rPr>
          <w:rFonts w:hint="eastAsia" w:ascii="宋体" w:hAnsi="宋体" w:eastAsia="宋体" w:cs="宋体"/>
        </w:rPr>
      </w:pPr>
    </w:p>
    <w:p w14:paraId="35AEEA01">
      <w:pPr>
        <w:rPr>
          <w:rFonts w:hint="eastAsia" w:ascii="宋体" w:hAnsi="宋体" w:eastAsia="宋体" w:cs="宋体"/>
        </w:rPr>
      </w:pPr>
    </w:p>
    <w:p w14:paraId="377F15E3">
      <w:pPr>
        <w:rPr>
          <w:rFonts w:hint="eastAsia" w:ascii="宋体" w:hAnsi="宋体" w:eastAsia="宋体" w:cs="宋体"/>
        </w:rPr>
      </w:pPr>
    </w:p>
    <w:p w14:paraId="262F290D">
      <w:pPr>
        <w:rPr>
          <w:rFonts w:hint="eastAsia" w:ascii="宋体" w:hAnsi="宋体" w:eastAsia="宋体" w:cs="宋体"/>
        </w:rPr>
      </w:pPr>
    </w:p>
    <w:p w14:paraId="2C8F7B84">
      <w:pPr>
        <w:rPr>
          <w:rFonts w:hint="eastAsia" w:ascii="宋体" w:hAnsi="宋体" w:eastAsia="宋体" w:cs="宋体"/>
        </w:rPr>
      </w:pPr>
    </w:p>
    <w:p w14:paraId="06F11753">
      <w:pPr>
        <w:rPr>
          <w:rFonts w:hint="eastAsia" w:ascii="宋体" w:hAnsi="宋体" w:eastAsia="宋体" w:cs="宋体"/>
        </w:rPr>
      </w:pPr>
    </w:p>
    <w:p w14:paraId="6089CE80">
      <w:pPr>
        <w:rPr>
          <w:rFonts w:hint="eastAsia" w:ascii="宋体" w:hAnsi="宋体" w:eastAsia="宋体" w:cs="宋体"/>
        </w:rPr>
      </w:pPr>
    </w:p>
    <w:p w14:paraId="2331CFC2">
      <w:pPr>
        <w:rPr>
          <w:rFonts w:hint="eastAsia" w:ascii="宋体" w:hAnsi="宋体" w:eastAsia="宋体" w:cs="宋体"/>
        </w:rPr>
      </w:pPr>
    </w:p>
    <w:p w14:paraId="1BAA40A1">
      <w:pPr>
        <w:rPr>
          <w:rFonts w:hint="eastAsia" w:ascii="宋体" w:hAnsi="宋体" w:eastAsia="宋体" w:cs="宋体"/>
        </w:rPr>
      </w:pPr>
    </w:p>
    <w:p w14:paraId="1AA3FA13">
      <w:pPr>
        <w:rPr>
          <w:rFonts w:hint="eastAsia" w:ascii="宋体" w:hAnsi="宋体" w:eastAsia="宋体" w:cs="宋体"/>
        </w:rPr>
      </w:pPr>
    </w:p>
    <w:p w14:paraId="7451E2F5">
      <w:pPr>
        <w:rPr>
          <w:rFonts w:hint="eastAsia" w:ascii="宋体" w:hAnsi="宋体" w:eastAsia="宋体" w:cs="宋体"/>
        </w:rPr>
      </w:pPr>
    </w:p>
    <w:p w14:paraId="7EE4AA48">
      <w:pPr>
        <w:rPr>
          <w:rFonts w:hint="eastAsia" w:ascii="宋体" w:hAnsi="宋体" w:eastAsia="宋体" w:cs="宋体"/>
        </w:rPr>
      </w:pPr>
    </w:p>
    <w:p w14:paraId="2707167B">
      <w:pPr>
        <w:rPr>
          <w:rFonts w:hint="eastAsia" w:ascii="宋体" w:hAnsi="宋体" w:eastAsia="宋体" w:cs="宋体"/>
        </w:rPr>
      </w:pPr>
    </w:p>
    <w:p w14:paraId="4B8AAD1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7" w:name="_Toc4068"/>
      <w:bookmarkStart w:id="328" w:name="_Toc8772"/>
      <w:r>
        <w:rPr>
          <w:rFonts w:hint="eastAsia" w:ascii="宋体" w:hAnsi="宋体" w:eastAsia="宋体" w:cs="宋体"/>
          <w:b/>
          <w:bCs/>
          <w:color w:val="auto"/>
          <w:spacing w:val="-11"/>
          <w:sz w:val="24"/>
          <w:szCs w:val="24"/>
          <w:highlight w:val="none"/>
          <w:lang w:val="en-US" w:eastAsia="zh-CN"/>
        </w:rPr>
        <w:t>格式九   项目技术负责人简历表</w:t>
      </w:r>
      <w:bookmarkEnd w:id="327"/>
      <w:bookmarkEnd w:id="328"/>
    </w:p>
    <w:tbl>
      <w:tblPr>
        <w:tblStyle w:val="24"/>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F00A1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F005AA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34B5C2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100075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E8C331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8E7004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DE8732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CC5B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8FB1AA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F88072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4DF9C1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1F6F54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A2AD93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1B398F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B59E0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E6442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98466A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444F55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754BA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6561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04EB1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763CE6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2E3735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DE7A2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0F15C6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988C70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10AE0A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16F6DF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74706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1C0AF0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F073AC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0E1BF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6F4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BC93EE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8D9E38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B949A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D28FB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D49D7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F199F2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C84DDC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B8329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C7E88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E75E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4C2D1F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0F5D4B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DB15AD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4D9472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DE736F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1564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EC02F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0C1A9E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9262A6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A3951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B9CF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721B06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F26481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0FE2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9844E9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25EFA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EFD264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580E22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BA089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1AA13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6A4A1EF9">
      <w:pPr>
        <w:jc w:val="center"/>
        <w:rPr>
          <w:rFonts w:hint="eastAsia" w:ascii="宋体" w:hAnsi="宋体" w:eastAsia="宋体" w:cs="宋体"/>
          <w:b/>
          <w:bCs/>
          <w:sz w:val="30"/>
          <w:szCs w:val="30"/>
        </w:rPr>
      </w:pPr>
      <w:r>
        <w:rPr>
          <w:rFonts w:hint="eastAsia" w:ascii="宋体" w:hAnsi="宋体" w:eastAsia="宋体" w:cs="宋体"/>
          <w:b/>
          <w:bCs/>
          <w:sz w:val="30"/>
          <w:szCs w:val="30"/>
        </w:rPr>
        <w:t>项目技术负责人简历表</w:t>
      </w:r>
    </w:p>
    <w:p w14:paraId="228E9C15">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458C4862">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3C1852E4">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755BB5DB">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6D0F59C6">
      <w:pPr>
        <w:pStyle w:val="61"/>
        <w:wordWrap w:val="0"/>
        <w:adjustRightInd w:val="0"/>
        <w:snapToGrid w:val="0"/>
        <w:spacing w:line="360" w:lineRule="auto"/>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CE31011">
      <w:pPr>
        <w:wordWrap w:val="0"/>
        <w:adjustRightInd w:val="0"/>
        <w:snapToGrid w:val="0"/>
        <w:spacing w:line="360" w:lineRule="auto"/>
        <w:rPr>
          <w:rFonts w:hint="eastAsia" w:ascii="宋体" w:hAnsi="宋体" w:eastAsia="宋体" w:cs="宋体"/>
          <w:snapToGrid w:val="0"/>
          <w:color w:val="auto"/>
          <w:kern w:val="0"/>
          <w:szCs w:val="28"/>
          <w:highlight w:val="none"/>
        </w:rPr>
      </w:pPr>
    </w:p>
    <w:p w14:paraId="7459C7E0">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说明：《项目技术负责人简历表》后应附拟派项目技术负责人以下资料：</w:t>
      </w:r>
    </w:p>
    <w:p w14:paraId="2A5C91F2">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身份证彩色扫描件；</w:t>
      </w:r>
    </w:p>
    <w:p w14:paraId="4F1CEC20">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职称证彩色扫描件；</w:t>
      </w:r>
    </w:p>
    <w:p w14:paraId="7B9E03D8">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至少一个月，其中必须有2025年</w:t>
      </w:r>
      <w:r>
        <w:rPr>
          <w:rFonts w:hint="eastAsia" w:ascii="宋体" w:hAnsi="宋体" w:eastAsia="宋体" w:cs="宋体"/>
          <w:snapToGrid w:val="0"/>
          <w:color w:val="auto"/>
          <w:kern w:val="0"/>
          <w:sz w:val="21"/>
          <w:szCs w:val="28"/>
          <w:highlight w:val="none"/>
          <w:lang w:val="en-US" w:eastAsia="zh-CN"/>
        </w:rPr>
        <w:t>7</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）彩色扫描件。拟派项目技术负责人为退休返聘人员无法提供社保证明的，提供退休证和劳动合同彩色扫描件。</w:t>
      </w:r>
    </w:p>
    <w:p w14:paraId="25EDB8F3">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lang w:val="en-US" w:eastAsia="zh-CN"/>
        </w:rPr>
        <w:t>4.</w:t>
      </w:r>
      <w:r>
        <w:rPr>
          <w:rFonts w:hint="eastAsia" w:ascii="宋体" w:hAnsi="宋体" w:eastAsia="宋体" w:cs="宋体"/>
          <w:snapToGrid w:val="0"/>
          <w:color w:val="auto"/>
          <w:kern w:val="0"/>
          <w:sz w:val="21"/>
          <w:highlight w:val="none"/>
        </w:rPr>
        <w:t>“进粤企业和人员诚信信息登记平台”个人信息情况截图。（适用于省外建筑企业）</w:t>
      </w:r>
    </w:p>
    <w:p w14:paraId="0956FBE8">
      <w:pPr>
        <w:rPr>
          <w:rFonts w:hint="eastAsia" w:ascii="宋体" w:hAnsi="宋体" w:eastAsia="宋体" w:cs="宋体"/>
          <w:color w:val="auto"/>
        </w:rPr>
      </w:pPr>
    </w:p>
    <w:p w14:paraId="371F329B">
      <w:pPr>
        <w:rPr>
          <w:rFonts w:hint="eastAsia" w:ascii="宋体" w:hAnsi="宋体" w:eastAsia="宋体" w:cs="宋体"/>
          <w:color w:val="auto"/>
        </w:rPr>
      </w:pPr>
    </w:p>
    <w:p w14:paraId="1480D69F">
      <w:pPr>
        <w:rPr>
          <w:rFonts w:hint="eastAsia" w:ascii="宋体" w:hAnsi="宋体" w:eastAsia="宋体" w:cs="宋体"/>
          <w:color w:val="auto"/>
        </w:rPr>
      </w:pPr>
    </w:p>
    <w:p w14:paraId="3C0655B6">
      <w:pPr>
        <w:rPr>
          <w:rFonts w:hint="eastAsia" w:ascii="宋体" w:hAnsi="宋体" w:eastAsia="宋体" w:cs="宋体"/>
          <w:color w:val="auto"/>
        </w:rPr>
      </w:pPr>
    </w:p>
    <w:p w14:paraId="5247B84D">
      <w:pPr>
        <w:rPr>
          <w:rFonts w:hint="eastAsia" w:ascii="宋体" w:hAnsi="宋体" w:eastAsia="宋体" w:cs="宋体"/>
          <w:color w:val="auto"/>
        </w:rPr>
      </w:pPr>
    </w:p>
    <w:p w14:paraId="4BD7C232">
      <w:pPr>
        <w:rPr>
          <w:rFonts w:hint="eastAsia" w:ascii="宋体" w:hAnsi="宋体" w:eastAsia="宋体" w:cs="宋体"/>
          <w:color w:val="auto"/>
        </w:rPr>
      </w:pPr>
    </w:p>
    <w:p w14:paraId="21BBE282">
      <w:pPr>
        <w:rPr>
          <w:rFonts w:hint="eastAsia" w:ascii="宋体" w:hAnsi="宋体" w:eastAsia="宋体" w:cs="宋体"/>
          <w:color w:val="auto"/>
        </w:rPr>
      </w:pPr>
    </w:p>
    <w:p w14:paraId="3DBC95A9">
      <w:pPr>
        <w:rPr>
          <w:rFonts w:hint="eastAsia" w:ascii="宋体" w:hAnsi="宋体" w:eastAsia="宋体" w:cs="宋体"/>
          <w:color w:val="auto"/>
        </w:rPr>
      </w:pPr>
    </w:p>
    <w:p w14:paraId="228DC66D">
      <w:pPr>
        <w:rPr>
          <w:rFonts w:hint="eastAsia" w:ascii="宋体" w:hAnsi="宋体" w:eastAsia="宋体" w:cs="宋体"/>
          <w:color w:val="auto"/>
        </w:rPr>
      </w:pPr>
    </w:p>
    <w:bookmarkEnd w:id="300"/>
    <w:bookmarkEnd w:id="301"/>
    <w:p w14:paraId="29CBAFA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9" w:name="_Toc6074"/>
      <w:bookmarkStart w:id="330" w:name="_Toc20506"/>
      <w:bookmarkStart w:id="331" w:name="_Toc30872"/>
      <w:bookmarkStart w:id="332" w:name="_Toc14261309"/>
      <w:bookmarkStart w:id="333" w:name="_Toc8264"/>
      <w:bookmarkStart w:id="334" w:name="_Toc200338098"/>
      <w:r>
        <w:rPr>
          <w:rFonts w:hint="eastAsia" w:ascii="宋体" w:hAnsi="宋体" w:eastAsia="宋体" w:cs="宋体"/>
          <w:b/>
          <w:bCs/>
          <w:color w:val="auto"/>
          <w:spacing w:val="-11"/>
          <w:sz w:val="24"/>
          <w:szCs w:val="24"/>
          <w:highlight w:val="none"/>
          <w:lang w:val="en-US" w:eastAsia="zh-CN"/>
        </w:rPr>
        <w:t>格式</w:t>
      </w:r>
      <w:bookmarkStart w:id="335" w:name="_Hlt287950384"/>
      <w:bookmarkEnd w:id="335"/>
      <w:r>
        <w:rPr>
          <w:rFonts w:hint="eastAsia" w:ascii="宋体" w:hAnsi="宋体" w:eastAsia="宋体" w:cs="宋体"/>
          <w:b/>
          <w:bCs/>
          <w:color w:val="auto"/>
          <w:spacing w:val="-11"/>
          <w:sz w:val="24"/>
          <w:szCs w:val="24"/>
          <w:highlight w:val="none"/>
          <w:lang w:val="en-US" w:eastAsia="zh-CN"/>
        </w:rPr>
        <w:t>十   项目管理机构组成表</w:t>
      </w:r>
      <w:bookmarkEnd w:id="329"/>
      <w:bookmarkEnd w:id="330"/>
      <w:bookmarkEnd w:id="331"/>
      <w:bookmarkEnd w:id="332"/>
    </w:p>
    <w:p w14:paraId="62B89F36">
      <w:pPr>
        <w:jc w:val="center"/>
        <w:rPr>
          <w:rFonts w:hint="eastAsia" w:ascii="宋体" w:hAnsi="宋体" w:eastAsia="宋体" w:cs="宋体"/>
          <w:b/>
          <w:bCs/>
          <w:color w:val="auto"/>
          <w:sz w:val="30"/>
          <w:szCs w:val="30"/>
        </w:rPr>
      </w:pPr>
      <w:bookmarkStart w:id="336" w:name="_Toc14261751"/>
      <w:bookmarkStart w:id="337" w:name="_Toc23063"/>
      <w:r>
        <w:rPr>
          <w:rFonts w:hint="eastAsia" w:ascii="宋体" w:hAnsi="宋体" w:eastAsia="宋体" w:cs="宋体"/>
          <w:b/>
          <w:bCs/>
          <w:color w:val="auto"/>
          <w:sz w:val="30"/>
          <w:szCs w:val="30"/>
        </w:rPr>
        <w:t>项目管理机构组成表</w:t>
      </w:r>
      <w:bookmarkEnd w:id="336"/>
      <w:bookmarkEnd w:id="337"/>
    </w:p>
    <w:tbl>
      <w:tblPr>
        <w:tblStyle w:val="24"/>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10AF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6319B8C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E0A2AA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93B419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F69596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71EAF56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C21F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135D58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7CFC5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F3F43F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510B71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2CB22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96924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D7334A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ED2356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302414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50360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337B26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15604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77E88E5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6A6B0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58496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075410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AAD5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D6DBD1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130F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B01F99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70D401B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2A049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8D771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56AA8A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B22661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C8F325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6F738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24905C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660B00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4789C3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66529B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5DEDF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EE8788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3CB84C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199F4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DEA964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A0B31A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27F6B8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4FC9F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D807F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9B2733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CE1706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7BD3E7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6981A5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3BC5B1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CBFA0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354A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4132B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72891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DDC65F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164DE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EE05B1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E16E6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56539F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72489F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906DA7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DA4AC7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D5E9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A782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FE2FC8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35A70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B152D9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F73081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A73660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6D4FEB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4CC08A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08D0A145">
      <w:pPr>
        <w:pStyle w:val="60"/>
        <w:widowControl w:val="0"/>
        <w:wordWrap w:val="0"/>
        <w:adjustRightInd w:val="0"/>
        <w:snapToGrid w:val="0"/>
        <w:spacing w:line="360" w:lineRule="auto"/>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说明：</w:t>
      </w:r>
    </w:p>
    <w:p w14:paraId="31EA20B3">
      <w:pPr>
        <w:pStyle w:val="60"/>
        <w:widowControl w:val="0"/>
        <w:wordWrap w:val="0"/>
        <w:adjustRightInd w:val="0"/>
        <w:snapToGrid w:val="0"/>
        <w:spacing w:line="360" w:lineRule="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lang w:eastAsia="zh-CN"/>
        </w:rPr>
        <w:t>.</w:t>
      </w:r>
      <w:r>
        <w:rPr>
          <w:rFonts w:hint="eastAsia" w:ascii="宋体" w:hAnsi="宋体" w:eastAsia="宋体" w:cs="宋体"/>
          <w:snapToGrid w:val="0"/>
          <w:color w:val="auto"/>
          <w:sz w:val="21"/>
          <w:highlight w:val="none"/>
        </w:rPr>
        <w:t>《项目管理机构组成表》后应附表中拟派人员（项目经理、项目技术负责人</w:t>
      </w:r>
      <w:r>
        <w:rPr>
          <w:rFonts w:hint="eastAsia" w:ascii="宋体" w:hAnsi="宋体" w:eastAsia="宋体" w:cs="宋体"/>
          <w:snapToGrid w:val="0"/>
          <w:color w:val="auto"/>
          <w:sz w:val="21"/>
          <w:highlight w:val="none"/>
          <w:lang w:val="en-US" w:eastAsia="zh-CN"/>
        </w:rPr>
        <w:t>除外</w:t>
      </w:r>
      <w:r>
        <w:rPr>
          <w:rFonts w:hint="eastAsia" w:ascii="宋体" w:hAnsi="宋体" w:eastAsia="宋体" w:cs="宋体"/>
          <w:snapToGrid w:val="0"/>
          <w:color w:val="auto"/>
          <w:sz w:val="21"/>
          <w:highlight w:val="none"/>
        </w:rPr>
        <w:t>）以下资料：</w:t>
      </w:r>
    </w:p>
    <w:p w14:paraId="55F8A514">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（1）身份证彩色扫描件；</w:t>
      </w:r>
    </w:p>
    <w:p w14:paraId="5F3551B1">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职称证彩色扫描件（如有）</w:t>
      </w:r>
      <w:r>
        <w:rPr>
          <w:rFonts w:hint="eastAsia" w:ascii="宋体" w:hAnsi="宋体" w:eastAsia="宋体" w:cs="宋体"/>
          <w:snapToGrid w:val="0"/>
          <w:color w:val="auto"/>
          <w:kern w:val="0"/>
          <w:sz w:val="21"/>
          <w:szCs w:val="28"/>
          <w:highlight w:val="none"/>
        </w:rPr>
        <w:t>；</w:t>
      </w:r>
    </w:p>
    <w:p w14:paraId="7FD54262">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0"/>
          <w:highlight w:val="none"/>
          <w:lang w:val="en-US" w:eastAsia="zh-CN" w:bidi="ar-SA"/>
        </w:rPr>
        <w:t>至少一个月，其中必须有2025年7月）彩</w:t>
      </w:r>
      <w:r>
        <w:rPr>
          <w:rFonts w:hint="eastAsia" w:ascii="宋体" w:hAnsi="宋体" w:eastAsia="宋体" w:cs="宋体"/>
          <w:snapToGrid w:val="0"/>
          <w:color w:val="auto"/>
          <w:kern w:val="0"/>
          <w:sz w:val="21"/>
          <w:szCs w:val="28"/>
          <w:highlight w:val="none"/>
        </w:rPr>
        <w:t>色扫描件。拟派人员为退休返聘人员无法提供社保证明的，提供退休证和劳动合同彩色扫描件。</w:t>
      </w:r>
    </w:p>
    <w:p w14:paraId="6817F90A">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lang w:eastAsia="zh-CN"/>
        </w:rPr>
        <w:t>（</w:t>
      </w:r>
      <w:r>
        <w:rPr>
          <w:rFonts w:hint="eastAsia" w:ascii="宋体" w:hAnsi="宋体" w:eastAsia="宋体" w:cs="宋体"/>
          <w:snapToGrid w:val="0"/>
          <w:color w:val="auto"/>
          <w:kern w:val="0"/>
          <w:sz w:val="21"/>
          <w:highlight w:val="none"/>
          <w:lang w:val="en-US" w:eastAsia="zh-CN"/>
        </w:rPr>
        <w:t>4）</w:t>
      </w:r>
      <w:r>
        <w:rPr>
          <w:rFonts w:hint="eastAsia" w:ascii="宋体" w:hAnsi="宋体" w:eastAsia="宋体" w:cs="宋体"/>
          <w:snapToGrid w:val="0"/>
          <w:color w:val="auto"/>
          <w:kern w:val="0"/>
          <w:sz w:val="21"/>
          <w:highlight w:val="none"/>
        </w:rPr>
        <w:t>“进粤企业和人员诚信信息登记平台”个人信息情况截图。（适用于省外建筑企业）</w:t>
      </w:r>
    </w:p>
    <w:p w14:paraId="4667087B">
      <w:pPr>
        <w:rPr>
          <w:rFonts w:hint="eastAsia" w:ascii="宋体" w:hAnsi="宋体" w:eastAsia="宋体" w:cs="宋体"/>
          <w:color w:val="auto"/>
        </w:rPr>
      </w:pPr>
    </w:p>
    <w:p w14:paraId="74B6BA64">
      <w:pPr>
        <w:rPr>
          <w:rFonts w:hint="eastAsia" w:ascii="宋体" w:hAnsi="宋体" w:eastAsia="宋体" w:cs="宋体"/>
          <w:color w:val="auto"/>
        </w:rPr>
      </w:pPr>
    </w:p>
    <w:bookmarkEnd w:id="333"/>
    <w:bookmarkEnd w:id="334"/>
    <w:p w14:paraId="2C1C66D0">
      <w:pPr>
        <w:rPr>
          <w:rFonts w:hint="eastAsia" w:ascii="宋体" w:hAnsi="宋体" w:eastAsia="宋体" w:cs="宋体"/>
          <w:color w:val="auto"/>
        </w:rPr>
      </w:pPr>
      <w:bookmarkStart w:id="338" w:name="_Toc36804690"/>
    </w:p>
    <w:p w14:paraId="5D18D537">
      <w:pPr>
        <w:rPr>
          <w:rFonts w:hint="eastAsia" w:ascii="宋体" w:hAnsi="宋体" w:eastAsia="宋体" w:cs="宋体"/>
          <w:color w:val="auto"/>
        </w:rPr>
      </w:pPr>
    </w:p>
    <w:p w14:paraId="74EF7274">
      <w:pPr>
        <w:rPr>
          <w:rFonts w:hint="eastAsia" w:ascii="宋体" w:hAnsi="宋体" w:eastAsia="宋体" w:cs="宋体"/>
          <w:color w:val="auto"/>
        </w:rPr>
      </w:pPr>
    </w:p>
    <w:p w14:paraId="0E056B22">
      <w:pPr>
        <w:rPr>
          <w:rFonts w:hint="eastAsia" w:ascii="宋体" w:hAnsi="宋体" w:eastAsia="宋体" w:cs="宋体"/>
          <w:color w:val="auto"/>
        </w:rPr>
      </w:pPr>
    </w:p>
    <w:p w14:paraId="644B6F4D">
      <w:pPr>
        <w:rPr>
          <w:rFonts w:hint="eastAsia" w:ascii="宋体" w:hAnsi="宋体" w:eastAsia="宋体" w:cs="宋体"/>
          <w:color w:val="auto"/>
        </w:rPr>
      </w:pPr>
    </w:p>
    <w:p w14:paraId="0100F5D5">
      <w:pPr>
        <w:rPr>
          <w:rFonts w:hint="eastAsia" w:ascii="宋体" w:hAnsi="宋体" w:eastAsia="宋体" w:cs="宋体"/>
          <w:color w:val="auto"/>
        </w:rPr>
      </w:pPr>
    </w:p>
    <w:p w14:paraId="23A9867A">
      <w:pPr>
        <w:rPr>
          <w:rFonts w:hint="eastAsia" w:ascii="宋体" w:hAnsi="宋体" w:eastAsia="宋体" w:cs="宋体"/>
          <w:color w:val="auto"/>
        </w:rPr>
      </w:pPr>
    </w:p>
    <w:p w14:paraId="14C67C6C">
      <w:pPr>
        <w:rPr>
          <w:rFonts w:hint="eastAsia" w:ascii="宋体" w:hAnsi="宋体" w:eastAsia="宋体" w:cs="宋体"/>
          <w:color w:val="auto"/>
        </w:rPr>
      </w:pPr>
    </w:p>
    <w:p w14:paraId="1C1BD0BE">
      <w:pPr>
        <w:rPr>
          <w:rFonts w:hint="eastAsia" w:ascii="宋体" w:hAnsi="宋体" w:eastAsia="宋体" w:cs="宋体"/>
          <w:color w:val="auto"/>
        </w:rPr>
      </w:pPr>
    </w:p>
    <w:p w14:paraId="1B77EE0B">
      <w:pPr>
        <w:rPr>
          <w:rFonts w:hint="eastAsia" w:ascii="宋体" w:hAnsi="宋体" w:eastAsia="宋体" w:cs="宋体"/>
          <w:color w:val="auto"/>
        </w:rPr>
      </w:pPr>
    </w:p>
    <w:p w14:paraId="18DCF815">
      <w:pPr>
        <w:rPr>
          <w:rFonts w:hint="eastAsia" w:ascii="宋体" w:hAnsi="宋体" w:eastAsia="宋体" w:cs="宋体"/>
        </w:rPr>
      </w:pPr>
    </w:p>
    <w:p w14:paraId="436BB0BF">
      <w:pPr>
        <w:rPr>
          <w:rFonts w:hint="eastAsia" w:ascii="宋体" w:hAnsi="宋体" w:eastAsia="宋体" w:cs="宋体"/>
        </w:rPr>
      </w:pPr>
    </w:p>
    <w:p w14:paraId="59AF0E7F">
      <w:pPr>
        <w:rPr>
          <w:rFonts w:hint="eastAsia" w:ascii="宋体" w:hAnsi="宋体" w:eastAsia="宋体" w:cs="宋体"/>
        </w:rPr>
      </w:pPr>
    </w:p>
    <w:p w14:paraId="493B07A4">
      <w:pPr>
        <w:rPr>
          <w:rFonts w:hint="eastAsia" w:ascii="宋体" w:hAnsi="宋体" w:eastAsia="宋体" w:cs="宋体"/>
        </w:rPr>
      </w:pPr>
    </w:p>
    <w:p w14:paraId="33F88684">
      <w:pPr>
        <w:rPr>
          <w:rFonts w:hint="eastAsia" w:ascii="宋体" w:hAnsi="宋体" w:eastAsia="宋体" w:cs="宋体"/>
        </w:rPr>
      </w:pPr>
    </w:p>
    <w:p w14:paraId="21A8B33C">
      <w:pPr>
        <w:rPr>
          <w:rFonts w:hint="eastAsia" w:ascii="宋体" w:hAnsi="宋体" w:eastAsia="宋体" w:cs="宋体"/>
        </w:rPr>
      </w:pPr>
    </w:p>
    <w:p w14:paraId="038F0315">
      <w:pPr>
        <w:rPr>
          <w:rFonts w:hint="eastAsia" w:ascii="宋体" w:hAnsi="宋体" w:eastAsia="宋体" w:cs="宋体"/>
        </w:rPr>
      </w:pPr>
    </w:p>
    <w:p w14:paraId="17688EDC">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39" w:name="_Toc14131"/>
      <w:r>
        <w:rPr>
          <w:rFonts w:hint="eastAsia" w:ascii="宋体" w:hAnsi="宋体" w:eastAsia="宋体" w:cs="宋体"/>
          <w:b/>
          <w:bCs/>
          <w:color w:val="auto"/>
          <w:spacing w:val="-11"/>
          <w:sz w:val="24"/>
          <w:szCs w:val="24"/>
          <w:highlight w:val="none"/>
          <w:lang w:val="en-US" w:eastAsia="zh-CN"/>
        </w:rPr>
        <w:t>格式十一   建造师查询页（有效期+建造师签字）</w:t>
      </w:r>
      <w:bookmarkEnd w:id="339"/>
    </w:p>
    <w:p w14:paraId="7D361745">
      <w:pPr>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drawing>
          <wp:inline distT="0" distB="0" distL="114300" distR="114300">
            <wp:extent cx="6073775" cy="8491220"/>
            <wp:effectExtent l="0" t="0" r="3175" b="5080"/>
            <wp:docPr id="4" name="图片 113"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3" descr="b7c3fa9a6b84aa75afaa6419d149817"/>
                    <pic:cNvPicPr>
                      <a:picLocks noChangeAspect="1"/>
                    </pic:cNvPicPr>
                  </pic:nvPicPr>
                  <pic:blipFill>
                    <a:blip r:embed="rId32"/>
                    <a:stretch>
                      <a:fillRect/>
                    </a:stretch>
                  </pic:blipFill>
                  <pic:spPr>
                    <a:xfrm>
                      <a:off x="0" y="0"/>
                      <a:ext cx="6073775" cy="8491220"/>
                    </a:xfrm>
                    <a:prstGeom prst="rect">
                      <a:avLst/>
                    </a:prstGeom>
                    <a:noFill/>
                    <a:ln>
                      <a:noFill/>
                    </a:ln>
                  </pic:spPr>
                </pic:pic>
              </a:graphicData>
            </a:graphic>
          </wp:inline>
        </w:drawing>
      </w:r>
    </w:p>
    <w:p w14:paraId="5233E5D8">
      <w:pPr>
        <w:rPr>
          <w:rFonts w:hint="eastAsia" w:ascii="宋体" w:hAnsi="宋体" w:eastAsia="宋体" w:cs="宋体"/>
          <w:snapToGrid w:val="0"/>
          <w:color w:val="auto"/>
          <w:sz w:val="21"/>
          <w:highlight w:val="none"/>
        </w:rPr>
      </w:pPr>
    </w:p>
    <w:p w14:paraId="5FBC33E1">
      <w:pPr>
        <w:rPr>
          <w:rFonts w:hint="eastAsia" w:ascii="宋体" w:hAnsi="宋体" w:eastAsia="宋体" w:cs="宋体"/>
          <w:snapToGrid w:val="0"/>
          <w:color w:val="auto"/>
          <w:sz w:val="21"/>
          <w:highlight w:val="none"/>
        </w:rPr>
      </w:pPr>
    </w:p>
    <w:p w14:paraId="3B43CCC4">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088380" cy="6311265"/>
            <wp:effectExtent l="0" t="0" r="7620" b="13335"/>
            <wp:docPr id="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4"/>
                    <pic:cNvPicPr>
                      <a:picLocks noChangeAspect="1"/>
                    </pic:cNvPicPr>
                  </pic:nvPicPr>
                  <pic:blipFill>
                    <a:blip r:embed="rId33"/>
                    <a:stretch>
                      <a:fillRect/>
                    </a:stretch>
                  </pic:blipFill>
                  <pic:spPr>
                    <a:xfrm>
                      <a:off x="0" y="0"/>
                      <a:ext cx="6088380" cy="6311265"/>
                    </a:xfrm>
                    <a:prstGeom prst="rect">
                      <a:avLst/>
                    </a:prstGeom>
                    <a:noFill/>
                    <a:ln>
                      <a:noFill/>
                    </a:ln>
                  </pic:spPr>
                </pic:pic>
              </a:graphicData>
            </a:graphic>
          </wp:inline>
        </w:drawing>
      </w:r>
    </w:p>
    <w:p w14:paraId="50E74E37">
      <w:pPr>
        <w:rPr>
          <w:rFonts w:hint="eastAsia" w:ascii="宋体" w:hAnsi="宋体" w:eastAsia="宋体" w:cs="宋体"/>
          <w:color w:val="auto"/>
          <w:highlight w:val="none"/>
        </w:rPr>
      </w:pPr>
    </w:p>
    <w:p w14:paraId="24137043">
      <w:pPr>
        <w:rPr>
          <w:rFonts w:hint="eastAsia" w:ascii="宋体" w:hAnsi="宋体" w:eastAsia="宋体" w:cs="宋体"/>
        </w:rPr>
      </w:pPr>
    </w:p>
    <w:p w14:paraId="77AA41E2">
      <w:pPr>
        <w:rPr>
          <w:rFonts w:hint="eastAsia" w:ascii="宋体" w:hAnsi="宋体" w:eastAsia="宋体" w:cs="宋体"/>
        </w:rPr>
      </w:pPr>
    </w:p>
    <w:p w14:paraId="2CBC0C8B">
      <w:pPr>
        <w:rPr>
          <w:rFonts w:hint="eastAsia" w:ascii="宋体" w:hAnsi="宋体" w:eastAsia="宋体" w:cs="宋体"/>
        </w:rPr>
      </w:pPr>
    </w:p>
    <w:p w14:paraId="44EC900C">
      <w:pPr>
        <w:rPr>
          <w:rFonts w:hint="eastAsia" w:ascii="宋体" w:hAnsi="宋体" w:eastAsia="宋体" w:cs="宋体"/>
        </w:rPr>
      </w:pPr>
    </w:p>
    <w:p w14:paraId="00EC1A2A">
      <w:pPr>
        <w:rPr>
          <w:rFonts w:hint="eastAsia" w:ascii="宋体" w:hAnsi="宋体" w:eastAsia="宋体" w:cs="宋体"/>
        </w:rPr>
      </w:pPr>
    </w:p>
    <w:p w14:paraId="2F8241EE">
      <w:pPr>
        <w:rPr>
          <w:rFonts w:hint="eastAsia" w:ascii="宋体" w:hAnsi="宋体" w:eastAsia="宋体" w:cs="宋体"/>
        </w:rPr>
      </w:pPr>
    </w:p>
    <w:p w14:paraId="798C45DD">
      <w:pPr>
        <w:rPr>
          <w:rFonts w:hint="eastAsia" w:ascii="宋体" w:hAnsi="宋体" w:eastAsia="宋体" w:cs="宋体"/>
        </w:rPr>
      </w:pPr>
    </w:p>
    <w:p w14:paraId="36C9709B">
      <w:pPr>
        <w:rPr>
          <w:rFonts w:hint="eastAsia" w:ascii="宋体" w:hAnsi="宋体" w:eastAsia="宋体" w:cs="宋体"/>
        </w:rPr>
      </w:pPr>
    </w:p>
    <w:p w14:paraId="4B6CCB7E">
      <w:pPr>
        <w:rPr>
          <w:rFonts w:hint="eastAsia" w:ascii="宋体" w:hAnsi="宋体" w:eastAsia="宋体" w:cs="宋体"/>
        </w:rPr>
      </w:pPr>
    </w:p>
    <w:p w14:paraId="07F606DA">
      <w:pPr>
        <w:rPr>
          <w:rFonts w:hint="eastAsia" w:ascii="宋体" w:hAnsi="宋体" w:eastAsia="宋体" w:cs="宋体"/>
        </w:rPr>
      </w:pPr>
    </w:p>
    <w:p w14:paraId="4AE815E4">
      <w:pPr>
        <w:rPr>
          <w:rFonts w:hint="eastAsia" w:ascii="宋体" w:hAnsi="宋体" w:eastAsia="宋体" w:cs="宋体"/>
        </w:rPr>
      </w:pPr>
    </w:p>
    <w:p w14:paraId="6FD2E8AF">
      <w:pPr>
        <w:rPr>
          <w:rFonts w:hint="eastAsia" w:ascii="宋体" w:hAnsi="宋体" w:eastAsia="宋体" w:cs="宋体"/>
        </w:rPr>
      </w:pPr>
    </w:p>
    <w:p w14:paraId="69D3EEE5">
      <w:pPr>
        <w:rPr>
          <w:rFonts w:hint="eastAsia" w:ascii="宋体" w:hAnsi="宋体" w:eastAsia="宋体" w:cs="宋体"/>
        </w:rPr>
      </w:pPr>
    </w:p>
    <w:p w14:paraId="7ECC2CAE">
      <w:pPr>
        <w:rPr>
          <w:rFonts w:hint="eastAsia" w:ascii="宋体" w:hAnsi="宋体" w:eastAsia="宋体" w:cs="宋体"/>
        </w:rPr>
      </w:pPr>
    </w:p>
    <w:p w14:paraId="566192B7">
      <w:pPr>
        <w:rPr>
          <w:rFonts w:hint="eastAsia" w:ascii="宋体" w:hAnsi="宋体" w:eastAsia="宋体" w:cs="宋体"/>
        </w:rPr>
      </w:pPr>
    </w:p>
    <w:p w14:paraId="184A4199">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0" w:name="_Toc16953"/>
      <w:bookmarkStart w:id="341" w:name="_Toc4208"/>
      <w:r>
        <w:rPr>
          <w:rFonts w:hint="eastAsia" w:ascii="宋体" w:hAnsi="宋体" w:eastAsia="宋体" w:cs="宋体"/>
          <w:b/>
          <w:bCs/>
          <w:color w:val="auto"/>
          <w:spacing w:val="-11"/>
          <w:sz w:val="24"/>
          <w:szCs w:val="24"/>
          <w:highlight w:val="none"/>
          <w:lang w:val="en-US" w:eastAsia="zh-CN"/>
        </w:rPr>
        <w:t>格式十二</w:t>
      </w:r>
      <w:bookmarkEnd w:id="340"/>
      <w:r>
        <w:rPr>
          <w:rFonts w:hint="eastAsia" w:ascii="宋体" w:hAnsi="宋体" w:eastAsia="宋体" w:cs="宋体"/>
          <w:b/>
          <w:bCs/>
          <w:color w:val="auto"/>
          <w:spacing w:val="-11"/>
          <w:sz w:val="24"/>
          <w:szCs w:val="24"/>
          <w:highlight w:val="none"/>
          <w:lang w:val="en-US" w:eastAsia="zh-CN"/>
        </w:rPr>
        <w:t xml:space="preserve">   危险性较大的分部分项工程清单及超过一定规模的危险性较大的分部分项工程清单</w:t>
      </w:r>
      <w:bookmarkEnd w:id="341"/>
    </w:p>
    <w:p w14:paraId="3C04293C">
      <w:pPr>
        <w:pStyle w:val="10"/>
        <w:spacing w:before="101" w:line="360" w:lineRule="auto"/>
        <w:ind w:left="3259" w:right="41" w:hanging="3213"/>
        <w:rPr>
          <w:rFonts w:hint="eastAsia" w:ascii="宋体" w:hAnsi="宋体" w:eastAsia="宋体" w:cs="宋体"/>
          <w:color w:val="auto"/>
          <w:sz w:val="28"/>
          <w:szCs w:val="28"/>
          <w:highlight w:val="none"/>
        </w:rPr>
      </w:pPr>
      <w:r>
        <w:rPr>
          <w:rFonts w:hint="eastAsia" w:ascii="宋体" w:hAnsi="宋体" w:eastAsia="宋体" w:cs="宋体"/>
          <w:b/>
          <w:bCs/>
          <w:color w:val="auto"/>
          <w:spacing w:val="7"/>
          <w:sz w:val="28"/>
          <w:szCs w:val="28"/>
          <w:highlight w:val="none"/>
        </w:rPr>
        <w:t>危险性较大的分部分项工程清单及超过一定规模的危险性较大的</w:t>
      </w:r>
      <w:r>
        <w:rPr>
          <w:rFonts w:hint="eastAsia" w:ascii="宋体" w:hAnsi="宋体" w:eastAsia="宋体" w:cs="宋体"/>
          <w:b/>
          <w:bCs/>
          <w:color w:val="auto"/>
          <w:spacing w:val="5"/>
          <w:sz w:val="28"/>
          <w:szCs w:val="28"/>
          <w:highlight w:val="none"/>
        </w:rPr>
        <w:t>分部分项工程清单</w:t>
      </w:r>
    </w:p>
    <w:p w14:paraId="0F06CFE4">
      <w:pPr>
        <w:pStyle w:val="10"/>
        <w:spacing w:before="6" w:line="360" w:lineRule="auto"/>
        <w:ind w:left="5" w:firstLine="492"/>
        <w:rPr>
          <w:rFonts w:hint="eastAsia" w:ascii="宋体" w:hAnsi="宋体" w:eastAsia="宋体" w:cs="宋体"/>
          <w:color w:val="auto"/>
          <w:highlight w:val="none"/>
        </w:rPr>
      </w:pPr>
      <w:r>
        <w:rPr>
          <w:rFonts w:hint="eastAsia" w:ascii="宋体" w:hAnsi="宋体" w:eastAsia="宋体" w:cs="宋体"/>
          <w:color w:val="auto"/>
          <w:spacing w:val="-1"/>
          <w:highlight w:val="none"/>
        </w:rPr>
        <w:t>1、根据中华人民共和国住房和城乡建设部令第37号《危险性较大的分部分项工程</w:t>
      </w:r>
      <w:r>
        <w:rPr>
          <w:rFonts w:hint="eastAsia" w:ascii="宋体" w:hAnsi="宋体" w:eastAsia="宋体" w:cs="宋体"/>
          <w:color w:val="auto"/>
          <w:spacing w:val="8"/>
          <w:highlight w:val="none"/>
        </w:rPr>
        <w:t xml:space="preserve"> </w:t>
      </w:r>
      <w:r>
        <w:rPr>
          <w:rFonts w:hint="eastAsia" w:ascii="宋体" w:hAnsi="宋体" w:eastAsia="宋体" w:cs="宋体"/>
          <w:color w:val="auto"/>
          <w:spacing w:val="-2"/>
          <w:highlight w:val="none"/>
        </w:rPr>
        <w:t>安全管理规定》（以下简称“37号文</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2"/>
          <w:highlight w:val="none"/>
        </w:rPr>
        <w:t>”</w:t>
      </w:r>
      <w:r>
        <w:rPr>
          <w:rFonts w:hint="eastAsia" w:ascii="宋体" w:hAnsi="宋体" w:eastAsia="宋体" w:cs="宋体"/>
          <w:color w:val="auto"/>
          <w:spacing w:val="-11"/>
          <w:highlight w:val="none"/>
        </w:rPr>
        <w:t>），</w:t>
      </w:r>
      <w:r>
        <w:rPr>
          <w:rFonts w:hint="eastAsia" w:ascii="宋体" w:hAnsi="宋体" w:eastAsia="宋体" w:cs="宋体"/>
          <w:color w:val="auto"/>
          <w:spacing w:val="-2"/>
          <w:highlight w:val="none"/>
        </w:rPr>
        <w:t>投标人在投标时须补充完善危大工程清单并</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明确相应的安全管理措施。</w:t>
      </w:r>
    </w:p>
    <w:p w14:paraId="66587309">
      <w:pPr>
        <w:pStyle w:val="10"/>
        <w:spacing w:before="208" w:line="360" w:lineRule="auto"/>
        <w:ind w:left="1" w:firstLine="481"/>
        <w:rPr>
          <w:rFonts w:hint="eastAsia" w:ascii="宋体" w:hAnsi="宋体" w:eastAsia="宋体" w:cs="宋体"/>
          <w:color w:val="auto"/>
          <w:highlight w:val="none"/>
        </w:rPr>
      </w:pPr>
      <w:r>
        <w:rPr>
          <w:rFonts w:hint="eastAsia" w:ascii="宋体" w:hAnsi="宋体" w:eastAsia="宋体" w:cs="宋体"/>
          <w:color w:val="auto"/>
          <w:spacing w:val="-2"/>
          <w:highlight w:val="none"/>
        </w:rPr>
        <w:t>2、招标人根据设计文件的要求及37号文、粤建规范〔2019〕2号文的规定列出“危</w:t>
      </w:r>
      <w:r>
        <w:rPr>
          <w:rFonts w:hint="eastAsia" w:ascii="宋体" w:hAnsi="宋体" w:eastAsia="宋体" w:cs="宋体"/>
          <w:color w:val="auto"/>
          <w:spacing w:val="18"/>
          <w:highlight w:val="none"/>
        </w:rPr>
        <w:t xml:space="preserve"> </w:t>
      </w:r>
      <w:r>
        <w:rPr>
          <w:rFonts w:hint="eastAsia" w:ascii="宋体" w:hAnsi="宋体" w:eastAsia="宋体" w:cs="宋体"/>
          <w:color w:val="auto"/>
          <w:spacing w:val="-2"/>
          <w:highlight w:val="none"/>
        </w:rPr>
        <w:t>险性较大的分部分项工程清单及超过一定规模的危</w:t>
      </w:r>
      <w:r>
        <w:rPr>
          <w:rFonts w:hint="eastAsia" w:ascii="宋体" w:hAnsi="宋体" w:eastAsia="宋体" w:cs="宋体"/>
          <w:color w:val="auto"/>
          <w:spacing w:val="-3"/>
          <w:highlight w:val="none"/>
        </w:rPr>
        <w:t>险性较大的分部分项工程清单</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3"/>
          <w:highlight w:val="none"/>
        </w:rPr>
        <w:t>”中与</w:t>
      </w:r>
      <w:r>
        <w:rPr>
          <w:rFonts w:hint="eastAsia" w:ascii="宋体" w:hAnsi="宋体" w:eastAsia="宋体" w:cs="宋体"/>
          <w:color w:val="auto"/>
          <w:highlight w:val="none"/>
        </w:rPr>
        <w:t xml:space="preserve"> </w:t>
      </w:r>
      <w:r>
        <w:rPr>
          <w:rFonts w:hint="eastAsia" w:ascii="宋体" w:hAnsi="宋体" w:eastAsia="宋体" w:cs="宋体"/>
          <w:color w:val="auto"/>
          <w:spacing w:val="-5"/>
          <w:highlight w:val="none"/>
        </w:rPr>
        <w:t>本招标项目相关的清单项，具体详见第5点“打</w:t>
      </w:r>
      <w:r>
        <w:rPr>
          <w:rFonts w:hint="eastAsia" w:ascii="宋体" w:hAnsi="宋体" w:eastAsia="宋体" w:cs="宋体"/>
          <w:color w:val="auto"/>
          <w:spacing w:val="-34"/>
          <w:highlight w:val="none"/>
        </w:rPr>
        <w:t xml:space="preserve"> </w:t>
      </w:r>
      <w:r>
        <w:rPr>
          <w:rFonts w:hint="eastAsia" w:ascii="宋体" w:hAnsi="宋体" w:eastAsia="宋体" w:cs="宋体"/>
          <w:color w:val="auto"/>
          <w:spacing w:val="-5"/>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5"/>
          <w:highlight w:val="none"/>
        </w:rPr>
        <w:t>”标识。</w:t>
      </w:r>
    </w:p>
    <w:p w14:paraId="688A95F4">
      <w:pPr>
        <w:pStyle w:val="10"/>
        <w:spacing w:before="208" w:line="360" w:lineRule="auto"/>
        <w:ind w:left="3" w:right="72" w:firstLine="488"/>
        <w:rPr>
          <w:rFonts w:hint="eastAsia" w:ascii="宋体" w:hAnsi="宋体" w:eastAsia="宋体" w:cs="宋体"/>
          <w:color w:val="auto"/>
          <w:highlight w:val="none"/>
        </w:rPr>
      </w:pPr>
      <w:r>
        <w:rPr>
          <w:rFonts w:hint="eastAsia" w:ascii="宋体" w:hAnsi="宋体" w:eastAsia="宋体" w:cs="宋体"/>
          <w:color w:val="auto"/>
          <w:spacing w:val="-3"/>
          <w:highlight w:val="none"/>
        </w:rPr>
        <w:t>（1）投标单位同意建设单位在清单中标识的该</w:t>
      </w:r>
      <w:r>
        <w:rPr>
          <w:rFonts w:hint="eastAsia" w:ascii="宋体" w:hAnsi="宋体" w:eastAsia="宋体" w:cs="宋体"/>
          <w:color w:val="auto"/>
          <w:spacing w:val="-4"/>
          <w:highlight w:val="none"/>
        </w:rPr>
        <w:t>项请在对应项打“</w:t>
      </w:r>
      <w:r>
        <w:rPr>
          <w:rFonts w:hint="eastAsia" w:ascii="宋体" w:hAnsi="宋体" w:eastAsia="宋体" w:cs="宋体"/>
          <w:color w:val="auto"/>
          <w:spacing w:val="-51"/>
          <w:highlight w:val="none"/>
        </w:rPr>
        <w:t xml:space="preserve"> </w:t>
      </w:r>
      <w:r>
        <w:rPr>
          <w:rFonts w:hint="eastAsia" w:ascii="宋体" w:hAnsi="宋体" w:eastAsia="宋体" w:cs="宋体"/>
          <w:color w:val="auto"/>
          <w:spacing w:val="-4"/>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4"/>
          <w:highlight w:val="none"/>
        </w:rPr>
        <w:t>”标识，并与</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投标文件中提供相应的安全管理措施。</w:t>
      </w:r>
    </w:p>
    <w:p w14:paraId="10A3F36C">
      <w:pPr>
        <w:pStyle w:val="10"/>
        <w:spacing w:before="206" w:line="360" w:lineRule="auto"/>
        <w:ind w:left="2" w:right="72" w:firstLine="489"/>
        <w:rPr>
          <w:rFonts w:hint="eastAsia" w:ascii="宋体" w:hAnsi="宋体" w:eastAsia="宋体" w:cs="宋体"/>
          <w:color w:val="auto"/>
          <w:highlight w:val="none"/>
        </w:rPr>
      </w:pPr>
      <w:r>
        <w:rPr>
          <w:rFonts w:hint="eastAsia" w:ascii="宋体" w:hAnsi="宋体" w:eastAsia="宋体" w:cs="宋体"/>
          <w:color w:val="auto"/>
          <w:spacing w:val="-3"/>
          <w:highlight w:val="none"/>
        </w:rPr>
        <w:t>（2）投标单位对清单中认为需要补充的该项请</w:t>
      </w:r>
      <w:r>
        <w:rPr>
          <w:rFonts w:hint="eastAsia" w:ascii="宋体" w:hAnsi="宋体" w:eastAsia="宋体" w:cs="宋体"/>
          <w:color w:val="auto"/>
          <w:spacing w:val="-4"/>
          <w:highlight w:val="none"/>
        </w:rPr>
        <w:t>在对应项打“</w:t>
      </w:r>
      <w:r>
        <w:rPr>
          <w:rFonts w:hint="eastAsia" w:ascii="宋体" w:hAnsi="宋体" w:eastAsia="宋体" w:cs="宋体"/>
          <w:color w:val="auto"/>
          <w:spacing w:val="-51"/>
          <w:highlight w:val="none"/>
        </w:rPr>
        <w:t xml:space="preserve"> </w:t>
      </w:r>
      <w:r>
        <w:rPr>
          <w:rFonts w:hint="eastAsia" w:ascii="宋体" w:hAnsi="宋体" w:eastAsia="宋体" w:cs="宋体"/>
          <w:color w:val="auto"/>
          <w:spacing w:val="-4"/>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4"/>
          <w:highlight w:val="none"/>
        </w:rPr>
        <w:t>”标识，并与投标</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文件中提供相应的安全管理措施。</w:t>
      </w:r>
    </w:p>
    <w:p w14:paraId="31E03A44">
      <w:pPr>
        <w:pStyle w:val="10"/>
        <w:spacing w:before="208" w:line="360" w:lineRule="auto"/>
        <w:ind w:right="72" w:firstLine="492"/>
        <w:rPr>
          <w:rFonts w:hint="eastAsia" w:ascii="宋体" w:hAnsi="宋体" w:eastAsia="宋体" w:cs="宋体"/>
          <w:color w:val="auto"/>
          <w:highlight w:val="none"/>
        </w:rPr>
      </w:pPr>
      <w:r>
        <w:rPr>
          <w:rFonts w:hint="eastAsia" w:ascii="宋体" w:hAnsi="宋体" w:eastAsia="宋体" w:cs="宋体"/>
          <w:color w:val="auto"/>
          <w:spacing w:val="-3"/>
          <w:highlight w:val="none"/>
        </w:rPr>
        <w:t>（3）投标单位不同意建设单位在清单中标识的该项请在对应项打“</w:t>
      </w:r>
      <w:r>
        <w:rPr>
          <w:rFonts w:hint="eastAsia" w:ascii="宋体" w:hAnsi="宋体" w:eastAsia="宋体" w:cs="宋体"/>
          <w:color w:val="auto"/>
          <w:spacing w:val="-66"/>
          <w:highlight w:val="none"/>
        </w:rPr>
        <w:t xml:space="preserve"> </w:t>
      </w:r>
      <w:r>
        <w:rPr>
          <w:rFonts w:hint="eastAsia" w:ascii="宋体" w:hAnsi="宋体" w:eastAsia="宋体" w:cs="宋体"/>
          <w:color w:val="auto"/>
          <w:spacing w:val="-3"/>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3"/>
          <w:highlight w:val="none"/>
        </w:rPr>
        <w:t>”标识，并</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在备注栏填上相关说明。</w:t>
      </w:r>
    </w:p>
    <w:p w14:paraId="4EFDC912">
      <w:pPr>
        <w:pStyle w:val="10"/>
        <w:spacing w:before="210" w:line="360" w:lineRule="auto"/>
        <w:ind w:firstLine="484"/>
        <w:jc w:val="both"/>
        <w:rPr>
          <w:rFonts w:hint="eastAsia" w:ascii="宋体" w:hAnsi="宋体" w:eastAsia="宋体" w:cs="宋体"/>
          <w:color w:val="auto"/>
          <w:highlight w:val="none"/>
        </w:rPr>
      </w:pPr>
      <w:r>
        <w:rPr>
          <w:rFonts w:hint="eastAsia" w:ascii="宋体" w:hAnsi="宋体" w:eastAsia="宋体" w:cs="宋体"/>
          <w:b/>
          <w:bCs/>
          <w:color w:val="auto"/>
          <w:spacing w:val="-4"/>
          <w:highlight w:val="none"/>
          <w:u w:val="single" w:color="auto"/>
        </w:rPr>
        <w:t>3、投标单位应当在投标时根据招标人提供的下述第5点清单，</w:t>
      </w:r>
      <w:r>
        <w:rPr>
          <w:rFonts w:hint="eastAsia" w:ascii="宋体" w:hAnsi="宋体" w:eastAsia="宋体" w:cs="宋体"/>
          <w:b/>
          <w:bCs/>
          <w:color w:val="auto"/>
          <w:spacing w:val="-5"/>
          <w:highlight w:val="none"/>
          <w:u w:val="single" w:color="auto"/>
        </w:rPr>
        <w:t>在投标施工组织中回</w:t>
      </w:r>
      <w:r>
        <w:rPr>
          <w:rFonts w:hint="eastAsia" w:ascii="宋体" w:hAnsi="宋体" w:eastAsia="宋体" w:cs="宋体"/>
          <w:b/>
          <w:bCs/>
          <w:color w:val="auto"/>
          <w:spacing w:val="-4"/>
          <w:highlight w:val="none"/>
          <w:u w:val="single" w:color="auto"/>
        </w:rPr>
        <w:t>应建设单位提供的危大工程清单，补充相应的安全管理措施。（为减轻标书编制</w:t>
      </w:r>
      <w:r>
        <w:rPr>
          <w:rFonts w:hint="eastAsia" w:ascii="宋体" w:hAnsi="宋体" w:eastAsia="宋体" w:cs="宋体"/>
          <w:b/>
          <w:bCs/>
          <w:color w:val="auto"/>
          <w:spacing w:val="-5"/>
          <w:highlight w:val="none"/>
          <w:u w:val="single" w:color="auto"/>
        </w:rPr>
        <w:t>的工作</w:t>
      </w:r>
      <w:r>
        <w:rPr>
          <w:rFonts w:hint="eastAsia" w:ascii="宋体" w:hAnsi="宋体" w:eastAsia="宋体" w:cs="宋体"/>
          <w:b/>
          <w:bCs/>
          <w:color w:val="auto"/>
          <w:spacing w:val="-2"/>
          <w:highlight w:val="none"/>
          <w:u w:val="single" w:color="auto"/>
        </w:rPr>
        <w:t>量，投标单位回应的危大工程清单该部分的页数应控制在3页内）</w:t>
      </w:r>
    </w:p>
    <w:p w14:paraId="06901094">
      <w:pPr>
        <w:pStyle w:val="10"/>
        <w:spacing w:before="37" w:line="360" w:lineRule="auto"/>
        <w:ind w:left="1" w:firstLine="478"/>
        <w:rPr>
          <w:rFonts w:hint="eastAsia" w:ascii="宋体" w:hAnsi="宋体" w:eastAsia="宋体" w:cs="宋体"/>
          <w:color w:val="auto"/>
          <w:highlight w:val="none"/>
        </w:rPr>
      </w:pPr>
      <w:r>
        <w:rPr>
          <w:rFonts w:hint="eastAsia" w:ascii="宋体" w:hAnsi="宋体" w:eastAsia="宋体" w:cs="宋体"/>
          <w:color w:val="auto"/>
          <w:highlight w:val="none"/>
        </w:rPr>
        <w:t>4、对于超过一定规模的危大工程，中标单位应当组织召开</w:t>
      </w:r>
      <w:r>
        <w:rPr>
          <w:rFonts w:hint="eastAsia" w:ascii="宋体" w:hAnsi="宋体" w:eastAsia="宋体" w:cs="宋体"/>
          <w:color w:val="auto"/>
          <w:spacing w:val="-1"/>
          <w:highlight w:val="none"/>
        </w:rPr>
        <w:t>专家论证会对专项施工</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方案进行论证。实行施工总承包的，由施工总承包单位组织召开专家论证会。专家论证</w:t>
      </w:r>
      <w:r>
        <w:rPr>
          <w:rFonts w:hint="eastAsia" w:ascii="宋体" w:hAnsi="宋体" w:eastAsia="宋体" w:cs="宋体"/>
          <w:color w:val="auto"/>
          <w:spacing w:val="16"/>
          <w:highlight w:val="none"/>
        </w:rPr>
        <w:t xml:space="preserve"> </w:t>
      </w:r>
      <w:r>
        <w:rPr>
          <w:rFonts w:hint="eastAsia" w:ascii="宋体" w:hAnsi="宋体" w:eastAsia="宋体" w:cs="宋体"/>
          <w:color w:val="auto"/>
          <w:spacing w:val="-1"/>
          <w:highlight w:val="none"/>
        </w:rPr>
        <w:t>前专项施工方案应当通过施工总承包单位审核和总监理工程师审查。</w:t>
      </w:r>
    </w:p>
    <w:p w14:paraId="3C5F3DD9">
      <w:pPr>
        <w:pStyle w:val="10"/>
        <w:spacing w:before="205" w:line="360" w:lineRule="auto"/>
        <w:ind w:firstLine="484"/>
        <w:rPr>
          <w:rFonts w:hint="eastAsia" w:ascii="宋体" w:hAnsi="宋体" w:eastAsia="宋体" w:cs="宋体"/>
          <w:color w:val="auto"/>
          <w:highlight w:val="none"/>
          <w:lang w:eastAsia="zh-CN"/>
        </w:rPr>
      </w:pPr>
      <w:r>
        <w:rPr>
          <w:rFonts w:hint="eastAsia" w:ascii="宋体" w:hAnsi="宋体" w:eastAsia="宋体" w:cs="宋体"/>
          <w:color w:val="auto"/>
          <w:spacing w:val="2"/>
          <w:highlight w:val="none"/>
        </w:rPr>
        <w:t>5、危险性较大的分部分项工程清单及超过一</w:t>
      </w:r>
      <w:r>
        <w:rPr>
          <w:rFonts w:hint="eastAsia" w:ascii="宋体" w:hAnsi="宋体" w:eastAsia="宋体" w:cs="宋体"/>
          <w:color w:val="auto"/>
          <w:spacing w:val="1"/>
          <w:highlight w:val="none"/>
        </w:rPr>
        <w:t>定规模的危险性较大的分部分项工程</w:t>
      </w:r>
      <w:r>
        <w:rPr>
          <w:rFonts w:hint="eastAsia" w:ascii="宋体" w:hAnsi="宋体" w:eastAsia="宋体" w:cs="宋体"/>
          <w:color w:val="auto"/>
          <w:spacing w:val="-4"/>
          <w:highlight w:val="none"/>
        </w:rPr>
        <w:t>清单</w:t>
      </w:r>
      <w:r>
        <w:rPr>
          <w:rFonts w:hint="eastAsia" w:ascii="宋体" w:hAnsi="宋体" w:eastAsia="宋体" w:cs="宋体"/>
          <w:color w:val="auto"/>
          <w:spacing w:val="-4"/>
          <w:highlight w:val="none"/>
          <w:lang w:eastAsia="zh-CN"/>
        </w:rPr>
        <w:t>。</w:t>
      </w:r>
    </w:p>
    <w:p w14:paraId="4D834F10">
      <w:pPr>
        <w:rPr>
          <w:rFonts w:hint="eastAsia"/>
        </w:rPr>
      </w:pPr>
    </w:p>
    <w:p w14:paraId="29C516F6">
      <w:pPr>
        <w:rPr>
          <w:rFonts w:hint="eastAsia"/>
          <w:lang w:val="en-US" w:eastAsia="zh-CN"/>
        </w:rPr>
      </w:pPr>
    </w:p>
    <w:p w14:paraId="7F8521A1">
      <w:pPr>
        <w:rPr>
          <w:rFonts w:hint="eastAsia"/>
          <w:lang w:val="en-US" w:eastAsia="zh-CN"/>
        </w:rPr>
      </w:pPr>
    </w:p>
    <w:p w14:paraId="6C9C6B91">
      <w:pPr>
        <w:rPr>
          <w:rFonts w:hint="eastAsia"/>
          <w:lang w:val="en-US" w:eastAsia="zh-CN"/>
        </w:rPr>
      </w:pPr>
    </w:p>
    <w:p w14:paraId="5DAF8C6D">
      <w:pPr>
        <w:rPr>
          <w:rFonts w:hint="eastAsia"/>
          <w:lang w:val="en-US" w:eastAsia="zh-CN"/>
        </w:rPr>
      </w:pPr>
    </w:p>
    <w:p w14:paraId="5A733888">
      <w:pPr>
        <w:rPr>
          <w:rFonts w:hint="eastAsia"/>
          <w:lang w:val="en-US" w:eastAsia="zh-CN"/>
        </w:rPr>
      </w:pPr>
    </w:p>
    <w:p w14:paraId="1B89D15C">
      <w:pPr>
        <w:rPr>
          <w:rFonts w:hint="eastAsia"/>
          <w:lang w:val="en-US" w:eastAsia="zh-CN"/>
        </w:rPr>
      </w:pPr>
    </w:p>
    <w:p w14:paraId="487E35EF">
      <w:pPr>
        <w:rPr>
          <w:rFonts w:hint="eastAsia"/>
          <w:lang w:val="en-US" w:eastAsia="zh-CN"/>
        </w:rPr>
      </w:pPr>
    </w:p>
    <w:p w14:paraId="58A8B20C">
      <w:pPr>
        <w:rPr>
          <w:rFonts w:hint="eastAsia"/>
          <w:lang w:val="en-US" w:eastAsia="zh-CN"/>
        </w:rPr>
      </w:pPr>
    </w:p>
    <w:p w14:paraId="4E773BE7">
      <w:pPr>
        <w:rPr>
          <w:rFonts w:hint="eastAsia"/>
          <w:lang w:val="en-US" w:eastAsia="zh-CN"/>
        </w:rPr>
      </w:pPr>
    </w:p>
    <w:p w14:paraId="28E4F02E">
      <w:pPr>
        <w:rPr>
          <w:rFonts w:hint="eastAsia"/>
          <w:lang w:val="en-US" w:eastAsia="zh-CN"/>
        </w:rPr>
      </w:pPr>
    </w:p>
    <w:p w14:paraId="6ECFFB9D">
      <w:pPr>
        <w:rPr>
          <w:rFonts w:hint="eastAsia"/>
          <w:lang w:val="en-US" w:eastAsia="zh-CN"/>
        </w:rPr>
      </w:pPr>
    </w:p>
    <w:p w14:paraId="63394A15">
      <w:pPr>
        <w:rPr>
          <w:rFonts w:hint="eastAsia"/>
          <w:lang w:val="en-US" w:eastAsia="zh-CN"/>
        </w:rPr>
      </w:pPr>
    </w:p>
    <w:p w14:paraId="5D27FC03">
      <w:pPr>
        <w:rPr>
          <w:rFonts w:hint="eastAsia"/>
          <w:lang w:val="en-US" w:eastAsia="zh-CN"/>
        </w:rPr>
      </w:pPr>
    </w:p>
    <w:p w14:paraId="123DB22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2" w:name="_Toc6639"/>
      <w:bookmarkStart w:id="343" w:name="_Toc13446"/>
      <w:bookmarkStart w:id="344" w:name="_Toc2046"/>
      <w:r>
        <w:rPr>
          <w:rFonts w:hint="eastAsia" w:ascii="宋体" w:hAnsi="宋体" w:eastAsia="宋体" w:cs="宋体"/>
          <w:b/>
          <w:bCs/>
          <w:color w:val="auto"/>
          <w:spacing w:val="-11"/>
          <w:sz w:val="24"/>
          <w:szCs w:val="24"/>
          <w:highlight w:val="none"/>
          <w:lang w:val="en-US" w:eastAsia="zh-CN"/>
        </w:rPr>
        <w:t>格式十三</w:t>
      </w:r>
      <w:bookmarkEnd w:id="342"/>
      <w:bookmarkEnd w:id="343"/>
      <w:r>
        <w:rPr>
          <w:rFonts w:hint="eastAsia" w:ascii="宋体" w:hAnsi="宋体" w:eastAsia="宋体" w:cs="宋体"/>
          <w:b/>
          <w:bCs/>
          <w:color w:val="auto"/>
          <w:spacing w:val="-11"/>
          <w:sz w:val="24"/>
          <w:szCs w:val="24"/>
          <w:highlight w:val="none"/>
          <w:lang w:val="en-US" w:eastAsia="zh-CN"/>
        </w:rPr>
        <w:t xml:space="preserve">   投标保证金信用承诺函</w:t>
      </w:r>
      <w:bookmarkEnd w:id="344"/>
    </w:p>
    <w:p w14:paraId="0A711391">
      <w:pPr>
        <w:pStyle w:val="10"/>
        <w:spacing w:before="140" w:line="360" w:lineRule="auto"/>
        <w:ind w:left="2338"/>
        <w:rPr>
          <w:rFonts w:hint="eastAsia" w:ascii="宋体" w:hAnsi="宋体" w:eastAsia="宋体" w:cs="宋体"/>
          <w:color w:val="auto"/>
          <w:sz w:val="36"/>
          <w:szCs w:val="36"/>
          <w:highlight w:val="none"/>
        </w:rPr>
      </w:pPr>
      <w:r>
        <w:rPr>
          <w:rFonts w:hint="eastAsia" w:ascii="宋体" w:hAnsi="宋体" w:eastAsia="宋体" w:cs="宋体"/>
          <w:b/>
          <w:bCs/>
          <w:color w:val="auto"/>
          <w:spacing w:val="4"/>
          <w:position w:val="3"/>
          <w:sz w:val="36"/>
          <w:szCs w:val="36"/>
          <w:highlight w:val="none"/>
        </w:rPr>
        <w:t>投标保证金信用承诺函</w:t>
      </w:r>
    </w:p>
    <w:p w14:paraId="325EB536">
      <w:pPr>
        <w:spacing w:line="360" w:lineRule="auto"/>
        <w:rPr>
          <w:rFonts w:hint="eastAsia" w:ascii="宋体" w:hAnsi="宋体" w:eastAsia="宋体" w:cs="宋体"/>
          <w:color w:val="auto"/>
          <w:sz w:val="21"/>
          <w:highlight w:val="none"/>
        </w:rPr>
      </w:pPr>
    </w:p>
    <w:p w14:paraId="32ED0890">
      <w:pPr>
        <w:pStyle w:val="10"/>
        <w:spacing w:before="101" w:line="360" w:lineRule="auto"/>
        <w:ind w:firstLine="450" w:firstLineChars="200"/>
        <w:jc w:val="both"/>
        <w:rPr>
          <w:rFonts w:hint="eastAsia" w:ascii="宋体" w:hAnsi="宋体" w:eastAsia="宋体" w:cs="宋体"/>
          <w:color w:val="auto"/>
          <w:highlight w:val="none"/>
        </w:rPr>
      </w:pPr>
      <w:r>
        <w:rPr>
          <w:rFonts w:hint="eastAsia" w:ascii="宋体" w:hAnsi="宋体" w:eastAsia="宋体" w:cs="宋体"/>
          <w:b/>
          <w:bCs/>
          <w:color w:val="auto"/>
          <w:spacing w:val="7"/>
          <w:highlight w:val="none"/>
        </w:rPr>
        <w:t>一、</w:t>
      </w:r>
      <w:r>
        <w:rPr>
          <w:rFonts w:hint="eastAsia" w:ascii="宋体" w:hAnsi="宋体" w:eastAsia="宋体" w:cs="宋体"/>
          <w:color w:val="auto"/>
          <w:spacing w:val="7"/>
          <w:highlight w:val="none"/>
        </w:rPr>
        <w:t>我单位参加</w:t>
      </w:r>
      <w:r>
        <w:rPr>
          <w:rFonts w:hint="eastAsia" w:ascii="宋体" w:hAnsi="宋体" w:eastAsia="宋体" w:cs="宋体"/>
          <w:color w:val="auto"/>
          <w:spacing w:val="7"/>
          <w:highlight w:val="none"/>
          <w:u w:val="single" w:color="auto"/>
        </w:rPr>
        <w:t xml:space="preserve">  （工程项目名称）  </w:t>
      </w:r>
      <w:r>
        <w:rPr>
          <w:rFonts w:hint="eastAsia" w:ascii="宋体" w:hAnsi="宋体" w:eastAsia="宋体" w:cs="宋体"/>
          <w:color w:val="auto"/>
          <w:spacing w:val="-116"/>
          <w:highlight w:val="none"/>
        </w:rPr>
        <w:t xml:space="preserve"> </w:t>
      </w:r>
      <w:r>
        <w:rPr>
          <w:rFonts w:hint="eastAsia" w:ascii="宋体" w:hAnsi="宋体" w:eastAsia="宋体" w:cs="宋体"/>
          <w:color w:val="auto"/>
          <w:spacing w:val="7"/>
          <w:highlight w:val="none"/>
        </w:rPr>
        <w:t>的投标活动，</w:t>
      </w:r>
      <w:r>
        <w:rPr>
          <w:rFonts w:hint="eastAsia" w:ascii="宋体" w:hAnsi="宋体" w:eastAsia="宋体" w:cs="宋体"/>
          <w:color w:val="auto"/>
          <w:spacing w:val="6"/>
          <w:highlight w:val="none"/>
        </w:rPr>
        <w:t>现承</w:t>
      </w:r>
      <w:r>
        <w:rPr>
          <w:rFonts w:hint="eastAsia" w:ascii="宋体" w:hAnsi="宋体" w:eastAsia="宋体" w:cs="宋体"/>
          <w:color w:val="auto"/>
          <w:spacing w:val="9"/>
          <w:highlight w:val="none"/>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hint="eastAsia" w:ascii="宋体" w:hAnsi="宋体" w:eastAsia="宋体" w:cs="宋体"/>
          <w:color w:val="auto"/>
          <w:spacing w:val="7"/>
          <w:highlight w:val="none"/>
        </w:rPr>
        <w:t>招标文件规定的投标保证金</w:t>
      </w:r>
      <w:r>
        <w:rPr>
          <w:rFonts w:hint="eastAsia" w:ascii="宋体" w:hAnsi="宋体" w:eastAsia="宋体" w:cs="宋体"/>
          <w:color w:val="auto"/>
          <w:spacing w:val="-153"/>
          <w:highlight w:val="none"/>
        </w:rPr>
        <w:t xml:space="preserve"> </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138"/>
          <w:highlight w:val="none"/>
        </w:rPr>
        <w:t xml:space="preserve"> </w:t>
      </w:r>
      <w:r>
        <w:rPr>
          <w:rFonts w:hint="eastAsia" w:ascii="宋体" w:hAnsi="宋体" w:eastAsia="宋体" w:cs="宋体"/>
          <w:color w:val="auto"/>
          <w:spacing w:val="7"/>
          <w:highlight w:val="none"/>
        </w:rPr>
        <w:t>元。</w:t>
      </w:r>
    </w:p>
    <w:p w14:paraId="5B8BD4E7">
      <w:pPr>
        <w:pStyle w:val="10"/>
        <w:spacing w:before="48" w:line="360" w:lineRule="auto"/>
        <w:ind w:firstLine="456" w:firstLineChars="200"/>
        <w:jc w:val="both"/>
        <w:rPr>
          <w:rFonts w:hint="eastAsia" w:ascii="宋体" w:hAnsi="宋体" w:eastAsia="宋体" w:cs="宋体"/>
          <w:color w:val="auto"/>
          <w:highlight w:val="none"/>
        </w:rPr>
      </w:pPr>
      <w:r>
        <w:rPr>
          <w:rFonts w:hint="eastAsia" w:ascii="宋体" w:hAnsi="宋体" w:eastAsia="宋体" w:cs="宋体"/>
          <w:color w:val="auto"/>
          <w:spacing w:val="9"/>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5"/>
          <w:highlight w:val="none"/>
        </w:rPr>
        <w:t>台公布的信用等级为</w:t>
      </w:r>
      <w:r>
        <w:rPr>
          <w:rFonts w:hint="eastAsia" w:ascii="宋体" w:hAnsi="宋体" w:eastAsia="宋体" w:cs="宋体"/>
          <w:color w:val="auto"/>
          <w:spacing w:val="-62"/>
          <w:highlight w:val="none"/>
        </w:rPr>
        <w:t xml:space="preserve"> </w:t>
      </w:r>
      <w:r>
        <w:rPr>
          <w:rFonts w:hint="eastAsia" w:ascii="宋体" w:hAnsi="宋体" w:eastAsia="宋体" w:cs="宋体"/>
          <w:color w:val="auto"/>
          <w:spacing w:val="5"/>
          <w:highlight w:val="none"/>
        </w:rPr>
        <w:t>B</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级、C</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级、D</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级的企业。</w:t>
      </w:r>
    </w:p>
    <w:p w14:paraId="507C7C48">
      <w:pPr>
        <w:pStyle w:val="10"/>
        <w:spacing w:before="52" w:line="360" w:lineRule="auto"/>
        <w:ind w:left="6" w:right="2" w:firstLine="638"/>
        <w:rPr>
          <w:rFonts w:hint="eastAsia" w:ascii="宋体" w:hAnsi="宋体" w:eastAsia="宋体" w:cs="宋体"/>
          <w:color w:val="auto"/>
          <w:highlight w:val="none"/>
        </w:rPr>
      </w:pPr>
      <w:r>
        <w:rPr>
          <w:rFonts w:hint="eastAsia" w:ascii="宋体" w:hAnsi="宋体" w:eastAsia="宋体" w:cs="宋体"/>
          <w:color w:val="auto"/>
          <w:spacing w:val="9"/>
          <w:highlight w:val="none"/>
        </w:rPr>
        <w:t>本企业对以上承诺和声明负责。如有虚假，愿接受行政主管</w:t>
      </w:r>
      <w:r>
        <w:rPr>
          <w:rFonts w:hint="eastAsia" w:ascii="宋体" w:hAnsi="宋体" w:eastAsia="宋体" w:cs="宋体"/>
          <w:color w:val="auto"/>
          <w:spacing w:val="8"/>
          <w:highlight w:val="none"/>
        </w:rPr>
        <w:t>部门作出的处罚，并承担以下后果：</w:t>
      </w:r>
    </w:p>
    <w:p w14:paraId="06227EEC">
      <w:pPr>
        <w:pStyle w:val="10"/>
        <w:spacing w:before="48" w:line="360" w:lineRule="auto"/>
        <w:ind w:left="656"/>
        <w:rPr>
          <w:rFonts w:hint="eastAsia" w:ascii="宋体" w:hAnsi="宋体" w:eastAsia="宋体" w:cs="宋体"/>
          <w:color w:val="auto"/>
          <w:highlight w:val="none"/>
        </w:rPr>
      </w:pPr>
      <w:r>
        <w:rPr>
          <w:rFonts w:hint="eastAsia" w:ascii="宋体" w:hAnsi="宋体" w:eastAsia="宋体" w:cs="宋体"/>
          <w:color w:val="auto"/>
          <w:spacing w:val="8"/>
          <w:highlight w:val="none"/>
        </w:rPr>
        <w:t>（一）取消本单位在本项目中的投标资格或中标资格；</w:t>
      </w:r>
    </w:p>
    <w:p w14:paraId="3217AACC">
      <w:pPr>
        <w:pStyle w:val="10"/>
        <w:spacing w:before="64" w:line="360" w:lineRule="auto"/>
        <w:ind w:left="656"/>
        <w:rPr>
          <w:rFonts w:hint="eastAsia" w:ascii="宋体" w:hAnsi="宋体" w:eastAsia="宋体" w:cs="宋体"/>
          <w:color w:val="auto"/>
          <w:highlight w:val="none"/>
        </w:rPr>
      </w:pPr>
      <w:r>
        <w:rPr>
          <w:rFonts w:hint="eastAsia" w:ascii="宋体" w:hAnsi="宋体" w:eastAsia="宋体" w:cs="宋体"/>
          <w:color w:val="auto"/>
          <w:spacing w:val="8"/>
          <w:highlight w:val="none"/>
        </w:rPr>
        <w:t>（二）将本单位不良行为纳入信用信息管理系统；</w:t>
      </w:r>
    </w:p>
    <w:p w14:paraId="4FD92377">
      <w:pPr>
        <w:pStyle w:val="10"/>
        <w:spacing w:before="60" w:line="360" w:lineRule="auto"/>
        <w:ind w:left="41" w:right="2" w:firstLine="615"/>
        <w:rPr>
          <w:rFonts w:hint="eastAsia" w:ascii="宋体" w:hAnsi="宋体" w:eastAsia="宋体" w:cs="宋体"/>
          <w:color w:val="auto"/>
          <w:highlight w:val="none"/>
        </w:rPr>
      </w:pPr>
      <w:r>
        <w:rPr>
          <w:rFonts w:hint="eastAsia" w:ascii="宋体" w:hAnsi="宋体" w:eastAsia="宋体" w:cs="宋体"/>
          <w:color w:val="auto"/>
          <w:spacing w:val="9"/>
          <w:highlight w:val="none"/>
        </w:rPr>
        <w:t>（三）主动在产生不良行为所在的各县（市、区）行</w:t>
      </w:r>
      <w:r>
        <w:rPr>
          <w:rFonts w:hint="eastAsia" w:ascii="宋体" w:hAnsi="宋体" w:eastAsia="宋体" w:cs="宋体"/>
          <w:color w:val="auto"/>
          <w:spacing w:val="8"/>
          <w:highlight w:val="none"/>
        </w:rPr>
        <w:t>政区域</w:t>
      </w:r>
      <w:r>
        <w:rPr>
          <w:rFonts w:hint="eastAsia" w:ascii="宋体" w:hAnsi="宋体" w:eastAsia="宋体" w:cs="宋体"/>
          <w:color w:val="auto"/>
          <w:spacing w:val="6"/>
          <w:highlight w:val="none"/>
        </w:rPr>
        <w:t>内不参加房建市政工程项目的投标活动一年；</w:t>
      </w:r>
    </w:p>
    <w:p w14:paraId="2F7D485E">
      <w:pPr>
        <w:pStyle w:val="10"/>
        <w:spacing w:before="60" w:line="360" w:lineRule="auto"/>
        <w:ind w:left="41" w:right="2" w:firstLine="615"/>
        <w:rPr>
          <w:rFonts w:hint="eastAsia" w:ascii="宋体" w:hAnsi="宋体" w:eastAsia="宋体" w:cs="宋体"/>
          <w:color w:val="auto"/>
          <w:spacing w:val="9"/>
          <w:highlight w:val="none"/>
        </w:rPr>
      </w:pPr>
      <w:bookmarkStart w:id="345" w:name="_Toc30964"/>
      <w:r>
        <w:rPr>
          <w:rFonts w:hint="eastAsia" w:ascii="宋体" w:hAnsi="宋体" w:eastAsia="宋体" w:cs="宋体"/>
          <w:color w:val="auto"/>
          <w:spacing w:val="9"/>
          <w:highlight w:val="none"/>
        </w:rPr>
        <w:t>（四）应付的赔偿责任和相应法律责任。</w:t>
      </w:r>
      <w:bookmarkEnd w:id="345"/>
    </w:p>
    <w:p w14:paraId="2719E688">
      <w:pPr>
        <w:spacing w:line="360" w:lineRule="auto"/>
        <w:rPr>
          <w:rFonts w:hint="eastAsia" w:ascii="宋体" w:hAnsi="宋体" w:eastAsia="宋体" w:cs="宋体"/>
          <w:color w:val="auto"/>
          <w:sz w:val="21"/>
          <w:highlight w:val="none"/>
        </w:rPr>
      </w:pPr>
    </w:p>
    <w:p w14:paraId="1679D32F">
      <w:pPr>
        <w:pStyle w:val="10"/>
        <w:spacing w:before="101" w:line="360" w:lineRule="auto"/>
        <w:ind w:left="845"/>
        <w:rPr>
          <w:rFonts w:hint="eastAsia" w:ascii="宋体" w:hAnsi="宋体" w:eastAsia="宋体" w:cs="宋体"/>
          <w:color w:val="auto"/>
          <w:sz w:val="21"/>
          <w:highlight w:val="none"/>
        </w:rPr>
      </w:pPr>
      <w:r>
        <w:rPr>
          <w:rFonts w:hint="eastAsia" w:ascii="宋体" w:hAnsi="宋体" w:eastAsia="宋体" w:cs="宋体"/>
          <w:color w:val="auto"/>
          <w:spacing w:val="7"/>
          <w:highlight w:val="none"/>
        </w:rPr>
        <w:t>单位名称（公章</w:t>
      </w:r>
      <w:r>
        <w:rPr>
          <w:rFonts w:hint="eastAsia" w:ascii="宋体" w:hAnsi="宋体" w:eastAsia="宋体" w:cs="宋体"/>
          <w:color w:val="auto"/>
          <w:spacing w:val="1"/>
          <w:highlight w:val="none"/>
        </w:rPr>
        <w:t>）：</w:t>
      </w:r>
    </w:p>
    <w:p w14:paraId="4C878D69">
      <w:pPr>
        <w:pStyle w:val="10"/>
        <w:spacing w:before="101" w:line="360" w:lineRule="auto"/>
        <w:ind w:left="850"/>
        <w:rPr>
          <w:rFonts w:hint="eastAsia" w:ascii="宋体" w:hAnsi="宋体" w:eastAsia="宋体" w:cs="宋体"/>
          <w:color w:val="auto"/>
          <w:sz w:val="21"/>
          <w:highlight w:val="none"/>
        </w:rPr>
      </w:pPr>
      <w:r>
        <w:rPr>
          <w:rFonts w:hint="eastAsia" w:ascii="宋体" w:hAnsi="宋体" w:eastAsia="宋体" w:cs="宋体"/>
          <w:color w:val="auto"/>
          <w:spacing w:val="6"/>
          <w:highlight w:val="none"/>
        </w:rPr>
        <w:t>统一社会信用代码：</w:t>
      </w:r>
    </w:p>
    <w:p w14:paraId="1AA79C9D">
      <w:pPr>
        <w:pStyle w:val="10"/>
        <w:spacing w:before="101" w:line="360" w:lineRule="auto"/>
        <w:ind w:left="844" w:right="5000"/>
        <w:rPr>
          <w:rFonts w:hint="eastAsia" w:ascii="宋体" w:hAnsi="宋体" w:eastAsia="宋体" w:cs="宋体"/>
          <w:color w:val="auto"/>
          <w:highlight w:val="none"/>
        </w:rPr>
      </w:pPr>
      <w:r>
        <w:rPr>
          <w:rFonts w:hint="eastAsia" w:ascii="宋体" w:hAnsi="宋体" w:eastAsia="宋体" w:cs="宋体"/>
          <w:color w:val="auto"/>
          <w:spacing w:val="8"/>
          <w:highlight w:val="none"/>
        </w:rPr>
        <w:t>法定代表人（签字</w:t>
      </w:r>
      <w:r>
        <w:rPr>
          <w:rFonts w:hint="eastAsia" w:ascii="宋体" w:hAnsi="宋体" w:eastAsia="宋体" w:cs="宋体"/>
          <w:color w:val="auto"/>
          <w:spacing w:val="-29"/>
          <w:highlight w:val="none"/>
        </w:rPr>
        <w:t>）：</w:t>
      </w:r>
      <w:r>
        <w:rPr>
          <w:rFonts w:hint="eastAsia" w:ascii="宋体" w:hAnsi="宋体" w:eastAsia="宋体" w:cs="宋体"/>
          <w:color w:val="auto"/>
          <w:highlight w:val="none"/>
        </w:rPr>
        <w:t xml:space="preserve"> </w:t>
      </w:r>
    </w:p>
    <w:p w14:paraId="2E962505">
      <w:pPr>
        <w:pStyle w:val="10"/>
        <w:spacing w:before="101" w:line="360" w:lineRule="auto"/>
        <w:ind w:left="844" w:right="5000"/>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6"/>
          <w:highlight w:val="none"/>
        </w:rPr>
        <w:t>月</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6"/>
          <w:highlight w:val="none"/>
        </w:rPr>
        <w:t>日</w:t>
      </w:r>
    </w:p>
    <w:p w14:paraId="01374E41">
      <w:pPr>
        <w:rPr>
          <w:rFonts w:hint="eastAsia" w:ascii="宋体" w:hAnsi="宋体" w:eastAsia="宋体" w:cs="宋体"/>
        </w:rPr>
      </w:pPr>
    </w:p>
    <w:p w14:paraId="5088FFF0">
      <w:pPr>
        <w:rPr>
          <w:rFonts w:hint="eastAsia" w:ascii="宋体" w:hAnsi="宋体" w:eastAsia="宋体" w:cs="宋体"/>
        </w:rPr>
      </w:pPr>
    </w:p>
    <w:p w14:paraId="5EB4D332">
      <w:pPr>
        <w:rPr>
          <w:rFonts w:hint="eastAsia" w:ascii="宋体" w:hAnsi="宋体" w:eastAsia="宋体" w:cs="宋体"/>
        </w:rPr>
      </w:pPr>
    </w:p>
    <w:p w14:paraId="6860374C">
      <w:pPr>
        <w:rPr>
          <w:rFonts w:hint="eastAsia" w:ascii="宋体" w:hAnsi="宋体" w:eastAsia="宋体" w:cs="宋体"/>
        </w:rPr>
      </w:pPr>
    </w:p>
    <w:p w14:paraId="59829509">
      <w:pPr>
        <w:rPr>
          <w:rFonts w:hint="eastAsia" w:ascii="宋体" w:hAnsi="宋体" w:eastAsia="宋体" w:cs="宋体"/>
        </w:rPr>
      </w:pPr>
    </w:p>
    <w:p w14:paraId="218BF21A">
      <w:pPr>
        <w:rPr>
          <w:rFonts w:hint="eastAsia" w:ascii="宋体" w:hAnsi="宋体" w:eastAsia="宋体" w:cs="宋体"/>
        </w:rPr>
      </w:pPr>
    </w:p>
    <w:p w14:paraId="59129C04">
      <w:pPr>
        <w:rPr>
          <w:rFonts w:hint="eastAsia" w:ascii="宋体" w:hAnsi="宋体" w:eastAsia="宋体" w:cs="宋体"/>
        </w:rPr>
      </w:pPr>
    </w:p>
    <w:p w14:paraId="565B7FB3">
      <w:pPr>
        <w:rPr>
          <w:rFonts w:hint="eastAsia" w:ascii="宋体" w:hAnsi="宋体" w:eastAsia="宋体" w:cs="宋体"/>
        </w:rPr>
      </w:pPr>
    </w:p>
    <w:p w14:paraId="236DD346">
      <w:pPr>
        <w:rPr>
          <w:rFonts w:hint="eastAsia" w:ascii="宋体" w:hAnsi="宋体" w:eastAsia="宋体" w:cs="宋体"/>
        </w:rPr>
      </w:pPr>
    </w:p>
    <w:p w14:paraId="1AF2FE0F">
      <w:pPr>
        <w:rPr>
          <w:rFonts w:hint="eastAsia" w:ascii="宋体" w:hAnsi="宋体" w:eastAsia="宋体" w:cs="宋体"/>
        </w:rPr>
      </w:pPr>
    </w:p>
    <w:p w14:paraId="3581ADBE">
      <w:pPr>
        <w:rPr>
          <w:rFonts w:hint="eastAsia" w:ascii="宋体" w:hAnsi="宋体" w:eastAsia="宋体" w:cs="宋体"/>
        </w:rPr>
      </w:pPr>
    </w:p>
    <w:p w14:paraId="60CFB303">
      <w:pPr>
        <w:rPr>
          <w:rFonts w:hint="eastAsia" w:ascii="宋体" w:hAnsi="宋体" w:eastAsia="宋体" w:cs="宋体"/>
        </w:rPr>
      </w:pPr>
    </w:p>
    <w:p w14:paraId="1E8F4E39">
      <w:pPr>
        <w:rPr>
          <w:rFonts w:hint="eastAsia" w:ascii="宋体" w:hAnsi="宋体" w:eastAsia="宋体" w:cs="宋体"/>
        </w:rPr>
      </w:pPr>
    </w:p>
    <w:p w14:paraId="64428F04">
      <w:pPr>
        <w:rPr>
          <w:rFonts w:hint="eastAsia" w:ascii="宋体" w:hAnsi="宋体" w:eastAsia="宋体" w:cs="宋体"/>
        </w:rPr>
      </w:pPr>
    </w:p>
    <w:p w14:paraId="4DF9EF1E">
      <w:pPr>
        <w:rPr>
          <w:rFonts w:hint="eastAsia" w:ascii="宋体" w:hAnsi="宋体" w:eastAsia="宋体" w:cs="宋体"/>
        </w:rPr>
      </w:pPr>
    </w:p>
    <w:p w14:paraId="1AE19DCB">
      <w:pPr>
        <w:rPr>
          <w:rFonts w:hint="eastAsia" w:ascii="宋体" w:hAnsi="宋体" w:eastAsia="宋体" w:cs="宋体"/>
        </w:rPr>
      </w:pPr>
    </w:p>
    <w:p w14:paraId="654C7359">
      <w:pPr>
        <w:rPr>
          <w:rFonts w:hint="eastAsia" w:ascii="宋体" w:hAnsi="宋体" w:eastAsia="宋体" w:cs="宋体"/>
        </w:rPr>
      </w:pPr>
    </w:p>
    <w:p w14:paraId="292F7B7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6" w:name="_Toc4144"/>
      <w:bookmarkStart w:id="347" w:name="_Toc4336"/>
      <w:r>
        <w:rPr>
          <w:rFonts w:hint="eastAsia" w:ascii="宋体" w:hAnsi="宋体" w:eastAsia="宋体" w:cs="宋体"/>
          <w:b/>
          <w:bCs/>
          <w:color w:val="auto"/>
          <w:spacing w:val="-11"/>
          <w:sz w:val="24"/>
          <w:szCs w:val="24"/>
          <w:highlight w:val="none"/>
          <w:lang w:val="en-US" w:eastAsia="zh-CN"/>
        </w:rPr>
        <w:t>格式十四   原件一览表</w:t>
      </w:r>
      <w:bookmarkEnd w:id="338"/>
      <w:bookmarkEnd w:id="346"/>
      <w:bookmarkEnd w:id="347"/>
    </w:p>
    <w:tbl>
      <w:tblPr>
        <w:tblStyle w:val="24"/>
        <w:tblpPr w:leftFromText="180" w:rightFromText="180" w:vertAnchor="text" w:horzAnchor="page" w:tblpX="1285"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80"/>
        <w:gridCol w:w="1598"/>
        <w:gridCol w:w="247"/>
        <w:gridCol w:w="1655"/>
        <w:gridCol w:w="1625"/>
        <w:gridCol w:w="754"/>
        <w:gridCol w:w="958"/>
        <w:gridCol w:w="1698"/>
      </w:tblGrid>
      <w:tr w14:paraId="20BF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615" w:type="dxa"/>
            <w:gridSpan w:val="8"/>
            <w:shd w:val="clear" w:color="000000" w:fill="FFFFFF"/>
            <w:noWrap w:val="0"/>
            <w:tcMar>
              <w:left w:w="108" w:type="dxa"/>
              <w:right w:w="108" w:type="dxa"/>
            </w:tcMar>
            <w:vAlign w:val="center"/>
          </w:tcPr>
          <w:p w14:paraId="1F5E68B5">
            <w:pPr>
              <w:spacing w:line="360" w:lineRule="auto"/>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16AE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18F342B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工程名称</w:t>
            </w:r>
          </w:p>
        </w:tc>
        <w:tc>
          <w:tcPr>
            <w:tcW w:w="6937" w:type="dxa"/>
            <w:gridSpan w:val="6"/>
            <w:shd w:val="clear" w:color="000000" w:fill="FFFFFF"/>
            <w:noWrap w:val="0"/>
            <w:tcMar>
              <w:left w:w="108" w:type="dxa"/>
              <w:right w:w="108" w:type="dxa"/>
            </w:tcMar>
            <w:vAlign w:val="center"/>
          </w:tcPr>
          <w:p w14:paraId="22905AC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tc>
      </w:tr>
      <w:tr w14:paraId="2C43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20050ADD">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                (请务必填写单位全称)</w:t>
            </w:r>
          </w:p>
        </w:tc>
        <w:tc>
          <w:tcPr>
            <w:tcW w:w="6937" w:type="dxa"/>
            <w:gridSpan w:val="6"/>
            <w:shd w:val="clear" w:color="000000" w:fill="FFFFFF"/>
            <w:noWrap w:val="0"/>
            <w:tcMar>
              <w:left w:w="108" w:type="dxa"/>
              <w:right w:w="108" w:type="dxa"/>
            </w:tcMar>
            <w:vAlign w:val="center"/>
          </w:tcPr>
          <w:p w14:paraId="110EB8D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2AFD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4E7684AD">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投标人法定代表人或其</w:t>
            </w:r>
          </w:p>
          <w:p w14:paraId="3825BA0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委托代理人签名</w:t>
            </w:r>
          </w:p>
        </w:tc>
        <w:tc>
          <w:tcPr>
            <w:tcW w:w="3527" w:type="dxa"/>
            <w:gridSpan w:val="3"/>
            <w:shd w:val="clear" w:color="000000" w:fill="FFFFFF"/>
            <w:noWrap w:val="0"/>
            <w:tcMar>
              <w:left w:w="108" w:type="dxa"/>
              <w:right w:w="108" w:type="dxa"/>
            </w:tcMar>
            <w:vAlign w:val="center"/>
          </w:tcPr>
          <w:p w14:paraId="0B9FFC5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754" w:type="dxa"/>
            <w:shd w:val="clear" w:color="000000" w:fill="FFFFFF"/>
            <w:noWrap w:val="0"/>
            <w:tcMar>
              <w:left w:w="108" w:type="dxa"/>
              <w:right w:w="108" w:type="dxa"/>
            </w:tcMar>
            <w:vAlign w:val="center"/>
          </w:tcPr>
          <w:p w14:paraId="09C1EA2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手机号码</w:t>
            </w:r>
          </w:p>
        </w:tc>
        <w:tc>
          <w:tcPr>
            <w:tcW w:w="2656" w:type="dxa"/>
            <w:gridSpan w:val="2"/>
            <w:shd w:val="clear" w:color="000000" w:fill="FFFFFF"/>
            <w:noWrap w:val="0"/>
            <w:tcMar>
              <w:left w:w="108" w:type="dxa"/>
              <w:right w:w="108" w:type="dxa"/>
            </w:tcMar>
            <w:vAlign w:val="center"/>
          </w:tcPr>
          <w:p w14:paraId="2492265B">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3731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615" w:type="dxa"/>
            <w:gridSpan w:val="8"/>
            <w:shd w:val="clear" w:color="000000" w:fill="FFFFFF"/>
            <w:noWrap w:val="0"/>
            <w:tcMar>
              <w:left w:w="108" w:type="dxa"/>
              <w:right w:w="108" w:type="dxa"/>
            </w:tcMar>
            <w:vAlign w:val="center"/>
          </w:tcPr>
          <w:p w14:paraId="1C803DF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递交的证明材料原件如下：</w:t>
            </w:r>
          </w:p>
        </w:tc>
      </w:tr>
      <w:tr w14:paraId="1F2F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auto" w:fill="FFFFFF"/>
            <w:noWrap w:val="0"/>
            <w:tcMar>
              <w:left w:w="108" w:type="dxa"/>
              <w:right w:w="108" w:type="dxa"/>
            </w:tcMar>
            <w:vAlign w:val="center"/>
          </w:tcPr>
          <w:p w14:paraId="179FC51E">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125" w:type="dxa"/>
            <w:gridSpan w:val="4"/>
            <w:shd w:val="clear" w:color="auto" w:fill="FFFFFF"/>
            <w:noWrap w:val="0"/>
            <w:tcMar>
              <w:left w:w="108" w:type="dxa"/>
              <w:right w:w="108" w:type="dxa"/>
            </w:tcMar>
            <w:vAlign w:val="center"/>
          </w:tcPr>
          <w:p w14:paraId="55F903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证明材料原件名称</w:t>
            </w:r>
          </w:p>
        </w:tc>
        <w:tc>
          <w:tcPr>
            <w:tcW w:w="1712" w:type="dxa"/>
            <w:gridSpan w:val="2"/>
            <w:shd w:val="clear" w:color="auto" w:fill="FFFFFF"/>
            <w:noWrap w:val="0"/>
            <w:tcMar>
              <w:left w:w="108" w:type="dxa"/>
              <w:right w:w="108" w:type="dxa"/>
            </w:tcMar>
            <w:vAlign w:val="center"/>
          </w:tcPr>
          <w:p w14:paraId="419D8088">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1698" w:type="dxa"/>
            <w:shd w:val="clear" w:color="auto" w:fill="FFFFFF"/>
            <w:noWrap w:val="0"/>
            <w:tcMar>
              <w:left w:w="108" w:type="dxa"/>
              <w:right w:w="108" w:type="dxa"/>
            </w:tcMar>
            <w:vAlign w:val="center"/>
          </w:tcPr>
          <w:p w14:paraId="6F0681C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r>
      <w:tr w14:paraId="7276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318BD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125" w:type="dxa"/>
            <w:gridSpan w:val="4"/>
            <w:shd w:val="clear" w:color="000000" w:fill="FFFFFF"/>
            <w:noWrap w:val="0"/>
            <w:tcMar>
              <w:left w:w="108" w:type="dxa"/>
              <w:right w:w="108" w:type="dxa"/>
            </w:tcMar>
            <w:vAlign w:val="center"/>
          </w:tcPr>
          <w:p w14:paraId="3A1D0CDF">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7D63B079">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C5FBD4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6E0C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0C62BB9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125" w:type="dxa"/>
            <w:gridSpan w:val="4"/>
            <w:shd w:val="clear" w:color="000000" w:fill="FFFFFF"/>
            <w:noWrap w:val="0"/>
            <w:tcMar>
              <w:left w:w="108" w:type="dxa"/>
              <w:right w:w="108" w:type="dxa"/>
            </w:tcMar>
            <w:vAlign w:val="center"/>
          </w:tcPr>
          <w:p w14:paraId="40C55F34">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467917E8">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B854666">
            <w:pPr>
              <w:spacing w:line="360" w:lineRule="auto"/>
              <w:jc w:val="center"/>
              <w:rPr>
                <w:rFonts w:hint="eastAsia" w:ascii="宋体" w:hAnsi="宋体" w:eastAsia="宋体" w:cs="宋体"/>
                <w:color w:val="auto"/>
                <w:sz w:val="21"/>
                <w:szCs w:val="21"/>
                <w:highlight w:val="none"/>
              </w:rPr>
            </w:pPr>
          </w:p>
        </w:tc>
      </w:tr>
      <w:tr w14:paraId="22F0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2C7621D">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125" w:type="dxa"/>
            <w:gridSpan w:val="4"/>
            <w:shd w:val="clear" w:color="000000" w:fill="FFFFFF"/>
            <w:noWrap w:val="0"/>
            <w:tcMar>
              <w:left w:w="108" w:type="dxa"/>
              <w:right w:w="108" w:type="dxa"/>
            </w:tcMar>
            <w:vAlign w:val="center"/>
          </w:tcPr>
          <w:p w14:paraId="1870EB1E">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0CF1B759">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3469BE28">
            <w:pPr>
              <w:spacing w:line="360" w:lineRule="auto"/>
              <w:jc w:val="center"/>
              <w:rPr>
                <w:rFonts w:hint="eastAsia" w:ascii="宋体" w:hAnsi="宋体" w:eastAsia="宋体" w:cs="宋体"/>
                <w:color w:val="auto"/>
                <w:sz w:val="21"/>
                <w:szCs w:val="21"/>
                <w:highlight w:val="none"/>
              </w:rPr>
            </w:pPr>
          </w:p>
        </w:tc>
      </w:tr>
      <w:tr w14:paraId="664D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C5423B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125" w:type="dxa"/>
            <w:gridSpan w:val="4"/>
            <w:shd w:val="clear" w:color="000000" w:fill="FFFFFF"/>
            <w:noWrap w:val="0"/>
            <w:tcMar>
              <w:left w:w="108" w:type="dxa"/>
              <w:right w:w="108" w:type="dxa"/>
            </w:tcMar>
            <w:vAlign w:val="center"/>
          </w:tcPr>
          <w:p w14:paraId="5F8B82ED">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4B7E6AEF">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DC14E3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1262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1080" w:type="dxa"/>
            <w:shd w:val="clear" w:color="auto" w:fill="FFFFFF"/>
            <w:noWrap w:val="0"/>
            <w:tcMar>
              <w:left w:w="108" w:type="dxa"/>
              <w:right w:w="108" w:type="dxa"/>
            </w:tcMar>
            <w:vAlign w:val="center"/>
          </w:tcPr>
          <w:p w14:paraId="222C4310">
            <w:pPr>
              <w:spacing w:line="360" w:lineRule="auto"/>
              <w:ind w:left="8" w:hanging="9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注意：</w:t>
            </w:r>
          </w:p>
        </w:tc>
        <w:tc>
          <w:tcPr>
            <w:tcW w:w="8535" w:type="dxa"/>
            <w:gridSpan w:val="7"/>
            <w:shd w:val="clear" w:color="auto" w:fill="FFFFFF"/>
            <w:noWrap w:val="0"/>
            <w:tcMar>
              <w:left w:w="108" w:type="dxa"/>
              <w:right w:w="108" w:type="dxa"/>
            </w:tcMar>
            <w:vAlign w:val="center"/>
          </w:tcPr>
          <w:p w14:paraId="6FEC3244">
            <w:pPr>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1FCC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925" w:type="dxa"/>
            <w:gridSpan w:val="3"/>
            <w:shd w:val="clear" w:color="000000" w:fill="FFFFFF"/>
            <w:noWrap w:val="0"/>
            <w:tcMar>
              <w:left w:w="108" w:type="dxa"/>
              <w:right w:w="108" w:type="dxa"/>
            </w:tcMar>
            <w:vAlign w:val="center"/>
          </w:tcPr>
          <w:p w14:paraId="03326EDC">
            <w:pPr>
              <w:spacing w:line="360" w:lineRule="auto"/>
              <w:jc w:val="center"/>
              <w:rPr>
                <w:rFonts w:hint="eastAsia" w:ascii="宋体" w:hAnsi="宋体" w:eastAsia="宋体" w:cs="宋体"/>
                <w:color w:val="auto"/>
                <w:sz w:val="21"/>
                <w:szCs w:val="21"/>
                <w:highlight w:val="none"/>
              </w:rPr>
            </w:pPr>
          </w:p>
          <w:p w14:paraId="5D7850E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接收原件经办人(招标代理)：</w:t>
            </w:r>
          </w:p>
        </w:tc>
        <w:tc>
          <w:tcPr>
            <w:tcW w:w="1655" w:type="dxa"/>
            <w:shd w:val="clear" w:color="000000" w:fill="FFFFFF"/>
            <w:noWrap w:val="0"/>
            <w:tcMar>
              <w:left w:w="108" w:type="dxa"/>
              <w:right w:w="108" w:type="dxa"/>
            </w:tcMar>
            <w:vAlign w:val="center"/>
          </w:tcPr>
          <w:p w14:paraId="04093F2E">
            <w:pPr>
              <w:spacing w:line="360" w:lineRule="auto"/>
              <w:jc w:val="center"/>
              <w:rPr>
                <w:rFonts w:hint="eastAsia" w:ascii="宋体" w:hAnsi="宋体" w:eastAsia="宋体" w:cs="宋体"/>
                <w:color w:val="auto"/>
                <w:sz w:val="21"/>
                <w:szCs w:val="21"/>
                <w:highlight w:val="none"/>
              </w:rPr>
            </w:pPr>
          </w:p>
        </w:tc>
        <w:tc>
          <w:tcPr>
            <w:tcW w:w="1625" w:type="dxa"/>
            <w:shd w:val="clear" w:color="000000" w:fill="FFFFFF"/>
            <w:noWrap w:val="0"/>
            <w:tcMar>
              <w:left w:w="108" w:type="dxa"/>
              <w:right w:w="108" w:type="dxa"/>
            </w:tcMar>
            <w:vAlign w:val="center"/>
          </w:tcPr>
          <w:p w14:paraId="6D09C81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接收时间：</w:t>
            </w:r>
          </w:p>
        </w:tc>
        <w:tc>
          <w:tcPr>
            <w:tcW w:w="3410" w:type="dxa"/>
            <w:gridSpan w:val="3"/>
            <w:shd w:val="clear" w:color="000000" w:fill="FFFFFF"/>
            <w:noWrap w:val="0"/>
            <w:tcMar>
              <w:left w:w="108" w:type="dxa"/>
              <w:right w:w="108" w:type="dxa"/>
            </w:tcMar>
            <w:vAlign w:val="center"/>
          </w:tcPr>
          <w:p w14:paraId="328608F6">
            <w:pPr>
              <w:spacing w:line="360" w:lineRule="auto"/>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r w14:paraId="42FF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925" w:type="dxa"/>
            <w:gridSpan w:val="3"/>
            <w:shd w:val="clear" w:color="000000" w:fill="FFFFFF"/>
            <w:noWrap w:val="0"/>
            <w:tcMar>
              <w:left w:w="108" w:type="dxa"/>
              <w:right w:w="108" w:type="dxa"/>
            </w:tcMar>
            <w:vAlign w:val="center"/>
          </w:tcPr>
          <w:p w14:paraId="33E1DEA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退还原件接收人(投标人)：</w:t>
            </w:r>
          </w:p>
        </w:tc>
        <w:tc>
          <w:tcPr>
            <w:tcW w:w="1655" w:type="dxa"/>
            <w:shd w:val="clear" w:color="000000" w:fill="FFFFFF"/>
            <w:noWrap w:val="0"/>
            <w:tcMar>
              <w:left w:w="108" w:type="dxa"/>
              <w:right w:w="108" w:type="dxa"/>
            </w:tcMar>
            <w:vAlign w:val="center"/>
          </w:tcPr>
          <w:p w14:paraId="55B339A2">
            <w:pPr>
              <w:spacing w:line="360" w:lineRule="auto"/>
              <w:jc w:val="center"/>
              <w:rPr>
                <w:rFonts w:hint="eastAsia" w:ascii="宋体" w:hAnsi="宋体" w:eastAsia="宋体" w:cs="宋体"/>
                <w:color w:val="auto"/>
                <w:sz w:val="21"/>
                <w:szCs w:val="21"/>
                <w:highlight w:val="none"/>
              </w:rPr>
            </w:pPr>
          </w:p>
        </w:tc>
        <w:tc>
          <w:tcPr>
            <w:tcW w:w="1625" w:type="dxa"/>
            <w:shd w:val="clear" w:color="000000" w:fill="FFFFFF"/>
            <w:noWrap w:val="0"/>
            <w:tcMar>
              <w:left w:w="108" w:type="dxa"/>
              <w:right w:w="108" w:type="dxa"/>
            </w:tcMar>
            <w:vAlign w:val="center"/>
          </w:tcPr>
          <w:p w14:paraId="3A80372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退还时间：</w:t>
            </w:r>
          </w:p>
        </w:tc>
        <w:tc>
          <w:tcPr>
            <w:tcW w:w="3410" w:type="dxa"/>
            <w:gridSpan w:val="3"/>
            <w:shd w:val="clear" w:color="000000" w:fill="FFFFFF"/>
            <w:noWrap w:val="0"/>
            <w:tcMar>
              <w:left w:w="108" w:type="dxa"/>
              <w:right w:w="108" w:type="dxa"/>
            </w:tcMar>
            <w:vAlign w:val="center"/>
          </w:tcPr>
          <w:p w14:paraId="4FBE05ED">
            <w:pPr>
              <w:spacing w:line="360" w:lineRule="auto"/>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bl>
    <w:p w14:paraId="22DF0E64">
      <w:pPr>
        <w:spacing w:line="360" w:lineRule="auto"/>
        <w:contextualSpacing/>
        <w:jc w:val="left"/>
        <w:rPr>
          <w:rFonts w:hint="eastAsia" w:ascii="宋体" w:hAnsi="宋体" w:eastAsia="宋体" w:cs="宋体"/>
          <w:color w:val="auto"/>
          <w:highlight w:val="none"/>
        </w:rPr>
      </w:pPr>
    </w:p>
    <w:p w14:paraId="4512EC5E">
      <w:pPr>
        <w:rPr>
          <w:rFonts w:hint="eastAsia" w:ascii="宋体" w:hAnsi="宋体" w:eastAsia="宋体" w:cs="宋体"/>
        </w:rPr>
      </w:pPr>
    </w:p>
    <w:p w14:paraId="7590B877">
      <w:pPr>
        <w:rPr>
          <w:rFonts w:hint="eastAsia" w:ascii="宋体" w:hAnsi="宋体" w:eastAsia="宋体" w:cs="宋体"/>
        </w:rPr>
      </w:pPr>
    </w:p>
    <w:p w14:paraId="7A69F993">
      <w:pPr>
        <w:rPr>
          <w:rFonts w:hint="eastAsia" w:ascii="宋体" w:hAnsi="宋体" w:eastAsia="宋体" w:cs="宋体"/>
        </w:rPr>
      </w:pPr>
    </w:p>
    <w:p w14:paraId="7EE4E867">
      <w:pPr>
        <w:rPr>
          <w:rFonts w:hint="eastAsia" w:ascii="宋体" w:hAnsi="宋体" w:eastAsia="宋体" w:cs="宋体"/>
        </w:rPr>
      </w:pPr>
    </w:p>
    <w:p w14:paraId="07574570">
      <w:pPr>
        <w:rPr>
          <w:rFonts w:hint="eastAsia" w:ascii="宋体" w:hAnsi="宋体" w:eastAsia="宋体" w:cs="宋体"/>
        </w:rPr>
      </w:pPr>
    </w:p>
    <w:p w14:paraId="0C4FB503">
      <w:pPr>
        <w:rPr>
          <w:rFonts w:hint="eastAsia" w:ascii="宋体" w:hAnsi="宋体" w:eastAsia="宋体" w:cs="宋体"/>
        </w:rPr>
      </w:pPr>
    </w:p>
    <w:p w14:paraId="0CD18182">
      <w:pPr>
        <w:rPr>
          <w:rFonts w:hint="eastAsia" w:ascii="宋体" w:hAnsi="宋体" w:eastAsia="宋体" w:cs="宋体"/>
        </w:rPr>
      </w:pPr>
    </w:p>
    <w:p w14:paraId="2A265FDA">
      <w:pPr>
        <w:rPr>
          <w:rFonts w:hint="eastAsia" w:ascii="宋体" w:hAnsi="宋体" w:eastAsia="宋体" w:cs="宋体"/>
        </w:rPr>
      </w:pPr>
    </w:p>
    <w:bookmarkEnd w:id="302"/>
    <w:bookmarkEnd w:id="303"/>
    <w:p w14:paraId="551B1C1D">
      <w:pPr>
        <w:pStyle w:val="4"/>
        <w:wordWrap w:val="0"/>
        <w:autoSpaceDE/>
        <w:autoSpaceDN/>
        <w:snapToGrid w:val="0"/>
        <w:spacing w:line="360" w:lineRule="auto"/>
        <w:jc w:val="center"/>
        <w:rPr>
          <w:rFonts w:hint="eastAsia" w:ascii="宋体" w:hAnsi="宋体" w:eastAsia="宋体" w:cs="宋体"/>
          <w:snapToGrid w:val="0"/>
          <w:color w:val="auto"/>
          <w:kern w:val="0"/>
          <w:highlight w:val="none"/>
        </w:rPr>
      </w:pPr>
      <w:bookmarkStart w:id="348" w:name="_附件十六：措施项目清单计价表"/>
      <w:bookmarkEnd w:id="348"/>
      <w:bookmarkStart w:id="349" w:name="_Hlt87783244"/>
      <w:bookmarkEnd w:id="349"/>
      <w:bookmarkStart w:id="350" w:name="_Hlt87793582"/>
      <w:bookmarkEnd w:id="350"/>
      <w:bookmarkStart w:id="351" w:name="_附件二十一：土建工程、电气工程、给排水工程工程清单项目费汇总表"/>
      <w:bookmarkEnd w:id="351"/>
      <w:bookmarkStart w:id="352" w:name="_Toc142468134"/>
      <w:bookmarkStart w:id="353" w:name="_Toc132687128"/>
      <w:bookmarkStart w:id="354" w:name="_Toc244"/>
      <w:bookmarkStart w:id="355" w:name="_Toc137444778"/>
      <w:bookmarkStart w:id="356" w:name="_Toc1967"/>
      <w:bookmarkStart w:id="357" w:name="_Toc13722"/>
      <w:bookmarkStart w:id="358" w:name="_Toc133160683"/>
      <w:bookmarkStart w:id="359" w:name="_Toc133815902"/>
      <w:bookmarkStart w:id="360" w:name="_Toc78794873"/>
      <w:r>
        <w:rPr>
          <w:rFonts w:hint="eastAsia" w:ascii="宋体" w:hAnsi="宋体" w:eastAsia="宋体" w:cs="宋体"/>
          <w:b/>
          <w:snapToGrid w:val="0"/>
          <w:color w:val="auto"/>
          <w:sz w:val="24"/>
          <w:highlight w:val="none"/>
        </w:rPr>
        <w:t>第七章</w:t>
      </w:r>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建设工程施工合同</w:t>
      </w:r>
      <w:bookmarkEnd w:id="352"/>
      <w:bookmarkEnd w:id="353"/>
      <w:bookmarkEnd w:id="354"/>
      <w:bookmarkEnd w:id="355"/>
      <w:bookmarkEnd w:id="356"/>
      <w:bookmarkEnd w:id="357"/>
      <w:bookmarkEnd w:id="358"/>
    </w:p>
    <w:p w14:paraId="7DA73BEC">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59"/>
      <w:bookmarkEnd w:id="360"/>
      <w:r>
        <w:rPr>
          <w:rFonts w:hint="eastAsia" w:ascii="宋体" w:hAnsi="宋体" w:eastAsia="宋体" w:cs="宋体"/>
          <w:snapToGrid w:val="0"/>
          <w:color w:val="auto"/>
          <w:kern w:val="0"/>
          <w:highlight w:val="none"/>
        </w:rPr>
        <w:t>按《广东省建设工程标准施工合同》（2009年版）或《建设工程施工合同（示范文本）》（GF—2017—0201）执行。</w:t>
      </w:r>
    </w:p>
    <w:p w14:paraId="7A471E72">
      <w:pPr>
        <w:spacing w:before="78" w:line="360" w:lineRule="auto"/>
        <w:ind w:firstLine="480"/>
        <w:rPr>
          <w:rFonts w:hint="eastAsia" w:ascii="宋体" w:hAnsi="宋体" w:eastAsia="宋体" w:cs="宋体"/>
          <w:color w:val="auto"/>
          <w:sz w:val="24"/>
          <w:szCs w:val="24"/>
          <w:highlight w:val="none"/>
        </w:rPr>
      </w:pPr>
    </w:p>
    <w:sectPr>
      <w:footerReference r:id="rId4" w:type="default"/>
      <w:pgSz w:w="11906" w:h="16839"/>
      <w:pgMar w:top="1134" w:right="1134" w:bottom="1134" w:left="1134" w:header="850" w:footer="850" w:gutter="0"/>
      <w:pgBorders>
        <w:top w:val="none" w:sz="0" w:space="0"/>
        <w:left w:val="none" w:sz="0" w:space="0"/>
        <w:bottom w:val="none" w:sz="0" w:space="0"/>
        <w:right w:val="none" w:sz="0" w:space="0"/>
      </w:pgBorders>
      <w:pgNumType w:fmt="decimal" w:start="1"/>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C086">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D21ABA">
                          <w:pPr>
                            <w:pStyle w:val="16"/>
                          </w:pPr>
                          <w:r>
                            <w:fldChar w:fldCharType="begin"/>
                          </w:r>
                          <w:r>
                            <w:instrText xml:space="preserve"> PAGE  \* MERGEFORMAT </w:instrText>
                          </w:r>
                          <w:r>
                            <w:fldChar w:fldCharType="separate"/>
                          </w:r>
                          <w:r>
                            <w:t>102</w:t>
                          </w:r>
                          <w:r>
                            <w:fldChar w:fldCharType="end"/>
                          </w:r>
                        </w:p>
                      </w:txbxContent>
                    </wps:txbx>
                    <wps:bodyPr vert="horz" wrap="none" lIns="0" tIns="0" rIns="0" bIns="0" anchor="t" anchorCtr="0" upright="0">
                      <a:spAutoFit/>
                    </wps:bodyPr>
                  </wps:wsp>
                </a:graphicData>
              </a:graphic>
            </wp:anchor>
          </w:drawing>
        </mc:Choice>
        <mc:Fallback>
          <w:pict>
            <v:shape id="文本框 8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WDBN8BAADAAwAADgAAAGRycy9lMm9Eb2MueG1srVPBjtMwEL0j8Q+W&#10;7zTZCqES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BNecuaEpYmff3w///x9/vWN&#10;rZ4ngXqPFeXdesqMw2sYKHn2IzkT76ENNv2JEaM4yXu6yKuGyGS6tFquViWFJMXmA+EX99d9wPhW&#10;gWXJqHmg+WVZxfE9xjF1TknVHNxoY/IMjfvLQZjJU6Texx6TFYfdMBHaQXMiPvQQqE4H4StnPa1B&#10;zR1tPWfmnSOV08bMRpiN3WwIJ+lizSNno/kmjpt18EHvu7xrqSn0rw6ROs0EUhtj7ak7GmyWYFrC&#10;tDl/nnPW/cPb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HCWDBN8BAADAAwAADgAAAAAA&#10;AAABACAAAAAeAQAAZHJzL2Uyb0RvYy54bWxQSwUGAAAAAAYABgBZAQAAbwUAAAAA&#10;">
              <v:fill on="f" focussize="0,0"/>
              <v:stroke on="f"/>
              <v:imagedata o:title=""/>
              <o:lock v:ext="edit" aspectratio="f"/>
              <v:textbox inset="0mm,0mm,0mm,0mm" style="mso-fit-shape-to-text:t;">
                <w:txbxContent>
                  <w:p w14:paraId="0ED21ABA">
                    <w:pPr>
                      <w:pStyle w:val="16"/>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2DB66">
    <w:pPr>
      <w:pStyle w:val="10"/>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isplayBackgroundShape w:val="1"/>
  <w:bordersDoNotSurroundHeader w:val="0"/>
  <w:bordersDoNotSurroundFooter w:val="0"/>
  <w:documentProtection w:enforcement="0"/>
  <w:defaultTabStop w:val="500"/>
  <w:hyphenationZone w:val="36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3MGIxMTBiNDNjZjYzNDdjYzI5YTAwYjZmMGE0NTMifQ=="/>
    <w:docVar w:name="KSO_WPS_MARK_KEY" w:val="6f1ed6e0-1a31-40b8-b5e7-63682a01dd85"/>
  </w:docVars>
  <w:rsids>
    <w:rsidRoot w:val="00D93B1F"/>
    <w:rsid w:val="002271DC"/>
    <w:rsid w:val="00375761"/>
    <w:rsid w:val="0061778C"/>
    <w:rsid w:val="007902EC"/>
    <w:rsid w:val="008145AB"/>
    <w:rsid w:val="00A47D6E"/>
    <w:rsid w:val="00B311AF"/>
    <w:rsid w:val="00D93B1F"/>
    <w:rsid w:val="00DD4CCE"/>
    <w:rsid w:val="00E365EF"/>
    <w:rsid w:val="014D560B"/>
    <w:rsid w:val="024149A6"/>
    <w:rsid w:val="024A3A67"/>
    <w:rsid w:val="03695DE7"/>
    <w:rsid w:val="04182A85"/>
    <w:rsid w:val="0462389C"/>
    <w:rsid w:val="048C3708"/>
    <w:rsid w:val="04B262BE"/>
    <w:rsid w:val="05023882"/>
    <w:rsid w:val="053D5C48"/>
    <w:rsid w:val="057E0DE3"/>
    <w:rsid w:val="05DC138F"/>
    <w:rsid w:val="06C1202B"/>
    <w:rsid w:val="082B68AC"/>
    <w:rsid w:val="08897E49"/>
    <w:rsid w:val="097F6AA4"/>
    <w:rsid w:val="09C86F91"/>
    <w:rsid w:val="0A2166A1"/>
    <w:rsid w:val="0A4A5BF8"/>
    <w:rsid w:val="0A9B6453"/>
    <w:rsid w:val="0AA51080"/>
    <w:rsid w:val="0B0A655D"/>
    <w:rsid w:val="0B1F549C"/>
    <w:rsid w:val="0B293A5F"/>
    <w:rsid w:val="0C8A1D9B"/>
    <w:rsid w:val="0CA1581F"/>
    <w:rsid w:val="0D7F57E0"/>
    <w:rsid w:val="0D9A5BFA"/>
    <w:rsid w:val="0DB241E0"/>
    <w:rsid w:val="0DBF556A"/>
    <w:rsid w:val="0EA0228A"/>
    <w:rsid w:val="0EF27F68"/>
    <w:rsid w:val="0F0806AD"/>
    <w:rsid w:val="0F0E2D86"/>
    <w:rsid w:val="10091ED2"/>
    <w:rsid w:val="10C36704"/>
    <w:rsid w:val="112F1FB5"/>
    <w:rsid w:val="12445622"/>
    <w:rsid w:val="12940347"/>
    <w:rsid w:val="129F5010"/>
    <w:rsid w:val="12EA61CA"/>
    <w:rsid w:val="132959D5"/>
    <w:rsid w:val="132E3428"/>
    <w:rsid w:val="13864617"/>
    <w:rsid w:val="14EB5874"/>
    <w:rsid w:val="15033573"/>
    <w:rsid w:val="151A1F54"/>
    <w:rsid w:val="154E1149"/>
    <w:rsid w:val="15520CA1"/>
    <w:rsid w:val="15560382"/>
    <w:rsid w:val="15881947"/>
    <w:rsid w:val="160D2073"/>
    <w:rsid w:val="162A4334"/>
    <w:rsid w:val="16951380"/>
    <w:rsid w:val="17422EB4"/>
    <w:rsid w:val="175B58E8"/>
    <w:rsid w:val="17E94CA2"/>
    <w:rsid w:val="183B5119"/>
    <w:rsid w:val="185D269D"/>
    <w:rsid w:val="19067AD5"/>
    <w:rsid w:val="19143FA0"/>
    <w:rsid w:val="19636CD6"/>
    <w:rsid w:val="199D1A86"/>
    <w:rsid w:val="19A327C1"/>
    <w:rsid w:val="19A74E14"/>
    <w:rsid w:val="1AF84A59"/>
    <w:rsid w:val="1B1B5C83"/>
    <w:rsid w:val="1B3A75C2"/>
    <w:rsid w:val="1B520060"/>
    <w:rsid w:val="1BB83309"/>
    <w:rsid w:val="1BC872C4"/>
    <w:rsid w:val="1CF0262F"/>
    <w:rsid w:val="1D962329"/>
    <w:rsid w:val="1E162BB9"/>
    <w:rsid w:val="1E186857"/>
    <w:rsid w:val="1E2A7432"/>
    <w:rsid w:val="1EC75611"/>
    <w:rsid w:val="20060769"/>
    <w:rsid w:val="20895274"/>
    <w:rsid w:val="210802D8"/>
    <w:rsid w:val="21315CC2"/>
    <w:rsid w:val="214C004F"/>
    <w:rsid w:val="21BC6555"/>
    <w:rsid w:val="23113827"/>
    <w:rsid w:val="240259E5"/>
    <w:rsid w:val="24B95358"/>
    <w:rsid w:val="257D5945"/>
    <w:rsid w:val="25EF3DCB"/>
    <w:rsid w:val="268F519D"/>
    <w:rsid w:val="26F57B3D"/>
    <w:rsid w:val="27A4422C"/>
    <w:rsid w:val="27FC7AB5"/>
    <w:rsid w:val="281318C7"/>
    <w:rsid w:val="28136333"/>
    <w:rsid w:val="298B2C60"/>
    <w:rsid w:val="298D5819"/>
    <w:rsid w:val="29957EB6"/>
    <w:rsid w:val="2A170EE6"/>
    <w:rsid w:val="2AA35349"/>
    <w:rsid w:val="2B2C33CC"/>
    <w:rsid w:val="2B6F5066"/>
    <w:rsid w:val="2B7946DC"/>
    <w:rsid w:val="2C1C51EE"/>
    <w:rsid w:val="2C7D05EC"/>
    <w:rsid w:val="2CC71519"/>
    <w:rsid w:val="2CE86152"/>
    <w:rsid w:val="2DE60A9D"/>
    <w:rsid w:val="2E521472"/>
    <w:rsid w:val="2E7E14C9"/>
    <w:rsid w:val="2EEB0EA8"/>
    <w:rsid w:val="2EF20488"/>
    <w:rsid w:val="2F5B695D"/>
    <w:rsid w:val="30120709"/>
    <w:rsid w:val="306C7DC6"/>
    <w:rsid w:val="30800BE7"/>
    <w:rsid w:val="31234CB3"/>
    <w:rsid w:val="31F33790"/>
    <w:rsid w:val="32A55E11"/>
    <w:rsid w:val="333A41AC"/>
    <w:rsid w:val="348C6C89"/>
    <w:rsid w:val="3525070E"/>
    <w:rsid w:val="35444468"/>
    <w:rsid w:val="354971CF"/>
    <w:rsid w:val="35DB7EC8"/>
    <w:rsid w:val="36716471"/>
    <w:rsid w:val="371D1E1A"/>
    <w:rsid w:val="37F963E3"/>
    <w:rsid w:val="38351E66"/>
    <w:rsid w:val="38551E6A"/>
    <w:rsid w:val="386D5023"/>
    <w:rsid w:val="38D26C34"/>
    <w:rsid w:val="390A0223"/>
    <w:rsid w:val="395D4987"/>
    <w:rsid w:val="3B653D90"/>
    <w:rsid w:val="3C1852A6"/>
    <w:rsid w:val="3C1C4A64"/>
    <w:rsid w:val="3C3B1478"/>
    <w:rsid w:val="3D844B7C"/>
    <w:rsid w:val="3EF67200"/>
    <w:rsid w:val="3F233925"/>
    <w:rsid w:val="3FAD641B"/>
    <w:rsid w:val="3FB44612"/>
    <w:rsid w:val="3FE01B1C"/>
    <w:rsid w:val="40046D13"/>
    <w:rsid w:val="40CA5C2D"/>
    <w:rsid w:val="410E4A44"/>
    <w:rsid w:val="414F28B1"/>
    <w:rsid w:val="42154762"/>
    <w:rsid w:val="43041937"/>
    <w:rsid w:val="4320516C"/>
    <w:rsid w:val="43DD3E5A"/>
    <w:rsid w:val="44355C57"/>
    <w:rsid w:val="443A6632"/>
    <w:rsid w:val="45287D24"/>
    <w:rsid w:val="454964D0"/>
    <w:rsid w:val="45DF68CB"/>
    <w:rsid w:val="45E5269D"/>
    <w:rsid w:val="45E9429C"/>
    <w:rsid w:val="460A64D2"/>
    <w:rsid w:val="46203E24"/>
    <w:rsid w:val="464C7C9B"/>
    <w:rsid w:val="46A967E4"/>
    <w:rsid w:val="46B6637D"/>
    <w:rsid w:val="474D04FA"/>
    <w:rsid w:val="477200AE"/>
    <w:rsid w:val="4785185A"/>
    <w:rsid w:val="47BE6D02"/>
    <w:rsid w:val="481B63B6"/>
    <w:rsid w:val="48F662B3"/>
    <w:rsid w:val="48F74BC1"/>
    <w:rsid w:val="49411970"/>
    <w:rsid w:val="496E7F48"/>
    <w:rsid w:val="4A1B1471"/>
    <w:rsid w:val="4B1362E3"/>
    <w:rsid w:val="4B9117CC"/>
    <w:rsid w:val="4C6C5AF1"/>
    <w:rsid w:val="4C8C6E2A"/>
    <w:rsid w:val="4C917D41"/>
    <w:rsid w:val="4CC16D7F"/>
    <w:rsid w:val="4CE313E9"/>
    <w:rsid w:val="4CFD1FA0"/>
    <w:rsid w:val="4D0D77FD"/>
    <w:rsid w:val="4D5679DC"/>
    <w:rsid w:val="4D866514"/>
    <w:rsid w:val="4DB4554A"/>
    <w:rsid w:val="4E037EE6"/>
    <w:rsid w:val="4E6E5E7F"/>
    <w:rsid w:val="4E893884"/>
    <w:rsid w:val="4EDA51D8"/>
    <w:rsid w:val="4EF632AE"/>
    <w:rsid w:val="4F190832"/>
    <w:rsid w:val="4F292F55"/>
    <w:rsid w:val="50264C5C"/>
    <w:rsid w:val="504306EC"/>
    <w:rsid w:val="50B909AE"/>
    <w:rsid w:val="50C406E4"/>
    <w:rsid w:val="512247A5"/>
    <w:rsid w:val="541C1980"/>
    <w:rsid w:val="54224A50"/>
    <w:rsid w:val="546108D5"/>
    <w:rsid w:val="554178E8"/>
    <w:rsid w:val="55443DFC"/>
    <w:rsid w:val="557529F8"/>
    <w:rsid w:val="55781588"/>
    <w:rsid w:val="55B9763E"/>
    <w:rsid w:val="55F24830"/>
    <w:rsid w:val="56326745"/>
    <w:rsid w:val="566413BC"/>
    <w:rsid w:val="56A676EB"/>
    <w:rsid w:val="56F83D0C"/>
    <w:rsid w:val="572763EB"/>
    <w:rsid w:val="575B631B"/>
    <w:rsid w:val="57766A4D"/>
    <w:rsid w:val="577B28F1"/>
    <w:rsid w:val="57830607"/>
    <w:rsid w:val="57F4758F"/>
    <w:rsid w:val="585F0BD8"/>
    <w:rsid w:val="58871392"/>
    <w:rsid w:val="58C6175D"/>
    <w:rsid w:val="58CD2D07"/>
    <w:rsid w:val="59A56BC2"/>
    <w:rsid w:val="59AD6BD6"/>
    <w:rsid w:val="5A3C3F0A"/>
    <w:rsid w:val="5A4D499A"/>
    <w:rsid w:val="5A537966"/>
    <w:rsid w:val="5A772246"/>
    <w:rsid w:val="5A7D0C9E"/>
    <w:rsid w:val="5ACE0C44"/>
    <w:rsid w:val="5AE90694"/>
    <w:rsid w:val="5AF466D4"/>
    <w:rsid w:val="5B0F405E"/>
    <w:rsid w:val="5B1433B1"/>
    <w:rsid w:val="5B325FEC"/>
    <w:rsid w:val="5B7052F9"/>
    <w:rsid w:val="5C13353F"/>
    <w:rsid w:val="5C8C6761"/>
    <w:rsid w:val="5CFF3BED"/>
    <w:rsid w:val="5D2E2764"/>
    <w:rsid w:val="5D861C18"/>
    <w:rsid w:val="5DCD3CEB"/>
    <w:rsid w:val="5DF72526"/>
    <w:rsid w:val="5E0B123F"/>
    <w:rsid w:val="5E9860A7"/>
    <w:rsid w:val="5EE52C75"/>
    <w:rsid w:val="5F321E6E"/>
    <w:rsid w:val="5FD54C27"/>
    <w:rsid w:val="5FFB445E"/>
    <w:rsid w:val="605E28A2"/>
    <w:rsid w:val="6101712B"/>
    <w:rsid w:val="611E023E"/>
    <w:rsid w:val="611F4E36"/>
    <w:rsid w:val="6166423A"/>
    <w:rsid w:val="6338060C"/>
    <w:rsid w:val="64044202"/>
    <w:rsid w:val="6507503C"/>
    <w:rsid w:val="6535464F"/>
    <w:rsid w:val="65384C44"/>
    <w:rsid w:val="654E5711"/>
    <w:rsid w:val="659415BD"/>
    <w:rsid w:val="66B06A9E"/>
    <w:rsid w:val="66DD63E5"/>
    <w:rsid w:val="66EA3218"/>
    <w:rsid w:val="66F97A54"/>
    <w:rsid w:val="68DC416E"/>
    <w:rsid w:val="694C01BA"/>
    <w:rsid w:val="69656389"/>
    <w:rsid w:val="69AE7840"/>
    <w:rsid w:val="69D4452F"/>
    <w:rsid w:val="6A5C61DA"/>
    <w:rsid w:val="6A6E23B2"/>
    <w:rsid w:val="6A9C2A7B"/>
    <w:rsid w:val="6B3B004F"/>
    <w:rsid w:val="6B713F07"/>
    <w:rsid w:val="6B8003A5"/>
    <w:rsid w:val="6B85333E"/>
    <w:rsid w:val="6B9B48D9"/>
    <w:rsid w:val="6C1C0677"/>
    <w:rsid w:val="6C7207B7"/>
    <w:rsid w:val="6D592EA5"/>
    <w:rsid w:val="6DAB380B"/>
    <w:rsid w:val="6DD97740"/>
    <w:rsid w:val="6E4C2A0A"/>
    <w:rsid w:val="6E551AFF"/>
    <w:rsid w:val="6EDA6400"/>
    <w:rsid w:val="702D1B02"/>
    <w:rsid w:val="708E757A"/>
    <w:rsid w:val="71593474"/>
    <w:rsid w:val="719B55D2"/>
    <w:rsid w:val="71B13050"/>
    <w:rsid w:val="726A7063"/>
    <w:rsid w:val="728577B6"/>
    <w:rsid w:val="72CE73C6"/>
    <w:rsid w:val="72D311B2"/>
    <w:rsid w:val="733C302D"/>
    <w:rsid w:val="747F3DA7"/>
    <w:rsid w:val="74F02341"/>
    <w:rsid w:val="74FB14A6"/>
    <w:rsid w:val="74FC5B91"/>
    <w:rsid w:val="75156511"/>
    <w:rsid w:val="75AF7C6E"/>
    <w:rsid w:val="75B8488D"/>
    <w:rsid w:val="75CF6598"/>
    <w:rsid w:val="75FC6AC3"/>
    <w:rsid w:val="762001BB"/>
    <w:rsid w:val="76A21419"/>
    <w:rsid w:val="77354CF9"/>
    <w:rsid w:val="773D3837"/>
    <w:rsid w:val="77743287"/>
    <w:rsid w:val="77852348"/>
    <w:rsid w:val="77A26F92"/>
    <w:rsid w:val="77B318CB"/>
    <w:rsid w:val="78F3578F"/>
    <w:rsid w:val="7A3A25F4"/>
    <w:rsid w:val="7A6B598B"/>
    <w:rsid w:val="7AAE3295"/>
    <w:rsid w:val="7B046B46"/>
    <w:rsid w:val="7B252618"/>
    <w:rsid w:val="7B2F3B4A"/>
    <w:rsid w:val="7B610879"/>
    <w:rsid w:val="7BC7188B"/>
    <w:rsid w:val="7C853A45"/>
    <w:rsid w:val="7CBE03EA"/>
    <w:rsid w:val="7D1D47BD"/>
    <w:rsid w:val="7D2F2B0C"/>
    <w:rsid w:val="7E374D98"/>
    <w:rsid w:val="7E533563"/>
    <w:rsid w:val="7E5714CF"/>
    <w:rsid w:val="7EF42459"/>
    <w:rsid w:val="7F777DF7"/>
    <w:rsid w:val="7FA5532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4">
    <w:name w:val="heading 1"/>
    <w:basedOn w:val="1"/>
    <w:next w:val="1"/>
    <w:qFormat/>
    <w:uiPriority w:val="0"/>
    <w:pPr>
      <w:autoSpaceDE w:val="0"/>
      <w:autoSpaceDN w:val="0"/>
      <w:adjustRightInd w:val="0"/>
      <w:jc w:val="left"/>
      <w:outlineLvl w:val="0"/>
    </w:pPr>
    <w:rPr>
      <w:rFonts w:ascii="Times New Roman"/>
      <w:kern w:val="0"/>
      <w:sz w:val="30"/>
    </w:rPr>
  </w:style>
  <w:style w:type="paragraph" w:styleId="5">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6">
    <w:name w:val="heading 3"/>
    <w:basedOn w:val="7"/>
    <w:next w:val="7"/>
    <w:qFormat/>
    <w:uiPriority w:val="0"/>
    <w:pPr>
      <w:keepNext/>
      <w:keepLines/>
      <w:spacing w:before="120" w:beforeLines="0" w:beforeAutospacing="0" w:after="120" w:afterLines="0" w:afterAutospacing="0"/>
      <w:jc w:val="center"/>
      <w:outlineLvl w:val="2"/>
    </w:pPr>
    <w:rPr>
      <w:sz w:val="24"/>
    </w:rPr>
  </w:style>
  <w:style w:type="paragraph" w:styleId="8">
    <w:name w:val="heading 4"/>
    <w:basedOn w:val="1"/>
    <w:next w:val="1"/>
    <w:qFormat/>
    <w:uiPriority w:val="0"/>
    <w:pPr>
      <w:keepNext/>
      <w:keepLines/>
      <w:spacing w:line="374" w:lineRule="auto"/>
      <w:outlineLvl w:val="3"/>
    </w:pPr>
    <w:rPr>
      <w:rFonts w:ascii="Arial" w:hAnsi="Arial"/>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Plain Text"/>
    <w:basedOn w:val="1"/>
    <w:next w:val="3"/>
    <w:qFormat/>
    <w:uiPriority w:val="0"/>
    <w:pPr>
      <w:ind w:firstLine="200" w:firstLineChars="200"/>
    </w:pPr>
    <w:rPr>
      <w:rFonts w:ascii="宋体" w:hAnsi="Courier New"/>
      <w:szCs w:val="21"/>
    </w:rPr>
  </w:style>
  <w:style w:type="paragraph" w:customStyle="1" w:styleId="3">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styleId="7">
    <w:name w:val="Normal Indent"/>
    <w:basedOn w:val="1"/>
    <w:qFormat/>
    <w:uiPriority w:val="0"/>
    <w:pPr>
      <w:spacing w:line="360" w:lineRule="auto"/>
      <w:ind w:firstLine="200" w:firstLineChars="200"/>
    </w:pPr>
    <w:rPr>
      <w:rFonts w:ascii="Times New Roman" w:hAnsi="Times New Roman" w:eastAsia="宋体" w:cs="Times New Roman"/>
      <w:sz w:val="24"/>
    </w:rPr>
  </w:style>
  <w:style w:type="paragraph" w:styleId="9">
    <w:name w:val="annotation text"/>
    <w:basedOn w:val="1"/>
    <w:qFormat/>
    <w:uiPriority w:val="0"/>
    <w:pPr>
      <w:adjustRightInd w:val="0"/>
      <w:spacing w:line="360" w:lineRule="atLeast"/>
      <w:jc w:val="left"/>
      <w:textAlignment w:val="baseline"/>
    </w:pPr>
    <w:rPr>
      <w:kern w:val="0"/>
    </w:rPr>
  </w:style>
  <w:style w:type="paragraph" w:styleId="10">
    <w:name w:val="Body Text"/>
    <w:basedOn w:val="1"/>
    <w:semiHidden/>
    <w:qFormat/>
    <w:uiPriority w:val="0"/>
    <w:rPr>
      <w:rFonts w:ascii="Arial" w:hAnsi="Arial" w:eastAsia="Arial" w:cs="Arial"/>
      <w:sz w:val="21"/>
      <w:szCs w:val="21"/>
      <w:lang w:val="en-US" w:eastAsia="en-US" w:bidi="ar-SA"/>
    </w:rPr>
  </w:style>
  <w:style w:type="paragraph" w:styleId="11">
    <w:name w:val="Body Text Indent"/>
    <w:basedOn w:val="1"/>
    <w:next w:val="12"/>
    <w:qFormat/>
    <w:uiPriority w:val="0"/>
    <w:pPr>
      <w:spacing w:after="120" w:afterLines="0"/>
      <w:ind w:left="420" w:leftChars="200"/>
    </w:pPr>
  </w:style>
  <w:style w:type="paragraph" w:styleId="12">
    <w:name w:val="envelope return"/>
    <w:basedOn w:val="1"/>
    <w:qFormat/>
    <w:uiPriority w:val="99"/>
    <w:pPr>
      <w:snapToGrid w:val="0"/>
    </w:pPr>
    <w:rPr>
      <w:rFonts w:ascii="Arial" w:hAnsi="Arial"/>
    </w:rPr>
  </w:style>
  <w:style w:type="paragraph" w:styleId="13">
    <w:name w:val="toc 3"/>
    <w:basedOn w:val="1"/>
    <w:next w:val="1"/>
    <w:qFormat/>
    <w:uiPriority w:val="0"/>
    <w:pPr>
      <w:ind w:left="840" w:leftChars="400"/>
    </w:pPr>
  </w:style>
  <w:style w:type="paragraph" w:styleId="14">
    <w:name w:val="Body Text Indent 2"/>
    <w:basedOn w:val="1"/>
    <w:qFormat/>
    <w:uiPriority w:val="0"/>
    <w:pPr>
      <w:spacing w:line="480" w:lineRule="auto"/>
      <w:ind w:firstLine="561"/>
    </w:pPr>
    <w:rPr>
      <w:rFonts w:ascii="宋体"/>
    </w:rPr>
  </w:style>
  <w:style w:type="paragraph" w:styleId="15">
    <w:name w:val="Balloon Text"/>
    <w:basedOn w:val="1"/>
    <w:link w:val="28"/>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link w:val="29"/>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Body Text 2"/>
    <w:basedOn w:val="1"/>
    <w:next w:val="10"/>
    <w:qFormat/>
    <w:uiPriority w:val="0"/>
    <w:pPr>
      <w:spacing w:line="500" w:lineRule="exact"/>
    </w:pPr>
    <w:rPr>
      <w:rFonts w:hint="default"/>
    </w:rPr>
  </w:style>
  <w:style w:type="paragraph" w:styleId="21">
    <w:name w:val="Normal (Web)"/>
    <w:basedOn w:val="1"/>
    <w:qFormat/>
    <w:uiPriority w:val="0"/>
    <w:pPr>
      <w:spacing w:beforeAutospacing="1" w:afterAutospacing="1"/>
      <w:jc w:val="left"/>
    </w:pPr>
    <w:rPr>
      <w:rFonts w:cs="Times New Roman"/>
      <w:kern w:val="0"/>
      <w:sz w:val="24"/>
    </w:rPr>
  </w:style>
  <w:style w:type="paragraph" w:styleId="22">
    <w:name w:val="Body Text First Indent"/>
    <w:basedOn w:val="10"/>
    <w:qFormat/>
    <w:uiPriority w:val="99"/>
    <w:pPr>
      <w:spacing w:line="240" w:lineRule="auto"/>
      <w:ind w:firstLine="420" w:firstLineChars="100"/>
    </w:pPr>
    <w:rPr>
      <w:rFonts w:ascii="Times New Roman" w:cs="Times New Roman"/>
      <w:sz w:val="20"/>
      <w:szCs w:val="20"/>
    </w:rPr>
  </w:style>
  <w:style w:type="paragraph" w:styleId="23">
    <w:name w:val="Body Text First Indent 2"/>
    <w:basedOn w:val="7"/>
    <w:unhideWhenUsed/>
    <w:qFormat/>
    <w:uiPriority w:val="99"/>
    <w:pPr>
      <w:tabs>
        <w:tab w:val="left" w:pos="0"/>
        <w:tab w:val="left" w:pos="8130"/>
      </w:tabs>
      <w:ind w:firstLine="42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0"/>
    <w:rPr>
      <w:color w:val="0000FF"/>
      <w:u w:val="single"/>
    </w:rPr>
  </w:style>
  <w:style w:type="character" w:customStyle="1" w:styleId="28">
    <w:name w:val="批注框文本 Char"/>
    <w:link w:val="15"/>
    <w:qFormat/>
    <w:uiPriority w:val="0"/>
    <w:rPr>
      <w:rFonts w:ascii="Arial" w:hAnsi="Arial" w:eastAsia="Arial" w:cs="Arial"/>
      <w:snapToGrid/>
      <w:color w:val="000000"/>
      <w:sz w:val="18"/>
      <w:szCs w:val="18"/>
      <w:lang w:eastAsia="en-US"/>
    </w:rPr>
  </w:style>
  <w:style w:type="character" w:customStyle="1" w:styleId="29">
    <w:name w:val="页眉 Char"/>
    <w:link w:val="17"/>
    <w:qFormat/>
    <w:uiPriority w:val="0"/>
    <w:rPr>
      <w:rFonts w:ascii="Arial" w:hAnsi="Arial" w:eastAsia="Arial" w:cs="Arial"/>
      <w:snapToGrid/>
      <w:color w:val="000000"/>
      <w:sz w:val="18"/>
      <w:szCs w:val="18"/>
      <w:lang w:eastAsia="en-US"/>
    </w:rPr>
  </w:style>
  <w:style w:type="paragraph" w:customStyle="1" w:styleId="30">
    <w:name w:val="章标题"/>
    <w:next w:val="1"/>
    <w:qFormat/>
    <w:uiPriority w:val="0"/>
    <w:pPr>
      <w:spacing w:before="50" w:after="50"/>
      <w:jc w:val="both"/>
      <w:outlineLvl w:val="1"/>
    </w:pPr>
    <w:rPr>
      <w:rFonts w:ascii="黑体" w:hAnsi="Calibri" w:eastAsia="黑体" w:cs="Times New Roman"/>
      <w:kern w:val="0"/>
      <w:sz w:val="21"/>
      <w:szCs w:val="20"/>
      <w:lang w:val="en-US" w:eastAsia="zh-CN" w:bidi="ar-SA"/>
    </w:rPr>
  </w:style>
  <w:style w:type="table" w:customStyle="1" w:styleId="31">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32">
    <w:name w:val="Table Text"/>
    <w:basedOn w:val="1"/>
    <w:semiHidden/>
    <w:qFormat/>
    <w:uiPriority w:val="0"/>
    <w:rPr>
      <w:rFonts w:ascii="Arial" w:hAnsi="Arial" w:eastAsia="Arial" w:cs="Arial"/>
      <w:sz w:val="21"/>
      <w:szCs w:val="21"/>
      <w:lang w:val="en-US" w:eastAsia="en-US" w:bidi="ar-SA"/>
    </w:rPr>
  </w:style>
  <w:style w:type="paragraph" w:customStyle="1" w:styleId="33">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6">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7">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Chars="200"/>
    </w:pPr>
    <w:rPr>
      <w:rFonts w:ascii="Times New Roman" w:hAnsi="Times New Roman" w:eastAsia="宋体" w:cs="Times New Roman"/>
      <w:lang w:val="en-US" w:eastAsia="zh-CN" w:bidi="ar-SA"/>
    </w:rPr>
  </w:style>
  <w:style w:type="paragraph" w:customStyle="1" w:styleId="40">
    <w:name w:val="WPSOffice手动目录 3"/>
    <w:qFormat/>
    <w:uiPriority w:val="0"/>
    <w:pPr>
      <w:ind w:leftChars="400"/>
    </w:pPr>
    <w:rPr>
      <w:rFonts w:ascii="Times New Roman" w:hAnsi="Times New Roman" w:eastAsia="宋体" w:cs="Times New Roman"/>
      <w:lang w:val="en-US" w:eastAsia="zh-CN" w:bidi="ar-SA"/>
    </w:rPr>
  </w:style>
  <w:style w:type="paragraph" w:customStyle="1" w:styleId="41">
    <w:name w:val="正文缩进1"/>
    <w:basedOn w:val="1"/>
    <w:qFormat/>
    <w:uiPriority w:val="0"/>
    <w:pPr>
      <w:widowControl/>
      <w:ind w:firstLine="420"/>
      <w:jc w:val="left"/>
    </w:pPr>
    <w:rPr>
      <w:kern w:val="0"/>
    </w:rPr>
  </w:style>
  <w:style w:type="paragraph" w:customStyle="1" w:styleId="42">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4">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5">
    <w:name w:val="样式 宋体 行距: 1.5 倍行距"/>
    <w:basedOn w:val="46"/>
    <w:next w:val="1"/>
    <w:qFormat/>
    <w:uiPriority w:val="99"/>
    <w:pPr>
      <w:jc w:val="center"/>
    </w:pPr>
    <w:rPr>
      <w:b/>
    </w:rPr>
  </w:style>
  <w:style w:type="paragraph" w:customStyle="1" w:styleId="46">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45"/>
    <w:qFormat/>
    <w:uiPriority w:val="0"/>
    <w:pPr>
      <w:widowControl w:val="0"/>
      <w:jc w:val="both"/>
    </w:pPr>
    <w:rPr>
      <w:rFonts w:ascii="Calibri" w:hAnsi="Calibri" w:eastAsia="宋体" w:cs="黑体"/>
      <w:kern w:val="2"/>
      <w:sz w:val="21"/>
      <w:szCs w:val="24"/>
      <w:lang w:val="en-US" w:eastAsia="zh-CN" w:bidi="ar-SA"/>
    </w:rPr>
  </w:style>
  <w:style w:type="paragraph" w:customStyle="1" w:styleId="47">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48">
    <w:name w:val="NormalCharacter"/>
    <w:qFormat/>
    <w:uiPriority w:val="99"/>
  </w:style>
  <w:style w:type="paragraph" w:customStyle="1" w:styleId="49">
    <w:name w:val="普通(网站)1"/>
    <w:basedOn w:val="1"/>
    <w:qFormat/>
    <w:uiPriority w:val="0"/>
    <w:pPr>
      <w:spacing w:before="100" w:beforeAutospacing="1" w:after="100" w:afterAutospacing="1"/>
      <w:jc w:val="left"/>
    </w:pPr>
    <w:rPr>
      <w:rFonts w:ascii="宋体" w:hAnsi="宋体" w:eastAsia="宋体"/>
      <w:kern w:val="0"/>
      <w:sz w:val="24"/>
    </w:rPr>
  </w:style>
  <w:style w:type="paragraph" w:customStyle="1" w:styleId="50">
    <w:name w:val="Heading2"/>
    <w:basedOn w:val="1"/>
    <w:next w:val="1"/>
    <w:qFormat/>
    <w:uiPriority w:val="99"/>
    <w:pPr>
      <w:jc w:val="left"/>
    </w:pPr>
    <w:rPr>
      <w:kern w:val="0"/>
    </w:rPr>
  </w:style>
  <w:style w:type="paragraph" w:customStyle="1" w:styleId="51">
    <w:name w:val="AnnotationText"/>
    <w:basedOn w:val="1"/>
    <w:qFormat/>
    <w:uiPriority w:val="99"/>
    <w:pPr>
      <w:spacing w:line="360" w:lineRule="atLeast"/>
      <w:jc w:val="left"/>
    </w:pPr>
    <w:rPr>
      <w:kern w:val="0"/>
    </w:rPr>
  </w:style>
  <w:style w:type="paragraph" w:customStyle="1" w:styleId="52">
    <w:name w:val="UserStyle_44"/>
    <w:basedOn w:val="53"/>
    <w:qFormat/>
    <w:uiPriority w:val="99"/>
    <w:rPr>
      <w:sz w:val="24"/>
      <w:szCs w:val="24"/>
    </w:rPr>
  </w:style>
  <w:style w:type="paragraph" w:customStyle="1" w:styleId="53">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4">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55">
    <w:name w:val="List Paragraph"/>
    <w:basedOn w:val="1"/>
    <w:qFormat/>
    <w:uiPriority w:val="0"/>
    <w:pPr>
      <w:keepNext w:val="0"/>
      <w:keepLines w:val="0"/>
      <w:widowControl w:val="0"/>
      <w:suppressLineNumbers w:val="0"/>
      <w:spacing w:before="0" w:beforeLines="0" w:beforeAutospacing="0" w:after="0" w:afterLines="0" w:afterAutospacing="0" w:line="240" w:lineRule="auto"/>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56">
    <w:name w:val="Heading1"/>
    <w:basedOn w:val="1"/>
    <w:next w:val="1"/>
    <w:qFormat/>
    <w:uiPriority w:val="99"/>
    <w:pPr>
      <w:jc w:val="left"/>
    </w:pPr>
    <w:rPr>
      <w:kern w:val="0"/>
      <w:sz w:val="30"/>
      <w:szCs w:val="30"/>
    </w:rPr>
  </w:style>
  <w:style w:type="paragraph" w:customStyle="1" w:styleId="57">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8">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9">
    <w:name w:val="标题 3 New New"/>
    <w:basedOn w:val="60"/>
    <w:next w:val="60"/>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60">
    <w:name w:val="正文缩进 New"/>
    <w:basedOn w:val="61"/>
    <w:qFormat/>
    <w:uiPriority w:val="0"/>
    <w:pPr>
      <w:widowControl/>
      <w:ind w:firstLine="420"/>
      <w:jc w:val="left"/>
    </w:pPr>
    <w:rPr>
      <w:kern w:val="0"/>
      <w:sz w:val="20"/>
    </w:rPr>
  </w:style>
  <w:style w:type="paragraph" w:customStyle="1" w:styleId="61">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2">
    <w:name w:val="正文文本缩进 New"/>
    <w:basedOn w:val="61"/>
    <w:qFormat/>
    <w:uiPriority w:val="0"/>
    <w:pPr>
      <w:ind w:firstLine="560" w:firstLineChars="200"/>
    </w:pPr>
    <w:rPr>
      <w:rFonts w:ascii="宋体"/>
      <w:kern w:val="2"/>
      <w:sz w:val="24"/>
    </w:rPr>
  </w:style>
  <w:style w:type="paragraph" w:customStyle="1" w:styleId="6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文本1"/>
    <w:basedOn w:val="1"/>
    <w:qFormat/>
    <w:uiPriority w:val="0"/>
    <w:pPr>
      <w:spacing w:after="120"/>
    </w:pPr>
  </w:style>
  <w:style w:type="character" w:customStyle="1" w:styleId="66">
    <w:name w:val="正文文本 (2) + 间距 0 pt3"/>
    <w:basedOn w:val="26"/>
    <w:qFormat/>
    <w:uiPriority w:val="99"/>
    <w:rPr>
      <w:rFonts w:ascii="MingLiU" w:eastAsia="MingLiU" w:cs="MingLiU"/>
      <w:spacing w:val="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wmf"/><Relationship Id="rId30" Type="http://schemas.openxmlformats.org/officeDocument/2006/relationships/oleObject" Target="embeddings/oleObject12.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11.bin"/><Relationship Id="rId27" Type="http://schemas.openxmlformats.org/officeDocument/2006/relationships/image" Target="media/image12.wmf"/><Relationship Id="rId26" Type="http://schemas.openxmlformats.org/officeDocument/2006/relationships/oleObject" Target="embeddings/oleObject10.bin"/><Relationship Id="rId25" Type="http://schemas.openxmlformats.org/officeDocument/2006/relationships/image" Target="media/image11.wmf"/><Relationship Id="rId24" Type="http://schemas.openxmlformats.org/officeDocument/2006/relationships/oleObject" Target="embeddings/oleObject9.bin"/><Relationship Id="rId23" Type="http://schemas.openxmlformats.org/officeDocument/2006/relationships/image" Target="media/image10.wmf"/><Relationship Id="rId22" Type="http://schemas.openxmlformats.org/officeDocument/2006/relationships/oleObject" Target="embeddings/oleObject8.bin"/><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91</Pages>
  <Words>973</Words>
  <Characters>1101</Characters>
  <Lines>459</Lines>
  <Paragraphs>129</Paragraphs>
  <TotalTime>4</TotalTime>
  <ScaleCrop>false</ScaleCrop>
  <LinksUpToDate>false</LinksUpToDate>
  <CharactersWithSpaces>1280</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2024-07-04T19:08:00Z</dcterms:created>
  <dc:creator>Administrator</dc:creator>
  <cp:lastModifiedBy>明正</cp:lastModifiedBy>
  <cp:lastPrinted>2025-08-15T00:36:00Z</cp:lastPrinted>
  <dcterms:modified xsi:type="dcterms:W3CDTF">2025-08-18T03:35:04Z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2024-07-30T11:15:44Z</vt:filetime>
  </property>
  <property fmtid="{D5CDD505-2E9C-101B-9397-08002B2CF9AE}" pid="4" name="KSOProductBuildVer">
    <vt:lpwstr>2052-12.1.0.22089</vt:lpwstr>
  </property>
  <property fmtid="{D5CDD505-2E9C-101B-9397-08002B2CF9AE}" pid="5" name="ICV">
    <vt:lpwstr>F09DA96BDD044EFCBCBC0C58C041CD18_13</vt:lpwstr>
  </property>
  <property fmtid="{D5CDD505-2E9C-101B-9397-08002B2CF9AE}" pid="6" name="KSOTemplateDocerSaveRecord">
    <vt:lpwstr>eyJoZGlkIjoiY2ZiMzI0MGUwZmU4OTk2OGQwYTNlYmNmYzRlNTVkMmIiLCJ1c2VySWQiOiIzMjI4NDYzOTkifQ==</vt:lpwstr>
  </property>
</Properties>
</file>