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FB68">
      <w:pPr>
        <w:pStyle w:val="2"/>
        <w:spacing w:line="264" w:lineRule="auto"/>
      </w:pPr>
    </w:p>
    <w:p w14:paraId="6E8AAEC8">
      <w:pPr>
        <w:pStyle w:val="2"/>
        <w:spacing w:line="264" w:lineRule="auto"/>
      </w:pPr>
    </w:p>
    <w:p w14:paraId="2BEE77F6">
      <w:pPr>
        <w:pStyle w:val="2"/>
        <w:spacing w:line="264" w:lineRule="auto"/>
      </w:pPr>
    </w:p>
    <w:p w14:paraId="0B4953F1">
      <w:pPr>
        <w:spacing w:before="179" w:line="221" w:lineRule="auto"/>
        <w:ind w:left="1414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2"/>
          <w:sz w:val="55"/>
          <w:szCs w:val="55"/>
        </w:rPr>
        <w:t>项目场地交通分析报告</w:t>
      </w:r>
    </w:p>
    <w:p w14:paraId="5D027D42">
      <w:pPr>
        <w:pStyle w:val="2"/>
        <w:spacing w:line="245" w:lineRule="auto"/>
      </w:pPr>
    </w:p>
    <w:p w14:paraId="5AE8656D">
      <w:pPr>
        <w:pStyle w:val="2"/>
        <w:spacing w:line="245" w:lineRule="auto"/>
      </w:pPr>
    </w:p>
    <w:p w14:paraId="2A95BD2F">
      <w:pPr>
        <w:pStyle w:val="2"/>
        <w:spacing w:line="245" w:lineRule="auto"/>
      </w:pPr>
    </w:p>
    <w:p w14:paraId="190179F7">
      <w:pPr>
        <w:pStyle w:val="2"/>
        <w:spacing w:line="245" w:lineRule="auto"/>
      </w:pPr>
    </w:p>
    <w:p w14:paraId="34BDD337">
      <w:pPr>
        <w:pStyle w:val="2"/>
        <w:spacing w:line="245" w:lineRule="auto"/>
      </w:pPr>
    </w:p>
    <w:p w14:paraId="6CE288AD">
      <w:pPr>
        <w:pStyle w:val="2"/>
        <w:spacing w:line="245" w:lineRule="auto"/>
      </w:pPr>
    </w:p>
    <w:p w14:paraId="1BDC83B9">
      <w:pPr>
        <w:pStyle w:val="2"/>
        <w:spacing w:line="245" w:lineRule="auto"/>
      </w:pPr>
    </w:p>
    <w:p w14:paraId="59670847">
      <w:pPr>
        <w:pStyle w:val="2"/>
        <w:spacing w:line="245" w:lineRule="auto"/>
      </w:pPr>
    </w:p>
    <w:p w14:paraId="22D8B435">
      <w:pPr>
        <w:pStyle w:val="2"/>
        <w:spacing w:line="246" w:lineRule="auto"/>
      </w:pPr>
    </w:p>
    <w:p w14:paraId="5CCBC2D2">
      <w:pPr>
        <w:pStyle w:val="2"/>
        <w:spacing w:line="246" w:lineRule="auto"/>
      </w:pPr>
    </w:p>
    <w:p w14:paraId="33288C93">
      <w:pPr>
        <w:pStyle w:val="2"/>
        <w:spacing w:line="246" w:lineRule="auto"/>
      </w:pPr>
    </w:p>
    <w:p w14:paraId="631A9956">
      <w:pPr>
        <w:pStyle w:val="2"/>
        <w:spacing w:line="246" w:lineRule="auto"/>
      </w:pPr>
    </w:p>
    <w:p w14:paraId="733B539C">
      <w:pPr>
        <w:pStyle w:val="2"/>
        <w:spacing w:line="246" w:lineRule="auto"/>
      </w:pPr>
    </w:p>
    <w:p w14:paraId="304253CC">
      <w:pPr>
        <w:pStyle w:val="2"/>
        <w:spacing w:line="246" w:lineRule="auto"/>
      </w:pPr>
    </w:p>
    <w:p w14:paraId="574D670F">
      <w:pPr>
        <w:pStyle w:val="2"/>
        <w:spacing w:line="246" w:lineRule="auto"/>
      </w:pPr>
    </w:p>
    <w:p w14:paraId="2EBF45D2">
      <w:pPr>
        <w:pStyle w:val="2"/>
        <w:spacing w:line="246" w:lineRule="auto"/>
      </w:pPr>
    </w:p>
    <w:p w14:paraId="2ED46827">
      <w:pPr>
        <w:pStyle w:val="2"/>
        <w:spacing w:line="246" w:lineRule="auto"/>
      </w:pPr>
    </w:p>
    <w:p w14:paraId="44FAF734">
      <w:pPr>
        <w:pStyle w:val="2"/>
        <w:spacing w:line="246" w:lineRule="auto"/>
      </w:pPr>
    </w:p>
    <w:p w14:paraId="7C389EDF">
      <w:pPr>
        <w:pStyle w:val="2"/>
        <w:spacing w:line="246" w:lineRule="auto"/>
      </w:pPr>
    </w:p>
    <w:p w14:paraId="07954CED">
      <w:pPr>
        <w:pStyle w:val="2"/>
        <w:spacing w:line="246" w:lineRule="auto"/>
      </w:pPr>
    </w:p>
    <w:p w14:paraId="008521F2">
      <w:pPr>
        <w:pStyle w:val="2"/>
        <w:spacing w:line="246" w:lineRule="auto"/>
      </w:pPr>
    </w:p>
    <w:p w14:paraId="5A3242A3">
      <w:pPr>
        <w:pStyle w:val="2"/>
        <w:spacing w:line="246" w:lineRule="auto"/>
      </w:pPr>
    </w:p>
    <w:p w14:paraId="62E0302C">
      <w:pPr>
        <w:pStyle w:val="2"/>
        <w:spacing w:line="246" w:lineRule="auto"/>
      </w:pPr>
    </w:p>
    <w:p w14:paraId="19758D5C">
      <w:pPr>
        <w:pStyle w:val="2"/>
        <w:spacing w:line="246" w:lineRule="auto"/>
      </w:pPr>
    </w:p>
    <w:p w14:paraId="62A7A22A">
      <w:pPr>
        <w:pStyle w:val="2"/>
        <w:spacing w:line="246" w:lineRule="auto"/>
      </w:pPr>
    </w:p>
    <w:p w14:paraId="729DF5BA">
      <w:pPr>
        <w:pStyle w:val="2"/>
        <w:spacing w:line="246" w:lineRule="auto"/>
      </w:pPr>
    </w:p>
    <w:p w14:paraId="3898ED16">
      <w:pPr>
        <w:pStyle w:val="2"/>
        <w:spacing w:line="246" w:lineRule="auto"/>
      </w:pPr>
    </w:p>
    <w:p w14:paraId="32D6D95D">
      <w:pPr>
        <w:pStyle w:val="2"/>
        <w:spacing w:line="246" w:lineRule="auto"/>
      </w:pPr>
    </w:p>
    <w:p w14:paraId="5618AD95">
      <w:pPr>
        <w:pStyle w:val="2"/>
        <w:spacing w:line="246" w:lineRule="auto"/>
      </w:pPr>
    </w:p>
    <w:p w14:paraId="6A6E8037">
      <w:pPr>
        <w:pStyle w:val="2"/>
        <w:spacing w:line="246" w:lineRule="auto"/>
      </w:pPr>
    </w:p>
    <w:p w14:paraId="00865E60">
      <w:pPr>
        <w:pStyle w:val="2"/>
        <w:spacing w:line="246" w:lineRule="auto"/>
      </w:pPr>
    </w:p>
    <w:p w14:paraId="0CD459DF">
      <w:pPr>
        <w:spacing w:before="98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乳源洲街历史文化街区文创中心及配套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设施建设项目</w:t>
      </w:r>
    </w:p>
    <w:p w14:paraId="174F7CB1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40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1#、2#住宅楼                                  </w:t>
      </w:r>
    </w:p>
    <w:p w14:paraId="578A2A91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1B4E2658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4E2D8BC6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编辑日期：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  <w:t xml:space="preserve">5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5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月           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                       </w:t>
      </w:r>
    </w:p>
    <w:p w14:paraId="3C8E2B42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7" w:h="16839"/>
          <w:pgMar w:top="1431" w:right="1745" w:bottom="0" w:left="1757" w:header="0" w:footer="0" w:gutter="0"/>
          <w:cols w:space="720" w:num="1"/>
        </w:sectPr>
      </w:pPr>
    </w:p>
    <w:p w14:paraId="4857617B">
      <w:pPr>
        <w:pStyle w:val="2"/>
        <w:spacing w:line="248" w:lineRule="auto"/>
      </w:pPr>
    </w:p>
    <w:p w14:paraId="51D264B5">
      <w:pPr>
        <w:pStyle w:val="2"/>
        <w:spacing w:line="249" w:lineRule="auto"/>
      </w:pPr>
    </w:p>
    <w:p w14:paraId="76C9583D">
      <w:pPr>
        <w:spacing w:before="91" w:line="219" w:lineRule="auto"/>
        <w:ind w:left="12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一、建设项目基本情况</w:t>
      </w:r>
    </w:p>
    <w:p w14:paraId="1EDF39A0">
      <w:pPr>
        <w:pStyle w:val="2"/>
        <w:spacing w:line="289" w:lineRule="auto"/>
      </w:pPr>
    </w:p>
    <w:p w14:paraId="3478CA9B">
      <w:pPr>
        <w:spacing w:before="72" w:line="379" w:lineRule="auto"/>
        <w:ind w:left="122" w:right="113" w:firstLine="439"/>
        <w:rPr>
          <w:rFonts w:ascii="宋体" w:hAnsi="宋体" w:eastAsia="宋体" w:cs="宋体"/>
          <w:color w:val="auto"/>
          <w:sz w:val="22"/>
          <w:szCs w:val="22"/>
        </w:rPr>
      </w:pPr>
      <w:r>
        <w:rPr>
          <w:rFonts w:ascii="宋体" w:hAnsi="宋体" w:eastAsia="宋体" w:cs="宋体"/>
          <w:color w:val="auto"/>
          <w:spacing w:val="-2"/>
          <w:sz w:val="22"/>
          <w:szCs w:val="22"/>
        </w:rPr>
        <w:t>本项目位于广东省韶关市乳源瑶族自治县河南路，总用</w:t>
      </w:r>
      <w:r>
        <w:rPr>
          <w:rFonts w:ascii="宋体" w:hAnsi="宋体" w:eastAsia="宋体" w:cs="宋体"/>
          <w:color w:val="auto"/>
          <w:spacing w:val="-3"/>
          <w:sz w:val="22"/>
          <w:szCs w:val="22"/>
        </w:rPr>
        <w:t>地面积</w:t>
      </w:r>
      <w:r>
        <w:rPr>
          <w:rFonts w:ascii="宋体" w:hAnsi="宋体" w:eastAsia="宋体" w:cs="宋体"/>
          <w:color w:val="auto"/>
          <w:spacing w:val="-44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2"/>
          <w:szCs w:val="22"/>
        </w:rPr>
        <w:t>3659.72</w:t>
      </w:r>
      <w:r>
        <w:rPr>
          <w:rFonts w:ascii="宋体" w:hAnsi="宋体" w:eastAsia="宋体" w:cs="宋体"/>
          <w:color w:val="auto"/>
          <w:spacing w:val="-37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2"/>
          <w:szCs w:val="22"/>
        </w:rPr>
        <w:t>㎡，总建筑</w:t>
      </w:r>
      <w:r>
        <w:rPr>
          <w:rFonts w:ascii="宋体" w:hAnsi="宋体" w:eastAsia="宋体" w:cs="宋体"/>
          <w:color w:val="auto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面积</w:t>
      </w:r>
      <w:r>
        <w:rPr>
          <w:rFonts w:ascii="宋体" w:hAnsi="宋体" w:eastAsia="宋体" w:cs="宋体"/>
          <w:color w:val="auto"/>
          <w:spacing w:val="-31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1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val="en-US" w:eastAsia="zh-CN"/>
        </w:rPr>
        <w:t>4776.57</w:t>
      </w:r>
      <w:r>
        <w:rPr>
          <w:rFonts w:ascii="宋体" w:hAnsi="宋体" w:eastAsia="宋体" w:cs="宋体"/>
          <w:color w:val="auto"/>
          <w:spacing w:val="-37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㎡</w:t>
      </w:r>
      <w:r>
        <w:rPr>
          <w:rFonts w:ascii="宋体" w:hAnsi="宋体" w:eastAsia="宋体" w:cs="宋体"/>
          <w:color w:val="auto"/>
          <w:spacing w:val="-65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，总绿地面积</w:t>
      </w:r>
      <w:r>
        <w:rPr>
          <w:rFonts w:ascii="宋体" w:hAnsi="宋体" w:eastAsia="宋体" w:cs="宋体"/>
          <w:color w:val="auto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424.07</w:t>
      </w:r>
      <w:r>
        <w:rPr>
          <w:rFonts w:ascii="宋体" w:hAnsi="宋体" w:eastAsia="宋体" w:cs="宋体"/>
          <w:color w:val="auto"/>
          <w:spacing w:val="-39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㎡</w:t>
      </w:r>
      <w:r>
        <w:rPr>
          <w:rFonts w:ascii="宋体" w:hAnsi="宋体" w:eastAsia="宋体" w:cs="宋体"/>
          <w:color w:val="auto"/>
          <w:spacing w:val="-65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，综合容积率</w:t>
      </w:r>
      <w:r>
        <w:rPr>
          <w:rFonts w:ascii="宋体" w:hAnsi="宋体" w:eastAsia="宋体" w:cs="宋体"/>
          <w:color w:val="auto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3.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val="en-US" w:eastAsia="zh-CN"/>
        </w:rPr>
        <w:t>12</w:t>
      </w:r>
      <w:r>
        <w:rPr>
          <w:rFonts w:ascii="宋体" w:hAnsi="宋体" w:eastAsia="宋体" w:cs="宋体"/>
          <w:color w:val="auto"/>
          <w:spacing w:val="-5"/>
          <w:sz w:val="22"/>
          <w:szCs w:val="22"/>
        </w:rPr>
        <w:t>。</w:t>
      </w:r>
    </w:p>
    <w:p w14:paraId="1CFD30A2">
      <w:pPr>
        <w:spacing w:before="200" w:line="219" w:lineRule="auto"/>
        <w:ind w:left="12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二、场地交通分析评价标准</w:t>
      </w:r>
    </w:p>
    <w:p w14:paraId="04711A99">
      <w:pPr>
        <w:pStyle w:val="2"/>
        <w:spacing w:line="299" w:lineRule="auto"/>
      </w:pPr>
    </w:p>
    <w:p w14:paraId="39FBF565">
      <w:pPr>
        <w:spacing w:before="71" w:line="219" w:lineRule="auto"/>
        <w:ind w:left="12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2"/>
          <w:sz w:val="22"/>
          <w:szCs w:val="22"/>
        </w:rPr>
        <w:t>《绿色建筑评价标准》GB/T50378-2019</w:t>
      </w:r>
    </w:p>
    <w:p w14:paraId="6F012C1D">
      <w:pPr>
        <w:spacing w:before="291" w:line="220" w:lineRule="auto"/>
        <w:ind w:left="123"/>
        <w:outlineLvl w:val="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6.1.2（控制项）</w:t>
      </w:r>
      <w:r>
        <w:rPr>
          <w:rFonts w:ascii="宋体" w:hAnsi="宋体" w:eastAsia="宋体" w:cs="宋体"/>
          <w:spacing w:val="-3"/>
          <w:sz w:val="22"/>
          <w:szCs w:val="22"/>
        </w:rPr>
        <w:t>场地人行出入口</w:t>
      </w:r>
      <w:r>
        <w:rPr>
          <w:rFonts w:ascii="宋体" w:hAnsi="宋体" w:eastAsia="宋体" w:cs="宋体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500m</w:t>
      </w:r>
      <w:r>
        <w:rPr>
          <w:rFonts w:ascii="宋体" w:hAnsi="宋体" w:eastAsia="宋体" w:cs="宋体"/>
          <w:spacing w:val="-2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内应设有公共交通站点或配备联</w:t>
      </w:r>
      <w:r>
        <w:rPr>
          <w:rFonts w:ascii="宋体" w:hAnsi="宋体" w:eastAsia="宋体" w:cs="宋体"/>
          <w:spacing w:val="-4"/>
          <w:sz w:val="22"/>
          <w:szCs w:val="22"/>
        </w:rPr>
        <w:t>系公共交通站点</w:t>
      </w:r>
    </w:p>
    <w:p w14:paraId="74C5D3C9">
      <w:pPr>
        <w:spacing w:before="205" w:line="220" w:lineRule="auto"/>
        <w:ind w:left="13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的专用接驳车。</w:t>
      </w:r>
    </w:p>
    <w:p w14:paraId="642D6277">
      <w:pPr>
        <w:pStyle w:val="2"/>
        <w:spacing w:line="253" w:lineRule="auto"/>
      </w:pPr>
    </w:p>
    <w:p w14:paraId="764E0148">
      <w:pPr>
        <w:spacing w:before="72" w:line="306" w:lineRule="auto"/>
        <w:ind w:left="123" w:right="11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z w:val="22"/>
          <w:szCs w:val="22"/>
        </w:rPr>
        <w:t>6.2.1（评分项）</w:t>
      </w:r>
      <w:r>
        <w:rPr>
          <w:rFonts w:ascii="宋体" w:hAnsi="宋体" w:eastAsia="宋体" w:cs="宋体"/>
          <w:sz w:val="22"/>
          <w:szCs w:val="22"/>
        </w:rPr>
        <w:t>场地与公共交通站点联系便捷，评价总分值为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8</w:t>
      </w:r>
      <w:r>
        <w:rPr>
          <w:rFonts w:ascii="宋体" w:hAnsi="宋体" w:eastAsia="宋体" w:cs="宋体"/>
          <w:spacing w:val="-43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 xml:space="preserve">分，并按下列规则分 </w:t>
      </w:r>
      <w:r>
        <w:rPr>
          <w:rFonts w:ascii="宋体" w:hAnsi="宋体" w:eastAsia="宋体" w:cs="宋体"/>
          <w:spacing w:val="-2"/>
          <w:sz w:val="22"/>
          <w:szCs w:val="22"/>
        </w:rPr>
        <w:t>别评分并累计：</w:t>
      </w:r>
    </w:p>
    <w:p w14:paraId="22A57B30">
      <w:pPr>
        <w:spacing w:before="207" w:line="334" w:lineRule="auto"/>
        <w:ind w:left="120" w:right="113" w:firstLine="1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1 场地出入口到达公共交通站点的步行距离不超过</w:t>
      </w:r>
      <w:r>
        <w:rPr>
          <w:rFonts w:ascii="宋体" w:hAnsi="宋体" w:eastAsia="宋体" w:cs="宋体"/>
          <w:spacing w:val="-3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"/>
          <w:sz w:val="22"/>
          <w:szCs w:val="22"/>
        </w:rPr>
        <w:t>500m,或到达轨道交通站的步行距离</w:t>
      </w:r>
      <w:r>
        <w:rPr>
          <w:rFonts w:ascii="宋体" w:hAnsi="宋体" w:eastAsia="宋体" w:cs="宋体"/>
          <w:sz w:val="22"/>
          <w:szCs w:val="22"/>
        </w:rPr>
        <w:t xml:space="preserve"> 不大于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800m,得</w:t>
      </w:r>
      <w:r>
        <w:rPr>
          <w:rFonts w:ascii="宋体" w:hAnsi="宋体" w:eastAsia="宋体" w:cs="宋体"/>
          <w:spacing w:val="-44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2</w:t>
      </w:r>
      <w:r>
        <w:rPr>
          <w:rFonts w:ascii="宋体" w:hAnsi="宋体" w:eastAsia="宋体" w:cs="宋体"/>
          <w:spacing w:val="-41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分；场地出入口到达公共交通站点的步行距离不超过</w:t>
      </w:r>
      <w:r>
        <w:rPr>
          <w:rFonts w:ascii="宋体" w:hAnsi="宋体" w:eastAsia="宋体" w:cs="宋体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 xml:space="preserve">300m,或到达轨 </w:t>
      </w:r>
      <w:r>
        <w:rPr>
          <w:rFonts w:ascii="宋体" w:hAnsi="宋体" w:eastAsia="宋体" w:cs="宋体"/>
          <w:spacing w:val="-2"/>
          <w:sz w:val="22"/>
          <w:szCs w:val="22"/>
        </w:rPr>
        <w:t>道交通站的步行距离不大于</w:t>
      </w:r>
      <w:r>
        <w:rPr>
          <w:rFonts w:ascii="宋体" w:hAnsi="宋体" w:eastAsia="宋体" w:cs="宋体"/>
          <w:spacing w:val="-3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500m,得</w:t>
      </w:r>
      <w:r>
        <w:rPr>
          <w:rFonts w:ascii="宋体" w:hAnsi="宋体" w:eastAsia="宋体" w:cs="宋体"/>
          <w:spacing w:val="-4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4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分；</w:t>
      </w:r>
    </w:p>
    <w:p w14:paraId="06E6DBAD">
      <w:pPr>
        <w:spacing w:before="209" w:line="220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2 场地出入口步行距离</w:t>
      </w:r>
      <w:r>
        <w:rPr>
          <w:rFonts w:ascii="宋体" w:hAnsi="宋体" w:eastAsia="宋体" w:cs="宋体"/>
          <w:spacing w:val="-3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800m</w:t>
      </w:r>
      <w:r>
        <w:rPr>
          <w:rFonts w:ascii="宋体" w:hAnsi="宋体" w:eastAsia="宋体" w:cs="宋体"/>
          <w:spacing w:val="-4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范围内设有不少于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2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条线路的公共交通站点，得</w:t>
      </w:r>
      <w:r>
        <w:rPr>
          <w:rFonts w:ascii="宋体" w:hAnsi="宋体" w:eastAsia="宋体" w:cs="宋体"/>
          <w:spacing w:val="-4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4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分。</w:t>
      </w:r>
    </w:p>
    <w:p w14:paraId="79ECA15C">
      <w:pPr>
        <w:pStyle w:val="2"/>
        <w:spacing w:line="279" w:lineRule="auto"/>
      </w:pPr>
    </w:p>
    <w:p w14:paraId="0C9DF42D">
      <w:pPr>
        <w:spacing w:before="92" w:line="221" w:lineRule="auto"/>
        <w:ind w:left="123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三、场地交通分析</w:t>
      </w:r>
    </w:p>
    <w:p w14:paraId="6536A01D">
      <w:pPr>
        <w:pStyle w:val="2"/>
        <w:spacing w:line="327" w:lineRule="auto"/>
      </w:pPr>
    </w:p>
    <w:p w14:paraId="5453B382">
      <w:pPr>
        <w:spacing w:before="72" w:line="361" w:lineRule="auto"/>
        <w:ind w:left="120" w:right="110" w:firstLine="481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本项目选址和区出入口的设置方便人员充分利用公共交通网络，场地出入口到达最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近公共汽车站（大联村委公交站）的距离约</w:t>
      </w:r>
      <w:r>
        <w:rPr>
          <w:rFonts w:ascii="宋体" w:hAnsi="宋体" w:eastAsia="宋体" w:cs="宋体"/>
          <w:spacing w:val="-2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170m，场地人行出入口</w:t>
      </w:r>
      <w:r>
        <w:rPr>
          <w:rFonts w:ascii="宋体" w:hAnsi="宋体" w:eastAsia="宋体" w:cs="宋体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300m</w:t>
      </w:r>
      <w:r>
        <w:rPr>
          <w:rFonts w:ascii="宋体" w:hAnsi="宋体" w:eastAsia="宋体" w:cs="宋体"/>
          <w:spacing w:val="-2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内应设有公共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交通站点。</w:t>
      </w:r>
    </w:p>
    <w:p w14:paraId="4A24FE4E">
      <w:pPr>
        <w:spacing w:before="77" w:line="220" w:lineRule="auto"/>
        <w:ind w:left="339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公共交通统计表：</w:t>
      </w:r>
    </w:p>
    <w:p w14:paraId="29CB38CE">
      <w:pPr>
        <w:spacing w:line="26" w:lineRule="exact"/>
      </w:pPr>
    </w:p>
    <w:tbl>
      <w:tblPr>
        <w:tblStyle w:val="5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1867"/>
        <w:gridCol w:w="3475"/>
        <w:gridCol w:w="890"/>
      </w:tblGrid>
      <w:tr w14:paraId="65D201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2295" w:type="dxa"/>
            <w:vAlign w:val="top"/>
          </w:tcPr>
          <w:p w14:paraId="30377697">
            <w:pPr>
              <w:spacing w:line="416" w:lineRule="auto"/>
              <w:rPr>
                <w:rFonts w:ascii="Arial"/>
                <w:sz w:val="21"/>
              </w:rPr>
            </w:pPr>
          </w:p>
          <w:p w14:paraId="403ABF83">
            <w:pPr>
              <w:pStyle w:val="6"/>
              <w:spacing w:before="71" w:line="222" w:lineRule="auto"/>
              <w:ind w:left="500"/>
            </w:pPr>
            <w:r>
              <w:rPr>
                <w:spacing w:val="-3"/>
              </w:rPr>
              <w:t>公交站点名称</w:t>
            </w:r>
          </w:p>
        </w:tc>
        <w:tc>
          <w:tcPr>
            <w:tcW w:w="1867" w:type="dxa"/>
            <w:vAlign w:val="top"/>
          </w:tcPr>
          <w:p w14:paraId="0F938B87">
            <w:pPr>
              <w:pStyle w:val="6"/>
              <w:spacing w:before="232" w:line="337" w:lineRule="auto"/>
              <w:ind w:left="169" w:right="161" w:hanging="2"/>
            </w:pPr>
            <w:r>
              <w:rPr>
                <w:spacing w:val="-1"/>
              </w:rPr>
              <w:t>场地出入口步行</w:t>
            </w:r>
            <w:r>
              <w:t xml:space="preserve"> </w:t>
            </w:r>
            <w:r>
              <w:rPr>
                <w:spacing w:val="-2"/>
              </w:rPr>
              <w:t>至公交站的距离</w:t>
            </w:r>
          </w:p>
        </w:tc>
        <w:tc>
          <w:tcPr>
            <w:tcW w:w="3475" w:type="dxa"/>
            <w:vAlign w:val="top"/>
          </w:tcPr>
          <w:p w14:paraId="4AE45BA4">
            <w:pPr>
              <w:spacing w:line="417" w:lineRule="auto"/>
              <w:rPr>
                <w:rFonts w:ascii="Arial"/>
                <w:sz w:val="21"/>
              </w:rPr>
            </w:pPr>
          </w:p>
          <w:p w14:paraId="7DE08C27">
            <w:pPr>
              <w:pStyle w:val="6"/>
              <w:spacing w:before="71" w:line="220" w:lineRule="auto"/>
              <w:ind w:left="1090"/>
            </w:pPr>
            <w:r>
              <w:rPr>
                <w:spacing w:val="-3"/>
              </w:rPr>
              <w:t>公交线路名称</w:t>
            </w:r>
          </w:p>
        </w:tc>
        <w:tc>
          <w:tcPr>
            <w:tcW w:w="890" w:type="dxa"/>
            <w:vAlign w:val="top"/>
          </w:tcPr>
          <w:p w14:paraId="5A7973C4">
            <w:pPr>
              <w:pStyle w:val="6"/>
              <w:spacing w:before="232" w:line="337" w:lineRule="auto"/>
              <w:ind w:left="231" w:right="167" w:hanging="31"/>
            </w:pPr>
            <w:r>
              <w:rPr>
                <w:spacing w:val="-12"/>
              </w:rPr>
              <w:t>已建/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规划</w:t>
            </w:r>
          </w:p>
        </w:tc>
      </w:tr>
      <w:tr w14:paraId="239DA2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2295" w:type="dxa"/>
            <w:vAlign w:val="top"/>
          </w:tcPr>
          <w:p w14:paraId="717846A0">
            <w:pPr>
              <w:pStyle w:val="6"/>
              <w:spacing w:before="232" w:line="219" w:lineRule="auto"/>
              <w:ind w:left="716"/>
            </w:pPr>
            <w:r>
              <w:rPr>
                <w:spacing w:val="-3"/>
              </w:rPr>
              <w:t>大联村委</w:t>
            </w:r>
          </w:p>
        </w:tc>
        <w:tc>
          <w:tcPr>
            <w:tcW w:w="1867" w:type="dxa"/>
            <w:vAlign w:val="top"/>
          </w:tcPr>
          <w:p w14:paraId="102DAA0F">
            <w:pPr>
              <w:pStyle w:val="6"/>
              <w:spacing w:before="232" w:line="225" w:lineRule="auto"/>
              <w:ind w:left="586"/>
            </w:pPr>
            <w:r>
              <w:rPr>
                <w:spacing w:val="-8"/>
              </w:rPr>
              <w:t>约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170m</w:t>
            </w:r>
          </w:p>
        </w:tc>
        <w:tc>
          <w:tcPr>
            <w:tcW w:w="3475" w:type="dxa"/>
            <w:vAlign w:val="top"/>
          </w:tcPr>
          <w:p w14:paraId="150C9022">
            <w:pPr>
              <w:pStyle w:val="6"/>
              <w:spacing w:before="232" w:line="220" w:lineRule="auto"/>
              <w:ind w:left="976"/>
            </w:pPr>
            <w:r>
              <w:rPr>
                <w:spacing w:val="-5"/>
              </w:rPr>
              <w:t>乳源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路南环线</w:t>
            </w:r>
          </w:p>
        </w:tc>
        <w:tc>
          <w:tcPr>
            <w:tcW w:w="890" w:type="dxa"/>
            <w:vAlign w:val="top"/>
          </w:tcPr>
          <w:p w14:paraId="48460B93">
            <w:pPr>
              <w:pStyle w:val="6"/>
              <w:spacing w:before="231" w:line="222" w:lineRule="auto"/>
              <w:ind w:left="255"/>
            </w:pPr>
            <w:r>
              <w:rPr>
                <w:spacing w:val="-16"/>
              </w:rPr>
              <w:t>已建</w:t>
            </w:r>
          </w:p>
        </w:tc>
      </w:tr>
    </w:tbl>
    <w:p w14:paraId="206266EF">
      <w:pPr>
        <w:pStyle w:val="2"/>
      </w:pPr>
    </w:p>
    <w:p w14:paraId="722BDDB2">
      <w:pPr>
        <w:sectPr>
          <w:headerReference r:id="rId5" w:type="default"/>
          <w:footerReference r:id="rId6" w:type="default"/>
          <w:pgSz w:w="11907" w:h="16839"/>
          <w:pgMar w:top="1141" w:right="1687" w:bottom="1245" w:left="1687" w:header="866" w:footer="1029" w:gutter="0"/>
          <w:cols w:space="720" w:num="1"/>
        </w:sectPr>
      </w:pPr>
    </w:p>
    <w:p w14:paraId="1432EBF5">
      <w:pPr>
        <w:pStyle w:val="2"/>
        <w:spacing w:line="420" w:lineRule="auto"/>
      </w:pPr>
    </w:p>
    <w:p w14:paraId="753BB2C5">
      <w:pPr>
        <w:spacing w:line="3494" w:lineRule="exact"/>
        <w:ind w:firstLine="1451"/>
      </w:pPr>
      <w:r>
        <w:rPr>
          <w:position w:val="-69"/>
        </w:rPr>
        <w:drawing>
          <wp:inline distT="0" distB="0" distL="0" distR="0">
            <wp:extent cx="3448685" cy="221869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8811" cy="221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88260">
      <w:pPr>
        <w:spacing w:before="192" w:line="219" w:lineRule="auto"/>
        <w:ind w:left="335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1 场地交通线路</w:t>
      </w:r>
    </w:p>
    <w:p w14:paraId="16615428">
      <w:pPr>
        <w:spacing w:before="126" w:line="4803" w:lineRule="exact"/>
        <w:ind w:firstLine="21"/>
      </w:pPr>
      <w:r>
        <w:rPr>
          <w:position w:val="-96"/>
        </w:rPr>
        <w:drawing>
          <wp:inline distT="0" distB="0" distL="0" distR="0">
            <wp:extent cx="5266690" cy="304927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944" cy="304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1B920">
      <w:pPr>
        <w:spacing w:before="160" w:line="220" w:lineRule="auto"/>
        <w:ind w:left="344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图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2 场地交通地图</w:t>
      </w:r>
    </w:p>
    <w:p w14:paraId="53C3E14E">
      <w:pPr>
        <w:spacing w:before="203" w:line="221" w:lineRule="auto"/>
        <w:ind w:left="5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四、结论</w:t>
      </w:r>
    </w:p>
    <w:p w14:paraId="1A3BF2A4">
      <w:pPr>
        <w:spacing w:before="279" w:line="360" w:lineRule="auto"/>
        <w:ind w:left="23" w:right="11" w:firstLine="549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本项目场地出入口步行距离</w:t>
      </w:r>
      <w:r>
        <w:rPr>
          <w:rFonts w:ascii="宋体" w:hAnsi="宋体" w:eastAsia="宋体" w:cs="宋体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500m</w:t>
      </w:r>
      <w:r>
        <w:rPr>
          <w:rFonts w:ascii="宋体" w:hAnsi="宋体" w:eastAsia="宋体" w:cs="宋体"/>
          <w:spacing w:val="-4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范围内设有公共交通</w:t>
      </w:r>
      <w:r>
        <w:rPr>
          <w:rFonts w:ascii="宋体" w:hAnsi="宋体" w:eastAsia="宋体" w:cs="宋体"/>
          <w:spacing w:val="-3"/>
          <w:sz w:val="22"/>
          <w:szCs w:val="22"/>
        </w:rPr>
        <w:t>站；满足《绿色建筑评价标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准》GB/T50378-2019</w:t>
      </w:r>
      <w:r>
        <w:rPr>
          <w:rFonts w:ascii="宋体" w:hAnsi="宋体" w:eastAsia="宋体" w:cs="宋体"/>
          <w:spacing w:val="-3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第</w:t>
      </w:r>
      <w:r>
        <w:rPr>
          <w:rFonts w:ascii="宋体" w:hAnsi="宋体" w:eastAsia="宋体" w:cs="宋体"/>
          <w:spacing w:val="-4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6.1.2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条“场地人行出入口</w:t>
      </w:r>
      <w:r>
        <w:rPr>
          <w:rFonts w:ascii="宋体" w:hAnsi="宋体" w:eastAsia="宋体" w:cs="宋体"/>
          <w:spacing w:val="-4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500m</w:t>
      </w:r>
      <w:r>
        <w:rPr>
          <w:rFonts w:ascii="宋体" w:hAnsi="宋体" w:eastAsia="宋体" w:cs="宋体"/>
          <w:spacing w:val="-2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内应设有公共交通站点或配备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"/>
          <w:sz w:val="22"/>
          <w:szCs w:val="22"/>
        </w:rPr>
        <w:t>联系公共交通站点的专用接驳车”的要求。</w:t>
      </w:r>
    </w:p>
    <w:sectPr>
      <w:headerReference r:id="rId7" w:type="default"/>
      <w:footerReference r:id="rId8" w:type="default"/>
      <w:pgSz w:w="11907" w:h="16839"/>
      <w:pgMar w:top="1141" w:right="1786" w:bottom="1245" w:left="1786" w:header="866" w:footer="10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B55C4">
    <w:pPr>
      <w:spacing w:line="179" w:lineRule="auto"/>
      <w:ind w:left="423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13259">
    <w:pPr>
      <w:spacing w:line="179" w:lineRule="auto"/>
      <w:ind w:left="411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40B9E">
    <w:pPr>
      <w:spacing w:before="16" w:line="218" w:lineRule="auto"/>
      <w:ind w:left="122"/>
      <w:rPr>
        <w:rFonts w:ascii="宋体" w:hAnsi="宋体" w:eastAsia="宋体" w:cs="宋体"/>
        <w:sz w:val="18"/>
        <w:szCs w:val="18"/>
      </w:rPr>
    </w:pPr>
    <w:r>
      <w:pict>
        <v:shape id="_x0000_s4097" o:spid="_x0000_s4097" style="position:absolute;left:0pt;margin-left:90pt;margin-top:55.55pt;height:0.75pt;width:415.35pt;mso-position-horizontal-relative:page;mso-position-vertical-relative:page;z-index:251659264;mso-width-relative:page;mso-height-relative:page;" fillcolor="#000000" filled="t" stroked="f" coordsize="8307,15" o:allowincell="f" path="m0,0l8306,0,8306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项目场地交通分析报告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2C091">
    <w:pPr>
      <w:spacing w:before="16" w:line="218" w:lineRule="auto"/>
      <w:ind w:left="23"/>
      <w:rPr>
        <w:rFonts w:ascii="宋体" w:hAnsi="宋体" w:eastAsia="宋体" w:cs="宋体"/>
        <w:sz w:val="18"/>
        <w:szCs w:val="18"/>
      </w:rPr>
    </w:pPr>
    <w:r>
      <w:pict>
        <v:shape id="_x0000_s4098" o:spid="_x0000_s4098" style="position:absolute;left:0pt;margin-left:90pt;margin-top:55.55pt;height:0.75pt;width:415.35pt;mso-position-horizontal-relative:page;mso-position-vertical-relative:page;z-index:251660288;mso-width-relative:page;mso-height-relative:page;" fillcolor="#000000" filled="t" stroked="f" coordsize="8307,15" o:allowincell="f" path="m0,0l8306,0,8306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项目场地交通分析报告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258E0DEE"/>
    <w:rsid w:val="3B6E1678"/>
    <w:rsid w:val="5BA65C7C"/>
    <w:rsid w:val="62A145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625</Words>
  <Characters>727</Characters>
  <TotalTime>4</TotalTime>
  <ScaleCrop>false</ScaleCrop>
  <LinksUpToDate>false</LinksUpToDate>
  <CharactersWithSpaces>902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2024-06-27T18:34:00Z</dcterms:created>
  <dc:creator>www.elong8.cn</dc:creator>
  <cp:lastModifiedBy>君</cp:lastModifiedBy>
  <dcterms:modified xsi:type="dcterms:W3CDTF">2025-11-18T11:46:34Z</dcterms:modified>
  <dc:title>请在此添加标题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2024-09-04T08:49:00Z</vt:filetime>
  </property>
  <property fmtid="{D5CDD505-2E9C-101B-9397-08002B2CF9AE}" pid="4" name="KSOProductBuildVer">
    <vt:lpwstr>2052-12.1.0.23542</vt:lpwstr>
  </property>
  <property fmtid="{D5CDD505-2E9C-101B-9397-08002B2CF9AE}" pid="5" name="ICV">
    <vt:lpwstr>2FDB2BC87440407BAA7E3AEFD7BDBC5D_12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