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39AED">
      <w:pPr>
        <w:pStyle w:val="2"/>
        <w:spacing w:line="268" w:lineRule="auto"/>
      </w:pPr>
    </w:p>
    <w:p w14:paraId="18E3F82F">
      <w:pPr>
        <w:pStyle w:val="2"/>
        <w:spacing w:line="268" w:lineRule="auto"/>
      </w:pPr>
    </w:p>
    <w:p w14:paraId="5216CE4F">
      <w:pPr>
        <w:pStyle w:val="2"/>
        <w:spacing w:line="268" w:lineRule="auto"/>
      </w:pPr>
    </w:p>
    <w:p w14:paraId="07142625">
      <w:pPr>
        <w:pStyle w:val="2"/>
        <w:spacing w:line="268" w:lineRule="auto"/>
      </w:pPr>
    </w:p>
    <w:p w14:paraId="1FF8DC5C">
      <w:pPr>
        <w:pStyle w:val="2"/>
        <w:spacing w:line="268" w:lineRule="auto"/>
      </w:pPr>
    </w:p>
    <w:p w14:paraId="2874510B">
      <w:pPr>
        <w:pStyle w:val="2"/>
        <w:spacing w:line="268" w:lineRule="auto"/>
      </w:pPr>
    </w:p>
    <w:p w14:paraId="771C6F10">
      <w:pPr>
        <w:pStyle w:val="2"/>
        <w:spacing w:line="269" w:lineRule="auto"/>
      </w:pPr>
    </w:p>
    <w:p w14:paraId="6C0464D8">
      <w:pPr>
        <w:spacing w:before="179" w:line="225" w:lineRule="auto"/>
        <w:ind w:left="1124"/>
        <w:outlineLvl w:val="0"/>
        <w:rPr>
          <w:rFonts w:ascii="黑体" w:hAnsi="黑体" w:eastAsia="黑体" w:cs="黑体"/>
          <w:sz w:val="55"/>
          <w:szCs w:val="55"/>
        </w:rPr>
      </w:pPr>
      <w:r>
        <w:rPr>
          <w:rFonts w:ascii="黑体" w:hAnsi="黑体" w:eastAsia="黑体" w:cs="黑体"/>
          <w:b/>
          <w:bCs/>
          <w:spacing w:val="4"/>
          <w:sz w:val="55"/>
          <w:szCs w:val="55"/>
        </w:rPr>
        <w:t>建筑形体规则性判定报告</w:t>
      </w:r>
    </w:p>
    <w:p w14:paraId="52F983A3">
      <w:pPr>
        <w:pStyle w:val="2"/>
        <w:spacing w:line="246" w:lineRule="auto"/>
      </w:pPr>
    </w:p>
    <w:p w14:paraId="4A5A9530">
      <w:pPr>
        <w:pStyle w:val="2"/>
        <w:spacing w:line="246" w:lineRule="auto"/>
      </w:pPr>
    </w:p>
    <w:p w14:paraId="23BF0C09">
      <w:pPr>
        <w:pStyle w:val="2"/>
        <w:spacing w:line="246" w:lineRule="auto"/>
      </w:pPr>
    </w:p>
    <w:p w14:paraId="4A138D2A">
      <w:pPr>
        <w:pStyle w:val="2"/>
        <w:spacing w:line="246" w:lineRule="auto"/>
      </w:pPr>
    </w:p>
    <w:p w14:paraId="3EBE3221">
      <w:pPr>
        <w:pStyle w:val="2"/>
        <w:spacing w:line="246" w:lineRule="auto"/>
      </w:pPr>
    </w:p>
    <w:p w14:paraId="0CABD5C3">
      <w:pPr>
        <w:pStyle w:val="2"/>
        <w:spacing w:line="246" w:lineRule="auto"/>
      </w:pPr>
    </w:p>
    <w:p w14:paraId="3DEE9EA8">
      <w:pPr>
        <w:pStyle w:val="2"/>
        <w:spacing w:line="246" w:lineRule="auto"/>
      </w:pPr>
    </w:p>
    <w:p w14:paraId="4180EDF3">
      <w:pPr>
        <w:pStyle w:val="2"/>
        <w:spacing w:line="246" w:lineRule="auto"/>
      </w:pPr>
    </w:p>
    <w:p w14:paraId="2EB2BFA0">
      <w:pPr>
        <w:pStyle w:val="2"/>
        <w:spacing w:line="246" w:lineRule="auto"/>
      </w:pPr>
    </w:p>
    <w:p w14:paraId="01726701">
      <w:pPr>
        <w:pStyle w:val="2"/>
        <w:spacing w:line="246" w:lineRule="auto"/>
      </w:pPr>
    </w:p>
    <w:p w14:paraId="38E93B59">
      <w:pPr>
        <w:pStyle w:val="2"/>
        <w:spacing w:line="246" w:lineRule="auto"/>
      </w:pPr>
    </w:p>
    <w:p w14:paraId="7B1D340F">
      <w:pPr>
        <w:pStyle w:val="2"/>
        <w:spacing w:line="247" w:lineRule="auto"/>
      </w:pPr>
    </w:p>
    <w:p w14:paraId="6D4CE04C">
      <w:pPr>
        <w:pStyle w:val="2"/>
        <w:spacing w:line="247" w:lineRule="auto"/>
      </w:pPr>
    </w:p>
    <w:p w14:paraId="19164C6D">
      <w:pPr>
        <w:pStyle w:val="2"/>
        <w:spacing w:line="247" w:lineRule="auto"/>
      </w:pPr>
    </w:p>
    <w:p w14:paraId="49AB1B2A">
      <w:pPr>
        <w:pStyle w:val="2"/>
        <w:spacing w:line="247" w:lineRule="auto"/>
      </w:pPr>
    </w:p>
    <w:p w14:paraId="625400A4">
      <w:pPr>
        <w:pStyle w:val="2"/>
        <w:spacing w:line="247" w:lineRule="auto"/>
      </w:pPr>
    </w:p>
    <w:p w14:paraId="30A0F7C1">
      <w:pPr>
        <w:pStyle w:val="2"/>
        <w:spacing w:line="247" w:lineRule="auto"/>
      </w:pPr>
    </w:p>
    <w:p w14:paraId="267CF2F2">
      <w:pPr>
        <w:pStyle w:val="2"/>
        <w:spacing w:line="247" w:lineRule="auto"/>
      </w:pPr>
    </w:p>
    <w:p w14:paraId="0D12BA63">
      <w:pPr>
        <w:pStyle w:val="2"/>
        <w:spacing w:line="247" w:lineRule="auto"/>
      </w:pPr>
    </w:p>
    <w:p w14:paraId="50CF9187">
      <w:pPr>
        <w:pStyle w:val="2"/>
        <w:spacing w:line="247" w:lineRule="auto"/>
      </w:pPr>
    </w:p>
    <w:p w14:paraId="3871431B">
      <w:pPr>
        <w:pStyle w:val="2"/>
        <w:spacing w:line="247" w:lineRule="auto"/>
      </w:pPr>
    </w:p>
    <w:p w14:paraId="013C6F33">
      <w:pPr>
        <w:pStyle w:val="2"/>
        <w:spacing w:line="247" w:lineRule="auto"/>
      </w:pPr>
    </w:p>
    <w:p w14:paraId="7E828E29">
      <w:pPr>
        <w:pStyle w:val="2"/>
        <w:spacing w:line="247" w:lineRule="auto"/>
      </w:pPr>
    </w:p>
    <w:p w14:paraId="102402FA">
      <w:pPr>
        <w:pStyle w:val="2"/>
        <w:spacing w:line="247" w:lineRule="auto"/>
      </w:pPr>
    </w:p>
    <w:p w14:paraId="7E77BD9F">
      <w:pPr>
        <w:pStyle w:val="2"/>
        <w:spacing w:line="247" w:lineRule="auto"/>
      </w:pPr>
    </w:p>
    <w:p w14:paraId="62F1D518">
      <w:pPr>
        <w:pStyle w:val="2"/>
        <w:spacing w:line="247" w:lineRule="auto"/>
      </w:pPr>
    </w:p>
    <w:p w14:paraId="7546BFC5">
      <w:pPr>
        <w:pStyle w:val="2"/>
        <w:spacing w:line="247" w:lineRule="auto"/>
      </w:pPr>
    </w:p>
    <w:p w14:paraId="2D396F9A">
      <w:pPr>
        <w:spacing w:before="97" w:line="219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乳源洲街历史文化街区文创中心及配套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设施建设项目</w:t>
      </w:r>
    </w:p>
    <w:p w14:paraId="7E321926">
      <w:pPr>
        <w:spacing w:before="26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40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1#、2#住宅楼                                  </w:t>
      </w:r>
    </w:p>
    <w:p w14:paraId="12B85F89">
      <w:pPr>
        <w:spacing w:before="268" w:line="219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</w:t>
      </w:r>
    </w:p>
    <w:p w14:paraId="42F85CF8">
      <w:pPr>
        <w:spacing w:before="268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</w:t>
      </w:r>
    </w:p>
    <w:p w14:paraId="2F63E996">
      <w:pPr>
        <w:spacing w:before="268" w:line="219" w:lineRule="auto"/>
        <w:ind w:left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编辑日期：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202</w:t>
      </w:r>
      <w:bookmarkStart w:id="0" w:name="_GoBack"/>
      <w:bookmarkEnd w:id="0"/>
      <w:r>
        <w:rPr>
          <w:rFonts w:hint="eastAsia" w:ascii="宋体" w:hAnsi="宋体" w:eastAsia="宋体" w:cs="宋体"/>
          <w:spacing w:val="-5"/>
          <w:sz w:val="30"/>
          <w:szCs w:val="30"/>
          <w:u w:val="single" w:color="auto"/>
          <w:lang w:val="en-US" w:eastAsia="zh-CN"/>
        </w:rPr>
        <w:t>5</w:t>
      </w:r>
      <w:r>
        <w:rPr>
          <w:rFonts w:ascii="宋体" w:hAnsi="宋体" w:eastAsia="宋体" w:cs="宋体"/>
          <w:spacing w:val="-63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>年</w:t>
      </w:r>
      <w:r>
        <w:rPr>
          <w:rFonts w:ascii="宋体" w:hAnsi="宋体" w:eastAsia="宋体" w:cs="宋体"/>
          <w:spacing w:val="-62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2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5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月           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 xml:space="preserve">                        </w:t>
      </w:r>
    </w:p>
    <w:p w14:paraId="45ECCE66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7" w:h="16839"/>
          <w:pgMar w:top="1431" w:right="1745" w:bottom="0" w:left="1757" w:header="0" w:footer="0" w:gutter="0"/>
          <w:cols w:space="720" w:num="1"/>
        </w:sectPr>
      </w:pPr>
    </w:p>
    <w:p w14:paraId="68F5589A">
      <w:pPr>
        <w:pStyle w:val="2"/>
        <w:spacing w:line="303" w:lineRule="auto"/>
      </w:pPr>
    </w:p>
    <w:p w14:paraId="284EF9C5">
      <w:pPr>
        <w:spacing w:before="91" w:line="220" w:lineRule="auto"/>
        <w:ind w:left="128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一、项目概况</w:t>
      </w:r>
    </w:p>
    <w:p w14:paraId="3478CA9B">
      <w:pPr>
        <w:spacing w:before="276" w:line="419" w:lineRule="auto"/>
        <w:ind w:left="120" w:right="198" w:firstLine="247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4776.57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7CA279D4">
      <w:pPr>
        <w:spacing w:before="125" w:line="219" w:lineRule="auto"/>
        <w:ind w:left="128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二、评价标准</w:t>
      </w:r>
    </w:p>
    <w:p w14:paraId="1069294F">
      <w:pPr>
        <w:spacing w:before="263" w:line="218" w:lineRule="auto"/>
        <w:ind w:left="2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1、评价标准：</w:t>
      </w:r>
    </w:p>
    <w:p w14:paraId="09CE223D">
      <w:pPr>
        <w:spacing w:before="277" w:line="256" w:lineRule="auto"/>
        <w:ind w:left="368" w:right="40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《绿色建筑评价标准》GB/T50378-2019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《建筑环境通用规范》GB 55016-2021</w:t>
      </w:r>
    </w:p>
    <w:p w14:paraId="7F79CE39">
      <w:pPr>
        <w:spacing w:line="220" w:lineRule="auto"/>
        <w:ind w:left="36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《建筑节能与可再生能源利用通用规范》GB55015-2021</w:t>
      </w:r>
    </w:p>
    <w:p w14:paraId="397C8C7C">
      <w:pPr>
        <w:spacing w:before="233" w:line="218" w:lineRule="auto"/>
        <w:ind w:left="1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2、具体评价条文：</w:t>
      </w:r>
    </w:p>
    <w:p w14:paraId="0F7DFF3A">
      <w:pPr>
        <w:spacing w:before="276" w:line="419" w:lineRule="auto"/>
        <w:ind w:left="120" w:right="198" w:firstLine="24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《绿色建筑评价标准》GB/T50378-2019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第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7.1.8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条</w:t>
      </w:r>
      <w:r>
        <w:rPr>
          <w:rFonts w:ascii="宋体" w:hAnsi="宋体" w:eastAsia="宋体" w:cs="宋体"/>
          <w:spacing w:val="-2"/>
          <w:sz w:val="24"/>
          <w:szCs w:val="24"/>
        </w:rPr>
        <w:t>：不应采用建筑形体和布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置严重不规则的建筑结构。</w:t>
      </w:r>
    </w:p>
    <w:p w14:paraId="61D89B2E">
      <w:pPr>
        <w:spacing w:before="31" w:line="417" w:lineRule="auto"/>
        <w:ind w:left="126" w:right="198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建筑形体的规则性根据国家标准《建筑抗震设计规范》GB50011-2</w:t>
      </w:r>
      <w:r>
        <w:rPr>
          <w:rFonts w:ascii="宋体" w:hAnsi="宋体" w:eastAsia="宋体" w:cs="宋体"/>
          <w:spacing w:val="-2"/>
          <w:sz w:val="24"/>
          <w:szCs w:val="24"/>
        </w:rPr>
        <w:t>010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的有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关规定一般划分为：规则、不规则、特别不规则、严重不规则。</w:t>
      </w:r>
    </w:p>
    <w:p w14:paraId="2DC2959B">
      <w:pPr>
        <w:spacing w:before="35" w:line="266" w:lineRule="auto"/>
        <w:ind w:left="3164" w:right="1159" w:hanging="29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建筑形体及其构件布置的平面、竖向不规则性，应按下列要求划分：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表</w:t>
      </w:r>
      <w:r>
        <w:rPr>
          <w:rFonts w:ascii="宋体" w:hAnsi="宋体" w:eastAsia="宋体" w:cs="宋体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 平面不规则类型</w:t>
      </w: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168"/>
      </w:tblGrid>
      <w:tr w14:paraId="3F0BA2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358" w:type="dxa"/>
            <w:vAlign w:val="top"/>
          </w:tcPr>
          <w:p w14:paraId="030F7239">
            <w:pPr>
              <w:pStyle w:val="6"/>
              <w:spacing w:before="134" w:line="228" w:lineRule="auto"/>
              <w:ind w:left="162"/>
            </w:pPr>
            <w:r>
              <w:rPr>
                <w:spacing w:val="7"/>
              </w:rPr>
              <w:t>不规则类型</w:t>
            </w:r>
          </w:p>
        </w:tc>
        <w:tc>
          <w:tcPr>
            <w:tcW w:w="7168" w:type="dxa"/>
            <w:vAlign w:val="top"/>
          </w:tcPr>
          <w:p w14:paraId="0D895660">
            <w:pPr>
              <w:pStyle w:val="6"/>
              <w:spacing w:before="134" w:line="228" w:lineRule="auto"/>
              <w:ind w:left="2857"/>
            </w:pPr>
            <w:r>
              <w:rPr>
                <w:spacing w:val="7"/>
              </w:rPr>
              <w:t>定义和参考指标</w:t>
            </w:r>
          </w:p>
        </w:tc>
      </w:tr>
      <w:tr w14:paraId="30AFA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358" w:type="dxa"/>
            <w:vAlign w:val="top"/>
          </w:tcPr>
          <w:p w14:paraId="302EE580">
            <w:pPr>
              <w:spacing w:line="297" w:lineRule="auto"/>
              <w:rPr>
                <w:rFonts w:ascii="Arial"/>
                <w:sz w:val="21"/>
              </w:rPr>
            </w:pPr>
          </w:p>
          <w:p w14:paraId="6112AE40">
            <w:pPr>
              <w:pStyle w:val="6"/>
              <w:spacing w:before="65" w:line="228" w:lineRule="auto"/>
              <w:ind w:left="159"/>
            </w:pPr>
            <w:r>
              <w:rPr>
                <w:spacing w:val="7"/>
              </w:rPr>
              <w:t>扭转不规则</w:t>
            </w:r>
          </w:p>
        </w:tc>
        <w:tc>
          <w:tcPr>
            <w:tcW w:w="7168" w:type="dxa"/>
            <w:vAlign w:val="top"/>
          </w:tcPr>
          <w:p w14:paraId="2CF6F1BD">
            <w:pPr>
              <w:pStyle w:val="6"/>
              <w:spacing w:before="131" w:line="368" w:lineRule="auto"/>
              <w:ind w:left="110" w:right="109"/>
            </w:pPr>
            <w:r>
              <w:rPr>
                <w:spacing w:val="7"/>
              </w:rPr>
              <w:t>在规定的水平力作用下，楼层的最大弹性水平位移或（层间位移</w:t>
            </w:r>
            <w:r>
              <w:rPr>
                <w:spacing w:val="-41"/>
              </w:rPr>
              <w:t>），</w:t>
            </w:r>
            <w:r>
              <w:rPr>
                <w:spacing w:val="7"/>
              </w:rPr>
              <w:t>大于该楼</w:t>
            </w:r>
            <w:r>
              <w:t xml:space="preserve"> </w:t>
            </w:r>
            <w:r>
              <w:rPr>
                <w:spacing w:val="7"/>
              </w:rPr>
              <w:t>层两端弹性水平位移（或层间位移）平均值的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1.2</w:t>
            </w:r>
            <w:r>
              <w:rPr>
                <w:spacing w:val="-41"/>
              </w:rPr>
              <w:t xml:space="preserve"> </w:t>
            </w:r>
            <w:r>
              <w:rPr>
                <w:spacing w:val="7"/>
              </w:rPr>
              <w:t>倍</w:t>
            </w:r>
          </w:p>
        </w:tc>
      </w:tr>
      <w:tr w14:paraId="7866D5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358" w:type="dxa"/>
            <w:vAlign w:val="top"/>
          </w:tcPr>
          <w:p w14:paraId="101D49CB">
            <w:pPr>
              <w:pStyle w:val="6"/>
              <w:spacing w:before="132" w:line="228" w:lineRule="auto"/>
              <w:ind w:left="173"/>
            </w:pPr>
            <w:r>
              <w:rPr>
                <w:spacing w:val="5"/>
              </w:rPr>
              <w:t>凹凸不规则</w:t>
            </w:r>
          </w:p>
        </w:tc>
        <w:tc>
          <w:tcPr>
            <w:tcW w:w="7168" w:type="dxa"/>
            <w:vAlign w:val="top"/>
          </w:tcPr>
          <w:p w14:paraId="2A593FCF">
            <w:pPr>
              <w:pStyle w:val="6"/>
              <w:spacing w:before="132" w:line="227" w:lineRule="auto"/>
              <w:ind w:left="110"/>
            </w:pPr>
            <w:r>
              <w:rPr>
                <w:spacing w:val="8"/>
              </w:rPr>
              <w:t>平面凹进的尺寸，大于相应投影方向总尺寸的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30%</w:t>
            </w:r>
          </w:p>
        </w:tc>
      </w:tr>
      <w:tr w14:paraId="2F3B9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358" w:type="dxa"/>
            <w:vAlign w:val="top"/>
          </w:tcPr>
          <w:p w14:paraId="3E2B6DE2">
            <w:pPr>
              <w:pStyle w:val="6"/>
              <w:spacing w:before="132" w:line="370" w:lineRule="auto"/>
              <w:ind w:left="476" w:right="153" w:hanging="318"/>
            </w:pPr>
            <w:r>
              <w:rPr>
                <w:spacing w:val="8"/>
              </w:rPr>
              <w:t>楼板局部不</w:t>
            </w:r>
            <w:r>
              <w:t xml:space="preserve"> </w:t>
            </w:r>
            <w:r>
              <w:rPr>
                <w:spacing w:val="4"/>
              </w:rPr>
              <w:t>连续</w:t>
            </w:r>
          </w:p>
        </w:tc>
        <w:tc>
          <w:tcPr>
            <w:tcW w:w="7168" w:type="dxa"/>
            <w:vAlign w:val="top"/>
          </w:tcPr>
          <w:p w14:paraId="3AC6D703">
            <w:pPr>
              <w:pStyle w:val="6"/>
              <w:spacing w:before="132" w:line="370" w:lineRule="auto"/>
              <w:ind w:left="383" w:right="118" w:hanging="261"/>
            </w:pPr>
            <w:r>
              <w:rPr>
                <w:spacing w:val="10"/>
              </w:rPr>
              <w:t>楼板的尺寸和平面刚度急剧变化，例如，有效楼板宽</w:t>
            </w:r>
            <w:r>
              <w:rPr>
                <w:spacing w:val="9"/>
              </w:rPr>
              <w:t>度小于该层楼板典型宽</w:t>
            </w:r>
            <w:r>
              <w:t xml:space="preserve"> </w:t>
            </w:r>
            <w:r>
              <w:rPr>
                <w:spacing w:val="8"/>
              </w:rPr>
              <w:t>度的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50%，或开洞面积大于该层楼面面积的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30</w:t>
            </w:r>
            <w:r>
              <w:rPr>
                <w:spacing w:val="7"/>
              </w:rPr>
              <w:t>%，或较大的楼层错层。</w:t>
            </w:r>
          </w:p>
        </w:tc>
      </w:tr>
    </w:tbl>
    <w:p w14:paraId="19230EB6">
      <w:pPr>
        <w:pStyle w:val="2"/>
        <w:spacing w:line="363" w:lineRule="auto"/>
      </w:pPr>
    </w:p>
    <w:p w14:paraId="4BE5B27A">
      <w:pPr>
        <w:spacing w:before="79" w:line="219" w:lineRule="auto"/>
        <w:ind w:left="32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表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2 竖向不规则类型</w:t>
      </w:r>
    </w:p>
    <w:p w14:paraId="31F23E77">
      <w:pPr>
        <w:spacing w:line="21" w:lineRule="exact"/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7108"/>
      </w:tblGrid>
      <w:tr w14:paraId="620B3E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18" w:type="dxa"/>
            <w:vAlign w:val="top"/>
          </w:tcPr>
          <w:p w14:paraId="3886D4ED">
            <w:pPr>
              <w:pStyle w:val="6"/>
              <w:spacing w:before="79" w:line="228" w:lineRule="auto"/>
              <w:ind w:left="193"/>
            </w:pPr>
            <w:r>
              <w:rPr>
                <w:spacing w:val="7"/>
              </w:rPr>
              <w:t>不规则类型</w:t>
            </w:r>
          </w:p>
        </w:tc>
        <w:tc>
          <w:tcPr>
            <w:tcW w:w="7108" w:type="dxa"/>
            <w:vAlign w:val="top"/>
          </w:tcPr>
          <w:p w14:paraId="7FE401EF">
            <w:pPr>
              <w:pStyle w:val="6"/>
              <w:spacing w:before="79" w:line="228" w:lineRule="auto"/>
              <w:ind w:left="2828"/>
            </w:pPr>
            <w:r>
              <w:rPr>
                <w:spacing w:val="7"/>
              </w:rPr>
              <w:t>定义和参考指标</w:t>
            </w:r>
          </w:p>
        </w:tc>
      </w:tr>
      <w:tr w14:paraId="5D3D5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418" w:type="dxa"/>
            <w:vAlign w:val="top"/>
          </w:tcPr>
          <w:p w14:paraId="3B1725FB">
            <w:pPr>
              <w:pStyle w:val="6"/>
              <w:spacing w:before="254" w:line="316" w:lineRule="auto"/>
              <w:ind w:left="504" w:right="181" w:hanging="316"/>
            </w:pPr>
            <w:r>
              <w:rPr>
                <w:spacing w:val="8"/>
              </w:rPr>
              <w:t>侧向刚度不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规则</w:t>
            </w:r>
          </w:p>
        </w:tc>
        <w:tc>
          <w:tcPr>
            <w:tcW w:w="7108" w:type="dxa"/>
            <w:vAlign w:val="top"/>
          </w:tcPr>
          <w:p w14:paraId="54C7800A">
            <w:pPr>
              <w:pStyle w:val="6"/>
              <w:spacing w:before="74" w:line="306" w:lineRule="auto"/>
              <w:ind w:left="110" w:right="109" w:firstLine="4"/>
              <w:jc w:val="both"/>
            </w:pPr>
            <w:r>
              <w:rPr>
                <w:spacing w:val="9"/>
              </w:rPr>
              <w:t>该层的侧向刚度小于相邻上一层的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70%，或小于其上相邻三个楼层侧向刚度</w:t>
            </w:r>
            <w:r>
              <w:t xml:space="preserve"> </w:t>
            </w:r>
            <w:r>
              <w:rPr>
                <w:spacing w:val="9"/>
              </w:rPr>
              <w:t>平均值的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80%；除顶层或出屋面小建筑外，局部收进的水平向尺寸大于相邻</w:t>
            </w:r>
            <w:r>
              <w:t xml:space="preserve"> </w:t>
            </w:r>
            <w:r>
              <w:rPr>
                <w:spacing w:val="5"/>
              </w:rPr>
              <w:t>下一层的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25%</w:t>
            </w:r>
          </w:p>
        </w:tc>
      </w:tr>
      <w:tr w14:paraId="0AB9D6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418" w:type="dxa"/>
            <w:vAlign w:val="top"/>
          </w:tcPr>
          <w:p w14:paraId="16FAB9F9">
            <w:pPr>
              <w:pStyle w:val="6"/>
              <w:spacing w:before="78" w:line="292" w:lineRule="auto"/>
              <w:ind w:left="192" w:right="181" w:firstLine="1"/>
            </w:pPr>
            <w:r>
              <w:rPr>
                <w:spacing w:val="7"/>
              </w:rPr>
              <w:t>竖向抗侧力</w:t>
            </w:r>
            <w:r>
              <w:t xml:space="preserve"> </w:t>
            </w:r>
            <w:r>
              <w:rPr>
                <w:spacing w:val="7"/>
              </w:rPr>
              <w:t>构件不连续</w:t>
            </w:r>
          </w:p>
        </w:tc>
        <w:tc>
          <w:tcPr>
            <w:tcW w:w="7108" w:type="dxa"/>
            <w:vAlign w:val="top"/>
          </w:tcPr>
          <w:p w14:paraId="57208715">
            <w:pPr>
              <w:pStyle w:val="6"/>
              <w:spacing w:before="78" w:line="292" w:lineRule="auto"/>
              <w:ind w:left="112" w:right="109" w:firstLine="3"/>
            </w:pPr>
            <w:r>
              <w:rPr>
                <w:spacing w:val="8"/>
              </w:rPr>
              <w:t>竖向抗侧力构件（柱、抗震墙、抗震支撑）的内力由水平转换构件（梁、桁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架等）</w:t>
            </w:r>
            <w:r>
              <w:rPr>
                <w:spacing w:val="-56"/>
              </w:rPr>
              <w:t xml:space="preserve"> </w:t>
            </w:r>
            <w:r>
              <w:rPr>
                <w:spacing w:val="2"/>
              </w:rPr>
              <w:t>向下传递</w:t>
            </w:r>
          </w:p>
        </w:tc>
      </w:tr>
      <w:tr w14:paraId="65DAA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18" w:type="dxa"/>
            <w:vAlign w:val="top"/>
          </w:tcPr>
          <w:p w14:paraId="4EBA1A10">
            <w:pPr>
              <w:pStyle w:val="6"/>
              <w:spacing w:before="78" w:line="228" w:lineRule="auto"/>
              <w:ind w:left="189"/>
            </w:pPr>
            <w:r>
              <w:rPr>
                <w:spacing w:val="8"/>
              </w:rPr>
              <w:t>楼层承载力</w:t>
            </w:r>
          </w:p>
        </w:tc>
        <w:tc>
          <w:tcPr>
            <w:tcW w:w="7108" w:type="dxa"/>
            <w:vAlign w:val="top"/>
          </w:tcPr>
          <w:p w14:paraId="531CA771">
            <w:pPr>
              <w:pStyle w:val="6"/>
              <w:spacing w:before="78" w:line="228" w:lineRule="auto"/>
              <w:ind w:left="111"/>
            </w:pPr>
            <w:r>
              <w:rPr>
                <w:spacing w:val="8"/>
              </w:rPr>
              <w:t>抗侧力结构的层间受剪承载力小于相邻上一楼层的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80%</w:t>
            </w:r>
          </w:p>
        </w:tc>
      </w:tr>
    </w:tbl>
    <w:p w14:paraId="6CFFCC1A">
      <w:pPr>
        <w:pStyle w:val="2"/>
        <w:spacing w:line="82" w:lineRule="exact"/>
        <w:rPr>
          <w:sz w:val="7"/>
        </w:rPr>
      </w:pPr>
    </w:p>
    <w:p w14:paraId="13C7E7A2">
      <w:pPr>
        <w:spacing w:line="82" w:lineRule="exact"/>
        <w:rPr>
          <w:sz w:val="7"/>
          <w:szCs w:val="7"/>
        </w:rPr>
        <w:sectPr>
          <w:headerReference r:id="rId5" w:type="default"/>
          <w:footerReference r:id="rId6" w:type="default"/>
          <w:pgSz w:w="11906" w:h="16839"/>
          <w:pgMar w:top="1251" w:right="1687" w:bottom="1595" w:left="1687" w:header="862" w:footer="1431" w:gutter="0"/>
          <w:cols w:space="720" w:num="1"/>
        </w:sectPr>
      </w:pPr>
    </w:p>
    <w:p w14:paraId="4508E155">
      <w:pPr>
        <w:spacing w:line="188" w:lineRule="exact"/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7108"/>
      </w:tblGrid>
      <w:tr w14:paraId="56133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18" w:type="dxa"/>
            <w:vAlign w:val="top"/>
          </w:tcPr>
          <w:p w14:paraId="358EDD14">
            <w:pPr>
              <w:pStyle w:val="6"/>
              <w:spacing w:before="80" w:line="229" w:lineRule="auto"/>
              <w:ind w:left="512"/>
            </w:pPr>
            <w:r>
              <w:rPr>
                <w:spacing w:val="1"/>
              </w:rPr>
              <w:t>突变</w:t>
            </w:r>
          </w:p>
        </w:tc>
        <w:tc>
          <w:tcPr>
            <w:tcW w:w="7108" w:type="dxa"/>
            <w:vAlign w:val="top"/>
          </w:tcPr>
          <w:p w14:paraId="6B12A5DD">
            <w:pPr>
              <w:rPr>
                <w:rFonts w:ascii="Arial"/>
                <w:sz w:val="21"/>
              </w:rPr>
            </w:pPr>
          </w:p>
        </w:tc>
      </w:tr>
    </w:tbl>
    <w:p w14:paraId="16EAB1CF">
      <w:pPr>
        <w:pStyle w:val="2"/>
        <w:spacing w:line="335" w:lineRule="auto"/>
      </w:pPr>
    </w:p>
    <w:p w14:paraId="488B9F31">
      <w:pPr>
        <w:pStyle w:val="2"/>
        <w:spacing w:line="335" w:lineRule="auto"/>
      </w:pPr>
    </w:p>
    <w:p w14:paraId="60985EFA">
      <w:pPr>
        <w:spacing w:before="91" w:line="220" w:lineRule="auto"/>
        <w:ind w:left="123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三、指标计算</w:t>
      </w:r>
    </w:p>
    <w:p w14:paraId="02BC9BAB">
      <w:pPr>
        <w:spacing w:before="133" w:line="219" w:lineRule="auto"/>
        <w:ind w:left="34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不规则类型判别</w:t>
      </w:r>
    </w:p>
    <w:p w14:paraId="75F95C53">
      <w:pPr>
        <w:spacing w:line="70" w:lineRule="exact"/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4292"/>
        <w:gridCol w:w="2020"/>
        <w:gridCol w:w="807"/>
      </w:tblGrid>
      <w:tr w14:paraId="1ED62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8526" w:type="dxa"/>
            <w:gridSpan w:val="4"/>
            <w:vAlign w:val="top"/>
          </w:tcPr>
          <w:p w14:paraId="34AC7447">
            <w:pPr>
              <w:pStyle w:val="6"/>
              <w:spacing w:before="85" w:line="228" w:lineRule="auto"/>
              <w:ind w:left="3530"/>
            </w:pPr>
            <w:r>
              <w:rPr>
                <w:b/>
                <w:bCs/>
                <w:spacing w:val="7"/>
              </w:rPr>
              <w:t>平面不规则类型</w:t>
            </w:r>
          </w:p>
        </w:tc>
      </w:tr>
      <w:tr w14:paraId="321186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07" w:type="dxa"/>
            <w:vAlign w:val="top"/>
          </w:tcPr>
          <w:p w14:paraId="7CFEC16D">
            <w:pPr>
              <w:pStyle w:val="6"/>
              <w:spacing w:before="80" w:line="228" w:lineRule="auto"/>
              <w:ind w:left="184"/>
            </w:pPr>
            <w:r>
              <w:rPr>
                <w:b/>
                <w:bCs/>
                <w:spacing w:val="5"/>
              </w:rPr>
              <w:t>不规则类型</w:t>
            </w:r>
          </w:p>
        </w:tc>
        <w:tc>
          <w:tcPr>
            <w:tcW w:w="4292" w:type="dxa"/>
            <w:vAlign w:val="top"/>
          </w:tcPr>
          <w:p w14:paraId="3D686C70">
            <w:pPr>
              <w:pStyle w:val="6"/>
              <w:spacing w:before="80" w:line="228" w:lineRule="auto"/>
              <w:ind w:left="1418"/>
            </w:pPr>
            <w:r>
              <w:rPr>
                <w:b/>
                <w:bCs/>
                <w:spacing w:val="6"/>
              </w:rPr>
              <w:t>定义和参考指标</w:t>
            </w:r>
          </w:p>
        </w:tc>
        <w:tc>
          <w:tcPr>
            <w:tcW w:w="2020" w:type="dxa"/>
            <w:vAlign w:val="top"/>
          </w:tcPr>
          <w:p w14:paraId="65758316">
            <w:pPr>
              <w:pStyle w:val="6"/>
              <w:spacing w:before="81" w:line="227" w:lineRule="auto"/>
              <w:ind w:left="489"/>
            </w:pPr>
            <w:r>
              <w:rPr>
                <w:b/>
                <w:bCs/>
                <w:spacing w:val="6"/>
              </w:rPr>
              <w:t>本工程情况</w:t>
            </w:r>
          </w:p>
        </w:tc>
        <w:tc>
          <w:tcPr>
            <w:tcW w:w="807" w:type="dxa"/>
            <w:vAlign w:val="top"/>
          </w:tcPr>
          <w:p w14:paraId="138DF0C4">
            <w:pPr>
              <w:pStyle w:val="6"/>
              <w:spacing w:before="81" w:line="228" w:lineRule="auto"/>
              <w:ind w:left="149"/>
            </w:pPr>
            <w:r>
              <w:rPr>
                <w:b/>
                <w:bCs/>
                <w:spacing w:val="1"/>
              </w:rPr>
              <w:t>是/否</w:t>
            </w:r>
          </w:p>
        </w:tc>
      </w:tr>
      <w:tr w14:paraId="69E93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407" w:type="dxa"/>
            <w:vAlign w:val="top"/>
          </w:tcPr>
          <w:p w14:paraId="5A75859B">
            <w:pPr>
              <w:spacing w:line="387" w:lineRule="auto"/>
              <w:rPr>
                <w:rFonts w:ascii="Arial"/>
                <w:sz w:val="21"/>
              </w:rPr>
            </w:pPr>
          </w:p>
          <w:p w14:paraId="3BD77D68">
            <w:pPr>
              <w:pStyle w:val="6"/>
              <w:spacing w:before="65" w:line="228" w:lineRule="auto"/>
              <w:ind w:left="183"/>
            </w:pPr>
            <w:r>
              <w:rPr>
                <w:spacing w:val="7"/>
              </w:rPr>
              <w:t>扭转不规则</w:t>
            </w:r>
          </w:p>
        </w:tc>
        <w:tc>
          <w:tcPr>
            <w:tcW w:w="4292" w:type="dxa"/>
            <w:vAlign w:val="top"/>
          </w:tcPr>
          <w:p w14:paraId="1EEBBF6C">
            <w:pPr>
              <w:pStyle w:val="6"/>
              <w:spacing w:before="80" w:line="319" w:lineRule="auto"/>
              <w:ind w:left="112" w:right="104"/>
              <w:jc w:val="both"/>
            </w:pPr>
            <w:r>
              <w:rPr>
                <w:spacing w:val="14"/>
              </w:rPr>
              <w:t>在规定的水平力作用下，楼层的最大弹性水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平位移或（层间位移</w:t>
            </w:r>
            <w:r>
              <w:rPr>
                <w:spacing w:val="-38"/>
              </w:rPr>
              <w:t>），</w:t>
            </w:r>
            <w:r>
              <w:rPr>
                <w:spacing w:val="8"/>
              </w:rPr>
              <w:t>大于该楼层两端弹性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水平位移（或层间位移）平均值的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1.2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倍</w:t>
            </w:r>
          </w:p>
        </w:tc>
        <w:tc>
          <w:tcPr>
            <w:tcW w:w="2020" w:type="dxa"/>
            <w:vAlign w:val="top"/>
          </w:tcPr>
          <w:p w14:paraId="1A155FF2">
            <w:pPr>
              <w:spacing w:line="352" w:lineRule="auto"/>
              <w:rPr>
                <w:rFonts w:ascii="Arial"/>
                <w:sz w:val="21"/>
              </w:rPr>
            </w:pPr>
          </w:p>
          <w:p w14:paraId="4B5C0277">
            <w:pPr>
              <w:pStyle w:val="6"/>
              <w:spacing w:before="65" w:line="190" w:lineRule="auto"/>
              <w:ind w:left="876"/>
            </w:pPr>
            <w:r>
              <w:rPr>
                <w:spacing w:val="-3"/>
              </w:rPr>
              <w:t>1.4</w:t>
            </w:r>
          </w:p>
        </w:tc>
        <w:tc>
          <w:tcPr>
            <w:tcW w:w="807" w:type="dxa"/>
            <w:vAlign w:val="top"/>
          </w:tcPr>
          <w:p w14:paraId="2C50EAC6">
            <w:pPr>
              <w:spacing w:line="387" w:lineRule="auto"/>
              <w:rPr>
                <w:rFonts w:ascii="Arial"/>
                <w:sz w:val="21"/>
              </w:rPr>
            </w:pPr>
          </w:p>
          <w:p w14:paraId="4411C5FD">
            <w:pPr>
              <w:pStyle w:val="6"/>
              <w:spacing w:before="65" w:line="231" w:lineRule="auto"/>
              <w:ind w:left="308"/>
            </w:pPr>
            <w:r>
              <w:rPr>
                <w:b/>
                <w:bCs/>
                <w:spacing w:val="-3"/>
              </w:rPr>
              <w:t>是</w:t>
            </w:r>
          </w:p>
        </w:tc>
      </w:tr>
      <w:tr w14:paraId="0649E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407" w:type="dxa"/>
            <w:vAlign w:val="top"/>
          </w:tcPr>
          <w:p w14:paraId="777338E4">
            <w:pPr>
              <w:pStyle w:val="6"/>
              <w:spacing w:before="268" w:line="228" w:lineRule="auto"/>
              <w:ind w:left="197"/>
            </w:pPr>
            <w:r>
              <w:rPr>
                <w:spacing w:val="5"/>
              </w:rPr>
              <w:t>凹凸不规则</w:t>
            </w:r>
          </w:p>
        </w:tc>
        <w:tc>
          <w:tcPr>
            <w:tcW w:w="4292" w:type="dxa"/>
            <w:vAlign w:val="top"/>
          </w:tcPr>
          <w:p w14:paraId="41D62012">
            <w:pPr>
              <w:pStyle w:val="6"/>
              <w:spacing w:before="84" w:line="304" w:lineRule="auto"/>
              <w:ind w:left="129" w:right="104" w:hanging="17"/>
            </w:pPr>
            <w:r>
              <w:rPr>
                <w:spacing w:val="14"/>
              </w:rPr>
              <w:t>平面凹进的尺寸，大于相应投影方向总尺寸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30%</w:t>
            </w:r>
          </w:p>
        </w:tc>
        <w:tc>
          <w:tcPr>
            <w:tcW w:w="2020" w:type="dxa"/>
            <w:vAlign w:val="top"/>
          </w:tcPr>
          <w:p w14:paraId="2B8360E1">
            <w:pPr>
              <w:pStyle w:val="6"/>
              <w:spacing w:before="268" w:line="228" w:lineRule="auto"/>
              <w:ind w:left="913"/>
            </w:pPr>
            <w:r>
              <w:t>无</w:t>
            </w:r>
          </w:p>
        </w:tc>
        <w:tc>
          <w:tcPr>
            <w:tcW w:w="807" w:type="dxa"/>
            <w:vAlign w:val="top"/>
          </w:tcPr>
          <w:p w14:paraId="24B3E1CE">
            <w:pPr>
              <w:pStyle w:val="6"/>
              <w:spacing w:before="268" w:line="228" w:lineRule="auto"/>
              <w:ind w:left="311"/>
            </w:pPr>
            <w:r>
              <w:rPr>
                <w:b/>
                <w:bCs/>
                <w:spacing w:val="-3"/>
              </w:rPr>
              <w:t>否</w:t>
            </w:r>
          </w:p>
        </w:tc>
      </w:tr>
      <w:tr w14:paraId="0D0DE2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1407" w:type="dxa"/>
            <w:vAlign w:val="top"/>
          </w:tcPr>
          <w:p w14:paraId="6FF53EE5">
            <w:pPr>
              <w:spacing w:line="391" w:lineRule="auto"/>
              <w:rPr>
                <w:rFonts w:ascii="Arial"/>
                <w:sz w:val="21"/>
              </w:rPr>
            </w:pPr>
          </w:p>
          <w:p w14:paraId="01414B27">
            <w:pPr>
              <w:pStyle w:val="6"/>
              <w:spacing w:before="65" w:line="329" w:lineRule="auto"/>
              <w:ind w:left="500" w:right="178" w:hanging="318"/>
            </w:pPr>
            <w:r>
              <w:rPr>
                <w:spacing w:val="8"/>
              </w:rPr>
              <w:t>楼板局部不</w:t>
            </w:r>
            <w:r>
              <w:t xml:space="preserve"> </w:t>
            </w:r>
            <w:r>
              <w:rPr>
                <w:spacing w:val="4"/>
              </w:rPr>
              <w:t>连续</w:t>
            </w:r>
          </w:p>
        </w:tc>
        <w:tc>
          <w:tcPr>
            <w:tcW w:w="4292" w:type="dxa"/>
            <w:vAlign w:val="top"/>
          </w:tcPr>
          <w:p w14:paraId="17872F9B">
            <w:pPr>
              <w:pStyle w:val="6"/>
              <w:spacing w:before="82" w:line="325" w:lineRule="auto"/>
              <w:ind w:left="112" w:right="104"/>
              <w:jc w:val="both"/>
            </w:pPr>
            <w:r>
              <w:rPr>
                <w:spacing w:val="14"/>
              </w:rPr>
              <w:t>楼板的尺寸和平面刚度急剧变化，例如，有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效楼板宽度小于该层楼板典型宽度的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50%，或</w:t>
            </w:r>
            <w:r>
              <w:t xml:space="preserve"> </w:t>
            </w:r>
            <w:r>
              <w:rPr>
                <w:spacing w:val="4"/>
              </w:rPr>
              <w:t>开洞面积大于该层楼面面积的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30%，或较大的</w:t>
            </w:r>
            <w:r>
              <w:t xml:space="preserve"> </w:t>
            </w:r>
            <w:r>
              <w:rPr>
                <w:spacing w:val="6"/>
              </w:rPr>
              <w:t>楼层错层。</w:t>
            </w:r>
          </w:p>
        </w:tc>
        <w:tc>
          <w:tcPr>
            <w:tcW w:w="2020" w:type="dxa"/>
            <w:vAlign w:val="top"/>
          </w:tcPr>
          <w:p w14:paraId="3B4E1C37">
            <w:pPr>
              <w:spacing w:line="288" w:lineRule="auto"/>
              <w:rPr>
                <w:rFonts w:ascii="Arial"/>
                <w:sz w:val="21"/>
              </w:rPr>
            </w:pPr>
          </w:p>
          <w:p w14:paraId="15C3DBCF">
            <w:pPr>
              <w:spacing w:line="289" w:lineRule="auto"/>
              <w:rPr>
                <w:rFonts w:ascii="Arial"/>
                <w:sz w:val="21"/>
              </w:rPr>
            </w:pPr>
          </w:p>
          <w:p w14:paraId="722180BC">
            <w:pPr>
              <w:pStyle w:val="6"/>
              <w:spacing w:before="65" w:line="228" w:lineRule="auto"/>
              <w:ind w:left="913"/>
            </w:pPr>
            <w:r>
              <w:t>无</w:t>
            </w:r>
          </w:p>
        </w:tc>
        <w:tc>
          <w:tcPr>
            <w:tcW w:w="807" w:type="dxa"/>
            <w:vAlign w:val="top"/>
          </w:tcPr>
          <w:p w14:paraId="75CB4513">
            <w:pPr>
              <w:spacing w:line="288" w:lineRule="auto"/>
              <w:rPr>
                <w:rFonts w:ascii="Arial"/>
                <w:sz w:val="21"/>
              </w:rPr>
            </w:pPr>
          </w:p>
          <w:p w14:paraId="29A13EBC">
            <w:pPr>
              <w:spacing w:line="289" w:lineRule="auto"/>
              <w:rPr>
                <w:rFonts w:ascii="Arial"/>
                <w:sz w:val="21"/>
              </w:rPr>
            </w:pPr>
          </w:p>
          <w:p w14:paraId="734C74D4">
            <w:pPr>
              <w:pStyle w:val="6"/>
              <w:spacing w:before="65" w:line="228" w:lineRule="auto"/>
              <w:ind w:left="311"/>
            </w:pPr>
            <w:r>
              <w:rPr>
                <w:b/>
                <w:bCs/>
                <w:spacing w:val="-3"/>
              </w:rPr>
              <w:t>否</w:t>
            </w:r>
          </w:p>
        </w:tc>
      </w:tr>
      <w:tr w14:paraId="1B4A0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8526" w:type="dxa"/>
            <w:gridSpan w:val="4"/>
            <w:vAlign w:val="top"/>
          </w:tcPr>
          <w:p w14:paraId="24DB0EB2">
            <w:pPr>
              <w:pStyle w:val="6"/>
              <w:spacing w:before="84" w:line="228" w:lineRule="auto"/>
              <w:ind w:left="3535"/>
            </w:pPr>
            <w:r>
              <w:rPr>
                <w:b/>
                <w:bCs/>
                <w:spacing w:val="6"/>
              </w:rPr>
              <w:t>竖向不规则类型</w:t>
            </w:r>
          </w:p>
        </w:tc>
      </w:tr>
      <w:tr w14:paraId="1007A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07" w:type="dxa"/>
            <w:vAlign w:val="top"/>
          </w:tcPr>
          <w:p w14:paraId="4D710DA3">
            <w:pPr>
              <w:pStyle w:val="6"/>
              <w:spacing w:before="83" w:line="228" w:lineRule="auto"/>
              <w:ind w:left="184"/>
            </w:pPr>
            <w:r>
              <w:rPr>
                <w:b/>
                <w:bCs/>
                <w:spacing w:val="5"/>
              </w:rPr>
              <w:t>不规则类型</w:t>
            </w:r>
          </w:p>
        </w:tc>
        <w:tc>
          <w:tcPr>
            <w:tcW w:w="4292" w:type="dxa"/>
            <w:vAlign w:val="top"/>
          </w:tcPr>
          <w:p w14:paraId="6BE0508F">
            <w:pPr>
              <w:pStyle w:val="6"/>
              <w:spacing w:before="83" w:line="228" w:lineRule="auto"/>
              <w:ind w:left="1418"/>
            </w:pPr>
            <w:r>
              <w:rPr>
                <w:b/>
                <w:bCs/>
                <w:spacing w:val="6"/>
              </w:rPr>
              <w:t>定义和参考指标</w:t>
            </w:r>
          </w:p>
        </w:tc>
        <w:tc>
          <w:tcPr>
            <w:tcW w:w="2020" w:type="dxa"/>
            <w:vAlign w:val="top"/>
          </w:tcPr>
          <w:p w14:paraId="62E507C8">
            <w:pPr>
              <w:pStyle w:val="6"/>
              <w:spacing w:before="83" w:line="227" w:lineRule="auto"/>
              <w:ind w:left="489"/>
            </w:pPr>
            <w:r>
              <w:rPr>
                <w:b/>
                <w:bCs/>
                <w:spacing w:val="6"/>
              </w:rPr>
              <w:t>本工程情况</w:t>
            </w:r>
          </w:p>
        </w:tc>
        <w:tc>
          <w:tcPr>
            <w:tcW w:w="807" w:type="dxa"/>
            <w:vAlign w:val="top"/>
          </w:tcPr>
          <w:p w14:paraId="26FC5767">
            <w:pPr>
              <w:pStyle w:val="6"/>
              <w:spacing w:before="84" w:line="228" w:lineRule="auto"/>
              <w:ind w:left="149"/>
            </w:pPr>
            <w:r>
              <w:rPr>
                <w:b/>
                <w:bCs/>
                <w:spacing w:val="1"/>
              </w:rPr>
              <w:t>是/否</w:t>
            </w:r>
          </w:p>
        </w:tc>
      </w:tr>
      <w:tr w14:paraId="0C8CC7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 w:hRule="atLeast"/>
        </w:trPr>
        <w:tc>
          <w:tcPr>
            <w:tcW w:w="1407" w:type="dxa"/>
            <w:vAlign w:val="top"/>
          </w:tcPr>
          <w:p w14:paraId="10D1A160">
            <w:pPr>
              <w:spacing w:line="391" w:lineRule="auto"/>
              <w:rPr>
                <w:rFonts w:ascii="Arial"/>
                <w:sz w:val="21"/>
              </w:rPr>
            </w:pPr>
          </w:p>
          <w:p w14:paraId="30F1FD6B">
            <w:pPr>
              <w:pStyle w:val="6"/>
              <w:spacing w:before="65" w:line="331" w:lineRule="auto"/>
              <w:ind w:left="500" w:right="178" w:hanging="319"/>
            </w:pPr>
            <w:r>
              <w:rPr>
                <w:spacing w:val="8"/>
              </w:rPr>
              <w:t>侧向刚度不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规则</w:t>
            </w:r>
          </w:p>
        </w:tc>
        <w:tc>
          <w:tcPr>
            <w:tcW w:w="4292" w:type="dxa"/>
            <w:vAlign w:val="top"/>
          </w:tcPr>
          <w:p w14:paraId="5F964DE9">
            <w:pPr>
              <w:pStyle w:val="6"/>
              <w:spacing w:before="83" w:line="325" w:lineRule="auto"/>
              <w:ind w:left="116" w:right="90"/>
              <w:jc w:val="both"/>
            </w:pPr>
            <w:r>
              <w:rPr>
                <w:spacing w:val="4"/>
              </w:rPr>
              <w:t>该层的侧向刚度小于相邻上一层的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70%，或小</w:t>
            </w:r>
            <w:r>
              <w:t xml:space="preserve"> </w:t>
            </w:r>
            <w:r>
              <w:rPr>
                <w:spacing w:val="8"/>
              </w:rPr>
              <w:t>于其上相邻三个楼层侧向刚度平均值的80%；</w:t>
            </w:r>
            <w:r>
              <w:rPr>
                <w:spacing w:val="11"/>
              </w:rPr>
              <w:t xml:space="preserve"> </w:t>
            </w:r>
            <w:r>
              <w:rPr>
                <w:spacing w:val="14"/>
              </w:rPr>
              <w:t>除顶层或出屋面小建筑外，局部收进的水平</w:t>
            </w:r>
            <w:r>
              <w:t xml:space="preserve"> </w:t>
            </w:r>
            <w:r>
              <w:rPr>
                <w:spacing w:val="7"/>
              </w:rPr>
              <w:t>向尺寸大于相邻下一层的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25%</w:t>
            </w:r>
          </w:p>
        </w:tc>
        <w:tc>
          <w:tcPr>
            <w:tcW w:w="2020" w:type="dxa"/>
            <w:vAlign w:val="top"/>
          </w:tcPr>
          <w:p w14:paraId="1BE6337F">
            <w:pPr>
              <w:spacing w:line="288" w:lineRule="auto"/>
              <w:rPr>
                <w:rFonts w:ascii="Arial"/>
                <w:sz w:val="21"/>
              </w:rPr>
            </w:pPr>
          </w:p>
          <w:p w14:paraId="69B40C4A">
            <w:pPr>
              <w:spacing w:line="289" w:lineRule="auto"/>
              <w:rPr>
                <w:rFonts w:ascii="Arial"/>
                <w:sz w:val="21"/>
              </w:rPr>
            </w:pPr>
          </w:p>
          <w:p w14:paraId="7727F449">
            <w:pPr>
              <w:pStyle w:val="6"/>
              <w:spacing w:before="65" w:line="228" w:lineRule="auto"/>
              <w:ind w:left="913"/>
            </w:pPr>
            <w:r>
              <w:t>无</w:t>
            </w:r>
          </w:p>
        </w:tc>
        <w:tc>
          <w:tcPr>
            <w:tcW w:w="807" w:type="dxa"/>
            <w:vAlign w:val="top"/>
          </w:tcPr>
          <w:p w14:paraId="25018FEE">
            <w:pPr>
              <w:spacing w:line="288" w:lineRule="auto"/>
              <w:rPr>
                <w:rFonts w:ascii="Arial"/>
                <w:sz w:val="21"/>
              </w:rPr>
            </w:pPr>
          </w:p>
          <w:p w14:paraId="179F0C21">
            <w:pPr>
              <w:spacing w:line="289" w:lineRule="auto"/>
              <w:rPr>
                <w:rFonts w:ascii="Arial"/>
                <w:sz w:val="21"/>
              </w:rPr>
            </w:pPr>
          </w:p>
          <w:p w14:paraId="4B76E5BE">
            <w:pPr>
              <w:pStyle w:val="6"/>
              <w:spacing w:before="65" w:line="228" w:lineRule="auto"/>
              <w:ind w:left="311"/>
            </w:pPr>
            <w:r>
              <w:rPr>
                <w:b/>
                <w:bCs/>
                <w:spacing w:val="-3"/>
              </w:rPr>
              <w:t>否</w:t>
            </w:r>
          </w:p>
        </w:tc>
      </w:tr>
      <w:tr w14:paraId="797E8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407" w:type="dxa"/>
            <w:vAlign w:val="top"/>
          </w:tcPr>
          <w:p w14:paraId="68460C0F">
            <w:pPr>
              <w:pStyle w:val="6"/>
              <w:spacing w:before="271" w:line="331" w:lineRule="auto"/>
              <w:ind w:left="185" w:right="178" w:firstLine="1"/>
            </w:pPr>
            <w:r>
              <w:rPr>
                <w:spacing w:val="7"/>
              </w:rPr>
              <w:t>竖向抗侧力</w:t>
            </w:r>
            <w:r>
              <w:t xml:space="preserve"> </w:t>
            </w:r>
            <w:r>
              <w:rPr>
                <w:spacing w:val="7"/>
              </w:rPr>
              <w:t>构件不连续</w:t>
            </w:r>
          </w:p>
        </w:tc>
        <w:tc>
          <w:tcPr>
            <w:tcW w:w="4292" w:type="dxa"/>
            <w:vAlign w:val="top"/>
          </w:tcPr>
          <w:p w14:paraId="0C60238D">
            <w:pPr>
              <w:pStyle w:val="6"/>
              <w:spacing w:before="83" w:line="318" w:lineRule="auto"/>
              <w:ind w:left="111" w:right="104" w:firstLine="5"/>
            </w:pPr>
            <w:r>
              <w:rPr>
                <w:spacing w:val="13"/>
              </w:rPr>
              <w:t>竖向抗侧力构件（柱、抗震墙、抗震支撑）</w:t>
            </w:r>
            <w:r>
              <w:t xml:space="preserve"> </w:t>
            </w:r>
            <w:r>
              <w:rPr>
                <w:spacing w:val="11"/>
              </w:rPr>
              <w:t>的内力由水平转换构件（梁、桁架等）</w:t>
            </w:r>
            <w:r>
              <w:rPr>
                <w:spacing w:val="-39"/>
              </w:rPr>
              <w:t xml:space="preserve"> </w:t>
            </w:r>
            <w:r>
              <w:rPr>
                <w:spacing w:val="11"/>
              </w:rPr>
              <w:t>向下</w:t>
            </w:r>
            <w:r>
              <w:t xml:space="preserve"> </w:t>
            </w:r>
            <w:r>
              <w:rPr>
                <w:spacing w:val="5"/>
              </w:rPr>
              <w:t>传递</w:t>
            </w:r>
          </w:p>
        </w:tc>
        <w:tc>
          <w:tcPr>
            <w:tcW w:w="2020" w:type="dxa"/>
            <w:vAlign w:val="top"/>
          </w:tcPr>
          <w:p w14:paraId="697ADFFD">
            <w:pPr>
              <w:spacing w:line="391" w:lineRule="auto"/>
              <w:rPr>
                <w:rFonts w:ascii="Arial"/>
                <w:sz w:val="21"/>
              </w:rPr>
            </w:pPr>
          </w:p>
          <w:p w14:paraId="160A248B">
            <w:pPr>
              <w:pStyle w:val="6"/>
              <w:spacing w:before="65" w:line="228" w:lineRule="auto"/>
              <w:ind w:left="913"/>
            </w:pPr>
            <w:r>
              <w:t>无</w:t>
            </w:r>
          </w:p>
        </w:tc>
        <w:tc>
          <w:tcPr>
            <w:tcW w:w="807" w:type="dxa"/>
            <w:vAlign w:val="top"/>
          </w:tcPr>
          <w:p w14:paraId="619F66FC">
            <w:pPr>
              <w:spacing w:line="391" w:lineRule="auto"/>
              <w:rPr>
                <w:rFonts w:ascii="Arial"/>
                <w:sz w:val="21"/>
              </w:rPr>
            </w:pPr>
          </w:p>
          <w:p w14:paraId="3C57D99C">
            <w:pPr>
              <w:pStyle w:val="6"/>
              <w:spacing w:before="65" w:line="228" w:lineRule="auto"/>
              <w:ind w:left="311"/>
            </w:pPr>
            <w:r>
              <w:rPr>
                <w:b/>
                <w:bCs/>
                <w:spacing w:val="-3"/>
              </w:rPr>
              <w:t>否</w:t>
            </w:r>
          </w:p>
        </w:tc>
      </w:tr>
      <w:tr w14:paraId="29A6E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407" w:type="dxa"/>
            <w:vAlign w:val="top"/>
          </w:tcPr>
          <w:p w14:paraId="53C00CF8">
            <w:pPr>
              <w:pStyle w:val="6"/>
              <w:spacing w:before="87" w:line="305" w:lineRule="auto"/>
              <w:ind w:left="506" w:right="178" w:hanging="324"/>
            </w:pPr>
            <w:r>
              <w:rPr>
                <w:spacing w:val="8"/>
              </w:rPr>
              <w:t>楼层承载力</w:t>
            </w:r>
            <w:r>
              <w:t xml:space="preserve"> </w:t>
            </w:r>
            <w:r>
              <w:rPr>
                <w:spacing w:val="1"/>
              </w:rPr>
              <w:t>突变</w:t>
            </w:r>
          </w:p>
        </w:tc>
        <w:tc>
          <w:tcPr>
            <w:tcW w:w="4292" w:type="dxa"/>
            <w:vAlign w:val="top"/>
          </w:tcPr>
          <w:p w14:paraId="36D0F11B">
            <w:pPr>
              <w:pStyle w:val="6"/>
              <w:spacing w:before="87" w:line="305" w:lineRule="auto"/>
              <w:ind w:left="112" w:right="104"/>
            </w:pPr>
            <w:r>
              <w:rPr>
                <w:spacing w:val="14"/>
              </w:rPr>
              <w:t>抗侧力结构的层间受剪承载力小于相邻上一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楼层的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80%</w:t>
            </w:r>
          </w:p>
        </w:tc>
        <w:tc>
          <w:tcPr>
            <w:tcW w:w="2020" w:type="dxa"/>
            <w:vAlign w:val="top"/>
          </w:tcPr>
          <w:p w14:paraId="6770B410">
            <w:pPr>
              <w:pStyle w:val="6"/>
              <w:spacing w:before="272" w:line="228" w:lineRule="auto"/>
              <w:ind w:left="913"/>
            </w:pPr>
            <w:r>
              <w:t>无</w:t>
            </w:r>
          </w:p>
        </w:tc>
        <w:tc>
          <w:tcPr>
            <w:tcW w:w="807" w:type="dxa"/>
            <w:vAlign w:val="top"/>
          </w:tcPr>
          <w:p w14:paraId="586C27F2">
            <w:pPr>
              <w:pStyle w:val="6"/>
              <w:spacing w:before="272" w:line="228" w:lineRule="auto"/>
              <w:ind w:left="311"/>
            </w:pPr>
            <w:r>
              <w:rPr>
                <w:b/>
                <w:bCs/>
                <w:spacing w:val="-3"/>
              </w:rPr>
              <w:t>否</w:t>
            </w:r>
          </w:p>
        </w:tc>
      </w:tr>
    </w:tbl>
    <w:p w14:paraId="236C35C6">
      <w:pPr>
        <w:spacing w:before="112" w:line="219" w:lineRule="auto"/>
        <w:ind w:left="1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结论：本项目建筑不规则类型判别：存在</w:t>
      </w:r>
      <w:r>
        <w:rPr>
          <w:rFonts w:ascii="宋体" w:hAnsi="宋体" w:eastAsia="宋体" w:cs="宋体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项不规则，非超限建筑。</w:t>
      </w:r>
    </w:p>
    <w:p w14:paraId="7267F1CC">
      <w:pPr>
        <w:spacing w:before="279" w:line="221" w:lineRule="auto"/>
        <w:ind w:left="150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四、结论</w:t>
      </w:r>
    </w:p>
    <w:p w14:paraId="1A2FAC6E">
      <w:pPr>
        <w:spacing w:before="131" w:line="347" w:lineRule="auto"/>
        <w:ind w:left="119" w:right="6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根据以上计算结果，本项目属于不规则体型建筑，满足《绿色建筑评价标准》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GB/T50378-2019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第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7.1.8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条的规定。</w:t>
      </w:r>
    </w:p>
    <w:sectPr>
      <w:footerReference r:id="rId7" w:type="default"/>
      <w:pgSz w:w="11906" w:h="16839"/>
      <w:pgMar w:top="1251" w:right="1687" w:bottom="1596" w:left="1687" w:header="862" w:footer="14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1EC62">
    <w:pPr>
      <w:spacing w:line="168" w:lineRule="auto"/>
      <w:ind w:left="423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5B5A4">
    <w:pPr>
      <w:spacing w:line="169" w:lineRule="auto"/>
      <w:ind w:left="42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94EE2">
    <w:pPr>
      <w:spacing w:before="16" w:line="218" w:lineRule="auto"/>
      <w:ind w:left="121"/>
      <w:rPr>
        <w:rFonts w:ascii="宋体" w:hAnsi="宋体" w:eastAsia="宋体" w:cs="宋体"/>
        <w:sz w:val="18"/>
        <w:szCs w:val="18"/>
      </w:rPr>
    </w:pPr>
    <w:r>
      <w:pict>
        <v:shape id="_x0000_s4097" o:spid="_x0000_s4097" style="position:absolute;left:0pt;margin-left:90pt;margin-top:61.05pt;height:0.75pt;width:415.3pt;mso-position-horizontal-relative:page;mso-position-vertical-relative:page;z-index:251659264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建筑形体规则性判定报告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076B7055"/>
    <w:rsid w:val="4FF46D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1160</Words>
  <Characters>1300</Characters>
  <TotalTime>0</TotalTime>
  <ScaleCrop>false</ScaleCrop>
  <LinksUpToDate>false</LinksUpToDate>
  <CharactersWithSpaces>1491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2024-06-27T18:34:00Z</dcterms:created>
  <dc:creator>PC</dc:creator>
  <cp:lastModifiedBy>君</cp:lastModifiedBy>
  <dcterms:modified xsi:type="dcterms:W3CDTF">2025-11-18T11:50:18Z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2024-09-04T08:49:06Z</vt:filetime>
  </property>
  <property fmtid="{D5CDD505-2E9C-101B-9397-08002B2CF9AE}" pid="4" name="KSOProductBuildVer">
    <vt:lpwstr>2052-12.1.0.23542</vt:lpwstr>
  </property>
  <property fmtid="{D5CDD505-2E9C-101B-9397-08002B2CF9AE}" pid="5" name="ICV">
    <vt:lpwstr>C76BBF9655DF44C1B43083FE3440A564_12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