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6F412">
      <w:pPr>
        <w:pStyle w:val="2"/>
        <w:spacing w:line="257" w:lineRule="auto"/>
      </w:pPr>
    </w:p>
    <w:p w14:paraId="7D207DFC">
      <w:pPr>
        <w:pStyle w:val="2"/>
        <w:spacing w:line="257" w:lineRule="auto"/>
      </w:pPr>
    </w:p>
    <w:p w14:paraId="4739C650">
      <w:pPr>
        <w:pStyle w:val="2"/>
        <w:spacing w:line="257" w:lineRule="auto"/>
      </w:pPr>
    </w:p>
    <w:p w14:paraId="620FB14B">
      <w:pPr>
        <w:pStyle w:val="2"/>
        <w:spacing w:line="257" w:lineRule="auto"/>
      </w:pPr>
    </w:p>
    <w:p w14:paraId="3711D199">
      <w:pPr>
        <w:pStyle w:val="2"/>
        <w:spacing w:line="258" w:lineRule="auto"/>
      </w:pPr>
    </w:p>
    <w:p w14:paraId="278ECE12">
      <w:pPr>
        <w:spacing w:before="169" w:line="219" w:lineRule="auto"/>
        <w:ind w:left="306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spacing w:val="-6"/>
          <w:sz w:val="52"/>
          <w:szCs w:val="52"/>
        </w:rPr>
        <w:t>水量平衡表和水系统规划简要说明</w:t>
      </w:r>
    </w:p>
    <w:p w14:paraId="06D09CAB">
      <w:pPr>
        <w:pStyle w:val="2"/>
        <w:spacing w:line="242" w:lineRule="auto"/>
      </w:pPr>
    </w:p>
    <w:p w14:paraId="4D26AADD">
      <w:pPr>
        <w:pStyle w:val="2"/>
        <w:spacing w:line="243" w:lineRule="auto"/>
      </w:pPr>
    </w:p>
    <w:p w14:paraId="68F79CB9">
      <w:pPr>
        <w:pStyle w:val="2"/>
        <w:spacing w:line="243" w:lineRule="auto"/>
      </w:pPr>
    </w:p>
    <w:p w14:paraId="5E164AD7">
      <w:pPr>
        <w:pStyle w:val="2"/>
        <w:spacing w:line="243" w:lineRule="auto"/>
      </w:pPr>
    </w:p>
    <w:p w14:paraId="1987E6BA">
      <w:pPr>
        <w:pStyle w:val="2"/>
        <w:spacing w:line="243" w:lineRule="auto"/>
      </w:pPr>
    </w:p>
    <w:p w14:paraId="795FFE8A">
      <w:pPr>
        <w:pStyle w:val="2"/>
        <w:spacing w:line="243" w:lineRule="auto"/>
      </w:pPr>
    </w:p>
    <w:p w14:paraId="1BC0CFE1">
      <w:pPr>
        <w:pStyle w:val="2"/>
        <w:spacing w:line="243" w:lineRule="auto"/>
      </w:pPr>
    </w:p>
    <w:p w14:paraId="18C7FB92">
      <w:pPr>
        <w:pStyle w:val="2"/>
        <w:spacing w:line="243" w:lineRule="auto"/>
      </w:pPr>
    </w:p>
    <w:p w14:paraId="7C27AB72">
      <w:pPr>
        <w:pStyle w:val="2"/>
        <w:spacing w:line="243" w:lineRule="auto"/>
      </w:pPr>
    </w:p>
    <w:p w14:paraId="51ACAA1C">
      <w:pPr>
        <w:pStyle w:val="2"/>
        <w:spacing w:line="243" w:lineRule="auto"/>
      </w:pPr>
    </w:p>
    <w:p w14:paraId="0E642998">
      <w:pPr>
        <w:pStyle w:val="2"/>
        <w:spacing w:line="243" w:lineRule="auto"/>
      </w:pPr>
    </w:p>
    <w:p w14:paraId="0C24CAE7">
      <w:pPr>
        <w:pStyle w:val="2"/>
        <w:spacing w:line="243" w:lineRule="auto"/>
      </w:pPr>
    </w:p>
    <w:p w14:paraId="39ED5128">
      <w:pPr>
        <w:pStyle w:val="2"/>
        <w:spacing w:line="243" w:lineRule="auto"/>
      </w:pPr>
    </w:p>
    <w:p w14:paraId="0A6E7798">
      <w:pPr>
        <w:pStyle w:val="2"/>
        <w:spacing w:line="243" w:lineRule="auto"/>
      </w:pPr>
    </w:p>
    <w:p w14:paraId="142E0516">
      <w:pPr>
        <w:pStyle w:val="2"/>
        <w:spacing w:line="243" w:lineRule="auto"/>
      </w:pPr>
    </w:p>
    <w:p w14:paraId="2DDE2765">
      <w:pPr>
        <w:pStyle w:val="2"/>
        <w:spacing w:line="243" w:lineRule="auto"/>
      </w:pPr>
    </w:p>
    <w:p w14:paraId="7ED1B6D7">
      <w:pPr>
        <w:pStyle w:val="2"/>
        <w:spacing w:line="243" w:lineRule="auto"/>
      </w:pPr>
    </w:p>
    <w:p w14:paraId="5712C1B3">
      <w:pPr>
        <w:pStyle w:val="2"/>
        <w:spacing w:line="243" w:lineRule="auto"/>
      </w:pPr>
    </w:p>
    <w:p w14:paraId="7464BF4C">
      <w:pPr>
        <w:pStyle w:val="2"/>
        <w:spacing w:line="243" w:lineRule="auto"/>
      </w:pPr>
    </w:p>
    <w:p w14:paraId="2D43BDDF">
      <w:pPr>
        <w:pStyle w:val="2"/>
        <w:spacing w:line="243" w:lineRule="auto"/>
      </w:pPr>
    </w:p>
    <w:p w14:paraId="5D81173C">
      <w:pPr>
        <w:pStyle w:val="2"/>
        <w:spacing w:line="243" w:lineRule="auto"/>
      </w:pPr>
    </w:p>
    <w:p w14:paraId="28EF95FC">
      <w:pPr>
        <w:pStyle w:val="2"/>
        <w:spacing w:line="243" w:lineRule="auto"/>
      </w:pPr>
    </w:p>
    <w:p w14:paraId="62B0B9E1">
      <w:pPr>
        <w:pStyle w:val="2"/>
        <w:spacing w:line="243" w:lineRule="auto"/>
      </w:pPr>
    </w:p>
    <w:p w14:paraId="26479FFD">
      <w:pPr>
        <w:pStyle w:val="2"/>
        <w:spacing w:line="243" w:lineRule="auto"/>
      </w:pPr>
    </w:p>
    <w:p w14:paraId="2590DAAB">
      <w:pPr>
        <w:pStyle w:val="2"/>
        <w:spacing w:line="243" w:lineRule="auto"/>
      </w:pPr>
    </w:p>
    <w:p w14:paraId="7E712653">
      <w:pPr>
        <w:pStyle w:val="2"/>
        <w:spacing w:line="243" w:lineRule="auto"/>
      </w:pPr>
    </w:p>
    <w:p w14:paraId="568118A2">
      <w:pPr>
        <w:pStyle w:val="2"/>
        <w:spacing w:line="243" w:lineRule="auto"/>
      </w:pPr>
    </w:p>
    <w:p w14:paraId="447E76EA">
      <w:pPr>
        <w:pStyle w:val="2"/>
        <w:spacing w:line="243" w:lineRule="auto"/>
      </w:pPr>
    </w:p>
    <w:p w14:paraId="0551A981">
      <w:pPr>
        <w:pStyle w:val="2"/>
        <w:spacing w:line="243" w:lineRule="auto"/>
      </w:pPr>
    </w:p>
    <w:p w14:paraId="3EA091C4">
      <w:pPr>
        <w:pStyle w:val="2"/>
        <w:spacing w:line="243" w:lineRule="auto"/>
      </w:pPr>
    </w:p>
    <w:p w14:paraId="5C1EE9BD">
      <w:pPr>
        <w:pStyle w:val="2"/>
        <w:spacing w:line="243" w:lineRule="auto"/>
      </w:pPr>
    </w:p>
    <w:p w14:paraId="3AC5B205">
      <w:pPr>
        <w:pStyle w:val="2"/>
        <w:spacing w:line="243" w:lineRule="auto"/>
      </w:pPr>
    </w:p>
    <w:p w14:paraId="329C6EC8">
      <w:pPr>
        <w:spacing w:before="97" w:line="219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项目名称：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乳源洲街历史文化街区文创中心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>及配套设施建设项目</w:t>
      </w:r>
    </w:p>
    <w:p w14:paraId="0EF1E2DF">
      <w:pPr>
        <w:spacing w:before="268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子项名称：</w:t>
      </w:r>
      <w:r>
        <w:rPr>
          <w:rFonts w:ascii="宋体" w:hAnsi="宋体" w:eastAsia="宋体" w:cs="宋体"/>
          <w:spacing w:val="38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 xml:space="preserve">1#、2#住宅楼                                  </w:t>
      </w:r>
    </w:p>
    <w:p w14:paraId="7DFC5167">
      <w:pPr>
        <w:spacing w:before="268" w:line="219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建设单位：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30"/>
          <w:szCs w:val="30"/>
          <w:u w:val="single" w:color="auto"/>
        </w:rPr>
        <w:t>乳源瑶族自治县金源资产经营有限公司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</w:t>
      </w:r>
    </w:p>
    <w:p w14:paraId="722440AC">
      <w:pPr>
        <w:spacing w:before="268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设计单位：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广东中人工程设计有限公司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</w:t>
      </w:r>
    </w:p>
    <w:p w14:paraId="577FCA86">
      <w:pPr>
        <w:spacing w:before="268" w:line="219" w:lineRule="auto"/>
        <w:ind w:left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编辑日期：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202</w:t>
      </w:r>
      <w:r>
        <w:rPr>
          <w:rFonts w:hint="eastAsia" w:ascii="宋体" w:hAnsi="宋体" w:eastAsia="宋体" w:cs="宋体"/>
          <w:spacing w:val="-5"/>
          <w:sz w:val="30"/>
          <w:szCs w:val="30"/>
          <w:u w:val="single" w:color="auto"/>
          <w:lang w:val="en-US" w:eastAsia="zh-CN"/>
        </w:rPr>
        <w:t xml:space="preserve">5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>年</w:t>
      </w:r>
      <w:r>
        <w:rPr>
          <w:rFonts w:ascii="宋体" w:hAnsi="宋体" w:eastAsia="宋体" w:cs="宋体"/>
          <w:spacing w:val="-62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62"/>
          <w:sz w:val="30"/>
          <w:szCs w:val="30"/>
          <w:u w:val="single" w:color="auto"/>
          <w:lang w:val="en-US" w:eastAsia="zh-CN"/>
        </w:rPr>
        <w:t>11</w:t>
      </w:r>
      <w:r>
        <w:rPr>
          <w:rFonts w:ascii="宋体" w:hAnsi="宋体" w:eastAsia="宋体" w:cs="宋体"/>
          <w:spacing w:val="-55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月         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 xml:space="preserve">                          </w:t>
      </w:r>
    </w:p>
    <w:p w14:paraId="28AFDF61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6" w:h="16839"/>
          <w:pgMar w:top="1431" w:right="1746" w:bottom="0" w:left="1757" w:header="0" w:footer="0" w:gutter="0"/>
          <w:cols w:space="720" w:num="1"/>
        </w:sectPr>
      </w:pPr>
    </w:p>
    <w:p w14:paraId="63588BC9">
      <w:pPr>
        <w:pStyle w:val="2"/>
        <w:spacing w:line="427" w:lineRule="auto"/>
      </w:pPr>
    </w:p>
    <w:sdt>
      <w:sdtPr>
        <w:rPr>
          <w:rFonts w:ascii="宋体" w:hAnsi="宋体" w:eastAsia="宋体" w:cs="宋体"/>
          <w:sz w:val="43"/>
          <w:szCs w:val="43"/>
        </w:rPr>
        <w:id w:val="147459823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0"/>
          <w:szCs w:val="20"/>
        </w:rPr>
      </w:sdtEndPr>
      <w:sdtContent>
        <w:p w14:paraId="351F6E92">
          <w:pPr>
            <w:spacing w:before="139" w:line="225" w:lineRule="auto"/>
            <w:ind w:left="3858"/>
            <w:rPr>
              <w:rFonts w:ascii="宋体" w:hAnsi="宋体" w:eastAsia="宋体" w:cs="宋体"/>
              <w:sz w:val="43"/>
              <w:szCs w:val="43"/>
            </w:rPr>
          </w:pPr>
          <w:bookmarkStart w:id="0" w:name="bookmark1"/>
          <w:bookmarkEnd w:id="0"/>
          <w:r>
            <w:rPr>
              <w:rFonts w:ascii="宋体" w:hAnsi="宋体" w:eastAsia="宋体" w:cs="宋体"/>
              <w:b/>
              <w:bCs/>
              <w:spacing w:val="-45"/>
              <w:sz w:val="43"/>
              <w:szCs w:val="43"/>
            </w:rPr>
            <w:t>目录</w:t>
          </w:r>
        </w:p>
        <w:p w14:paraId="5655F7F3">
          <w:pPr>
            <w:tabs>
              <w:tab w:val="right" w:leader="dot" w:pos="8299"/>
            </w:tabs>
            <w:spacing w:before="135" w:line="193" w:lineRule="auto"/>
            <w:ind w:left="3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" w:name="bookmark2"/>
          <w:bookmarkEnd w:id="1"/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宋体" w:hAnsi="宋体" w:eastAsia="宋体" w:cs="宋体"/>
              <w:spacing w:val="8"/>
              <w:sz w:val="20"/>
              <w:szCs w:val="20"/>
            </w:rPr>
            <w:t>一、建设项目基本情况</w:t>
          </w:r>
          <w:r>
            <w:rPr>
              <w:rFonts w:ascii="宋体" w:hAnsi="宋体" w:eastAsia="宋体" w:cs="宋体"/>
              <w:spacing w:val="-52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31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  <w:p w14:paraId="140BDFCB">
          <w:pPr>
            <w:tabs>
              <w:tab w:val="right" w:leader="dot" w:pos="8299"/>
            </w:tabs>
            <w:spacing w:before="258" w:line="193" w:lineRule="auto"/>
            <w:ind w:left="3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2" w:name="bookmark4"/>
          <w:bookmarkEnd w:id="2"/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宋体" w:hAnsi="宋体" w:eastAsia="宋体" w:cs="宋体"/>
              <w:spacing w:val="9"/>
              <w:sz w:val="20"/>
              <w:szCs w:val="20"/>
            </w:rPr>
            <w:t>二、当地气象资料与水资源状况</w:t>
          </w:r>
          <w:r>
            <w:rPr>
              <w:rFonts w:ascii="宋体" w:hAnsi="宋体" w:eastAsia="宋体" w:cs="宋体"/>
              <w:spacing w:val="-57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39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  <w:bookmarkStart w:id="16" w:name="_GoBack"/>
          <w:bookmarkEnd w:id="16"/>
        </w:p>
        <w:p w14:paraId="3112CA71">
          <w:pPr>
            <w:tabs>
              <w:tab w:val="right" w:leader="dot" w:pos="8299"/>
            </w:tabs>
            <w:spacing w:before="259" w:line="193" w:lineRule="auto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3" w:name="bookmark1"/>
          <w:bookmarkEnd w:id="3"/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宋体" w:hAnsi="宋体" w:eastAsia="宋体" w:cs="宋体"/>
              <w:spacing w:val="9"/>
              <w:sz w:val="20"/>
              <w:szCs w:val="20"/>
            </w:rPr>
            <w:t>三、用水定额的确定、水量平衡分析</w:t>
          </w:r>
          <w:r>
            <w:rPr>
              <w:rFonts w:ascii="宋体" w:hAnsi="宋体" w:eastAsia="宋体" w:cs="宋体"/>
              <w:spacing w:val="-52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63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  <w:p w14:paraId="4397B058">
          <w:pPr>
            <w:tabs>
              <w:tab w:val="right" w:leader="dot" w:pos="8299"/>
            </w:tabs>
            <w:spacing w:before="259" w:line="193" w:lineRule="auto"/>
            <w:ind w:left="19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4" w:name="bookmark1"/>
          <w:bookmarkEnd w:id="4"/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四、给排水系统设计说明</w:t>
          </w:r>
          <w:r>
            <w:rPr>
              <w:rFonts w:ascii="宋体" w:hAnsi="宋体" w:eastAsia="宋体" w:cs="宋体"/>
              <w:spacing w:val="-54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4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  <w:p w14:paraId="418D4DFD">
          <w:pPr>
            <w:tabs>
              <w:tab w:val="right" w:leader="dot" w:pos="8299"/>
            </w:tabs>
            <w:spacing w:before="259" w:line="227" w:lineRule="auto"/>
            <w:ind w:left="3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5" w:name="bookmark8"/>
          <w:bookmarkEnd w:id="5"/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宋体" w:hAnsi="宋体" w:eastAsia="宋体" w:cs="宋体"/>
              <w:spacing w:val="8"/>
              <w:sz w:val="20"/>
              <w:szCs w:val="20"/>
            </w:rPr>
            <w:t>五、采用节水器具的方案</w:t>
          </w:r>
          <w:r>
            <w:rPr>
              <w:rFonts w:ascii="宋体" w:hAnsi="宋体" w:eastAsia="宋体" w:cs="宋体"/>
              <w:spacing w:val="-49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5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1"/>
              <w:sz w:val="20"/>
              <w:szCs w:val="20"/>
            </w:rPr>
            <w:t>4</w:t>
          </w:r>
          <w:r>
            <w:rPr>
              <w:rFonts w:ascii="Times New Roman" w:hAnsi="Times New Roman" w:eastAsia="Times New Roman" w:cs="Times New Roman"/>
              <w:spacing w:val="1"/>
              <w:sz w:val="20"/>
              <w:szCs w:val="20"/>
            </w:rPr>
            <w:fldChar w:fldCharType="end"/>
          </w:r>
        </w:p>
      </w:sdtContent>
    </w:sdt>
    <w:p w14:paraId="717F1CFF">
      <w:pPr>
        <w:spacing w:line="227" w:lineRule="auto"/>
        <w:rPr>
          <w:rFonts w:ascii="Times New Roman" w:hAnsi="Times New Roman" w:eastAsia="Times New Roman" w:cs="Times New Roman"/>
          <w:sz w:val="20"/>
          <w:szCs w:val="20"/>
        </w:rPr>
        <w:sectPr>
          <w:pgSz w:w="11906" w:h="16839"/>
          <w:pgMar w:top="1431" w:right="1785" w:bottom="0" w:left="1752" w:header="0" w:footer="0" w:gutter="0"/>
          <w:cols w:space="720" w:num="1"/>
        </w:sectPr>
      </w:pPr>
    </w:p>
    <w:p w14:paraId="304CA1D6">
      <w:pPr>
        <w:pStyle w:val="2"/>
        <w:spacing w:line="411" w:lineRule="auto"/>
      </w:pPr>
    </w:p>
    <w:p w14:paraId="291A2D3E">
      <w:pPr>
        <w:spacing w:before="91" w:line="219" w:lineRule="auto"/>
        <w:ind w:left="27"/>
        <w:outlineLvl w:val="0"/>
        <w:rPr>
          <w:rFonts w:ascii="宋体" w:hAnsi="宋体" w:eastAsia="宋体" w:cs="宋体"/>
          <w:sz w:val="28"/>
          <w:szCs w:val="28"/>
        </w:rPr>
      </w:pPr>
      <w:bookmarkStart w:id="6" w:name="bookmark2"/>
      <w:bookmarkEnd w:id="6"/>
      <w:bookmarkStart w:id="7" w:name="bookmark3"/>
      <w:bookmarkEnd w:id="7"/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一、建设项目基本情况</w:t>
      </w:r>
    </w:p>
    <w:p w14:paraId="3478CA9B">
      <w:pPr>
        <w:spacing w:before="278" w:line="357" w:lineRule="auto"/>
        <w:ind w:left="20" w:right="31" w:firstLine="421"/>
        <w:rPr>
          <w:rFonts w:ascii="宋体" w:hAnsi="宋体" w:eastAsia="宋体" w:cs="宋体"/>
          <w:spacing w:val="-4"/>
          <w:sz w:val="24"/>
          <w:szCs w:val="24"/>
        </w:rPr>
      </w:pPr>
      <w:bookmarkStart w:id="8" w:name="bookmark4"/>
      <w:bookmarkEnd w:id="8"/>
      <w:bookmarkStart w:id="9" w:name="bookmark5"/>
      <w:bookmarkEnd w:id="9"/>
      <w:r>
        <w:rPr>
          <w:rFonts w:ascii="宋体" w:hAnsi="宋体" w:eastAsia="宋体" w:cs="宋体"/>
          <w:spacing w:val="-4"/>
          <w:sz w:val="24"/>
          <w:szCs w:val="24"/>
        </w:rPr>
        <w:t>本项目位于广东省韶关市乳源瑶族自治县河南路，总用地面积 3659.72 ㎡，总建筑 面积 1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4776.57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 ㎡ ，总绿地面积 424.07 ㎡ ，综合容积率 3.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12</w:t>
      </w:r>
      <w:r>
        <w:rPr>
          <w:rFonts w:ascii="宋体" w:hAnsi="宋体" w:eastAsia="宋体" w:cs="宋体"/>
          <w:spacing w:val="-4"/>
          <w:sz w:val="24"/>
          <w:szCs w:val="24"/>
        </w:rPr>
        <w:t>。</w:t>
      </w:r>
    </w:p>
    <w:p w14:paraId="4B6B80EB">
      <w:pPr>
        <w:spacing w:before="234" w:line="220" w:lineRule="auto"/>
        <w:ind w:left="27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二、当地气象资料与水资源状况</w:t>
      </w:r>
    </w:p>
    <w:p w14:paraId="061AC66D">
      <w:pPr>
        <w:spacing w:before="278" w:line="357" w:lineRule="auto"/>
        <w:ind w:left="20" w:right="31" w:firstLine="4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韶关市位于广东省北部、北江流域中上游，属亚</w:t>
      </w:r>
      <w:r>
        <w:rPr>
          <w:rFonts w:ascii="宋体" w:hAnsi="宋体" w:eastAsia="宋体" w:cs="宋体"/>
          <w:spacing w:val="-1"/>
          <w:sz w:val="24"/>
          <w:szCs w:val="24"/>
        </w:rPr>
        <w:t>热带季风气候区 ，国土面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4"/>
          <w:sz w:val="24"/>
          <w:szCs w:val="24"/>
        </w:rPr>
        <w:t>积</w:t>
      </w:r>
      <w:r>
        <w:rPr>
          <w:rFonts w:ascii="宋体" w:hAnsi="宋体" w:eastAsia="宋体" w:cs="宋体"/>
          <w:spacing w:val="-1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18385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平方公里。本公报按照行政分区和水资源分区对全市水资源状况及其开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发利用情况进行统计分析。行政分区统计浈江</w:t>
      </w:r>
      <w:r>
        <w:rPr>
          <w:rFonts w:ascii="宋体" w:hAnsi="宋体" w:eastAsia="宋体" w:cs="宋体"/>
          <w:spacing w:val="-2"/>
          <w:sz w:val="24"/>
          <w:szCs w:val="24"/>
        </w:rPr>
        <w:t>、武江、曲江三个市辖区，乐昌、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南雄两个县级市，始兴、仁化、乳源、翁源、新丰五个县，韶关市颈内主要江河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有浈江、武江、墨江、 锦江、南花溪、南水、渝江、北</w:t>
      </w:r>
      <w:r>
        <w:rPr>
          <w:rFonts w:ascii="宋体" w:hAnsi="宋体" w:eastAsia="宋体" w:cs="宋体"/>
          <w:spacing w:val="-1"/>
          <w:sz w:val="24"/>
          <w:szCs w:val="24"/>
        </w:rPr>
        <w:t>江干流及新丰江，水资</w:t>
      </w:r>
      <w:r>
        <w:rPr>
          <w:rFonts w:ascii="宋体" w:hAnsi="宋体" w:eastAsia="宋体" w:cs="宋体"/>
          <w:sz w:val="24"/>
          <w:szCs w:val="24"/>
        </w:rPr>
        <w:t xml:space="preserve"> 源分区划分为浈江、武江(中下游)、北江上游、渝江、连</w:t>
      </w:r>
      <w:r>
        <w:rPr>
          <w:rFonts w:ascii="宋体" w:hAnsi="宋体" w:eastAsia="宋体" w:cs="宋体"/>
          <w:spacing w:val="-1"/>
          <w:sz w:val="24"/>
          <w:szCs w:val="24"/>
        </w:rPr>
        <w:t>江(连江中游支流黄洞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河、大潭河)、新丰江(上游 )、桃江和章江(长江流域)八个四级水资源分区。全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市多年平均年降水量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1712.0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毫米，折合年降水总量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314.75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亿立方米；多</w:t>
      </w:r>
      <w:r>
        <w:rPr>
          <w:rFonts w:ascii="宋体" w:hAnsi="宋体" w:eastAsia="宋体" w:cs="宋体"/>
          <w:spacing w:val="-5"/>
          <w:sz w:val="24"/>
          <w:szCs w:val="24"/>
        </w:rPr>
        <w:t>年平均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水资源量</w:t>
      </w:r>
      <w:r>
        <w:rPr>
          <w:rFonts w:ascii="宋体" w:hAnsi="宋体" w:eastAsia="宋体" w:cs="宋体"/>
          <w:spacing w:val="-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183.10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亿立方米，多年平均地下水资源量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44.13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亿立方米。</w:t>
      </w:r>
    </w:p>
    <w:p w14:paraId="4921DB51">
      <w:pPr>
        <w:spacing w:before="31" w:line="356" w:lineRule="auto"/>
        <w:ind w:left="21" w:firstLine="4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2022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年全市年降水量为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2189.3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毫米，折合年降水总量为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402.5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亿立方米，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与上年比较偏多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41.6%，比多年均值偏多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27.9%，属丰水年。全市地表水资源量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为</w:t>
      </w:r>
      <w:r>
        <w:rPr>
          <w:rFonts w:ascii="宋体" w:hAnsi="宋体" w:eastAsia="宋体" w:cs="宋体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249.13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亿立方米，折合年径流深为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1355.1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毫米，比上年偏多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66.1%，比多年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均值偏多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36.1%。地下水资源量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61.02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亿立方</w:t>
      </w:r>
      <w:r>
        <w:rPr>
          <w:rFonts w:ascii="宋体" w:hAnsi="宋体" w:eastAsia="宋体" w:cs="宋体"/>
          <w:spacing w:val="-2"/>
          <w:sz w:val="24"/>
          <w:szCs w:val="24"/>
        </w:rPr>
        <w:t>米，比上年偏多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66.8%，比多年均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2"/>
          <w:sz w:val="24"/>
          <w:szCs w:val="24"/>
        </w:rPr>
        <w:t>值偏多</w:t>
      </w:r>
      <w:r>
        <w:rPr>
          <w:rFonts w:ascii="宋体" w:hAnsi="宋体" w:eastAsia="宋体" w:cs="宋体"/>
          <w:spacing w:val="-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38.3%，2022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年全市蓄水动态，共统计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36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宗大中型水库，全市大、中型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5"/>
          <w:sz w:val="24"/>
          <w:szCs w:val="24"/>
        </w:rPr>
        <w:t>水库年末蓄水量为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14.42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亿立方米，其中大型水库年末蓄水量为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9.88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亿立</w:t>
      </w:r>
      <w:r>
        <w:rPr>
          <w:rFonts w:ascii="宋体" w:hAnsi="宋体" w:eastAsia="宋体" w:cs="宋体"/>
          <w:spacing w:val="-6"/>
          <w:sz w:val="24"/>
          <w:szCs w:val="24"/>
        </w:rPr>
        <w:t>方米。</w:t>
      </w:r>
    </w:p>
    <w:p w14:paraId="0ACD2F30">
      <w:pPr>
        <w:spacing w:before="36" w:line="353" w:lineRule="auto"/>
        <w:ind w:left="20" w:right="49" w:firstLine="4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</w:t>
      </w:r>
      <w:r>
        <w:rPr>
          <w:rFonts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年，我市供用水量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18.107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亿立方米，其中地表水源占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95.0%，地下水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源占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1.6%，其它水源占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3.5%。总用水中:农业用水占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75.6%，工业用水</w:t>
      </w:r>
      <w:r>
        <w:rPr>
          <w:rFonts w:ascii="宋体" w:hAnsi="宋体" w:eastAsia="宋体" w:cs="宋体"/>
          <w:spacing w:val="-4"/>
          <w:sz w:val="24"/>
          <w:szCs w:val="24"/>
        </w:rPr>
        <w:t>占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9.4%，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城镇公共用水占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3.7%，居民生活用水占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10.1，生态环境用水占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1.3%。全市用水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消耗量为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9.22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亿立方米，水资源利用率为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7.3%，较上年减少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40.4%。</w:t>
      </w:r>
    </w:p>
    <w:p w14:paraId="42568149">
      <w:pPr>
        <w:spacing w:before="37" w:line="353" w:lineRule="auto"/>
        <w:ind w:left="22" w:right="80" w:firstLine="4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2022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年，我市人均综合用水量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633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立方米，扣除其他水</w:t>
      </w:r>
      <w:r>
        <w:rPr>
          <w:rFonts w:ascii="宋体" w:hAnsi="宋体" w:eastAsia="宋体" w:cs="宋体"/>
          <w:spacing w:val="-2"/>
          <w:sz w:val="24"/>
          <w:szCs w:val="24"/>
        </w:rPr>
        <w:t>源供水量(污水处理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回用、雨水利用)人均综合用水量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611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立方米，万元国内生产总值用水量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116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立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方米，扣除其他水源供水量(污水处理回用、雨水利用)万元国内生产总值用水量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112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立方米，万元工业增加值用水量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36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立方米(含火电)，农</w:t>
      </w:r>
      <w:r>
        <w:rPr>
          <w:rFonts w:ascii="宋体" w:hAnsi="宋体" w:eastAsia="宋体" w:cs="宋体"/>
          <w:spacing w:val="-2"/>
          <w:sz w:val="24"/>
          <w:szCs w:val="24"/>
        </w:rPr>
        <w:t>田灌溉亩均用水量</w:t>
      </w:r>
    </w:p>
    <w:p w14:paraId="4C516EFB">
      <w:pPr>
        <w:spacing w:before="34" w:line="219" w:lineRule="auto"/>
        <w:ind w:left="2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728</w:t>
      </w:r>
      <w:r>
        <w:rPr>
          <w:rFonts w:ascii="宋体" w:hAnsi="宋体" w:eastAsia="宋体" w:cs="宋体"/>
          <w:spacing w:val="-3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立方米，城镇居民生活人均用水量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198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升/天，农村居民生活人均用水量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143</w:t>
      </w:r>
    </w:p>
    <w:p w14:paraId="0C11BA6D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5" w:type="default"/>
          <w:footerReference r:id="rId6" w:type="default"/>
          <w:pgSz w:w="11906" w:h="16839"/>
          <w:pgMar w:top="1251" w:right="1716" w:bottom="1259" w:left="1785" w:header="862" w:footer="1097" w:gutter="0"/>
          <w:cols w:space="720" w:num="1"/>
        </w:sectPr>
      </w:pPr>
    </w:p>
    <w:p w14:paraId="4E5BA668">
      <w:pPr>
        <w:spacing w:before="302" w:line="220" w:lineRule="auto"/>
        <w:ind w:left="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升/天。</w:t>
      </w:r>
    </w:p>
    <w:p w14:paraId="702D7254">
      <w:pPr>
        <w:pStyle w:val="2"/>
        <w:spacing w:line="291" w:lineRule="auto"/>
      </w:pPr>
    </w:p>
    <w:p w14:paraId="492C071B">
      <w:pPr>
        <w:spacing w:before="91" w:line="220" w:lineRule="auto"/>
        <w:ind w:left="22"/>
        <w:outlineLvl w:val="0"/>
        <w:rPr>
          <w:rFonts w:ascii="宋体" w:hAnsi="宋体" w:eastAsia="宋体" w:cs="宋体"/>
          <w:sz w:val="28"/>
          <w:szCs w:val="28"/>
        </w:rPr>
      </w:pPr>
      <w:bookmarkStart w:id="10" w:name="bookmark6"/>
      <w:bookmarkEnd w:id="10"/>
      <w:bookmarkStart w:id="11" w:name="bookmark1"/>
      <w:bookmarkEnd w:id="11"/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三、用水定额的确定、水量平衡分析</w:t>
      </w:r>
    </w:p>
    <w:p w14:paraId="65F81397">
      <w:pPr>
        <w:spacing w:before="277" w:line="219" w:lineRule="auto"/>
        <w:ind w:left="4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本项目位于韶关市，项目地块范围主要技术经济如下表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3-1：</w:t>
      </w:r>
    </w:p>
    <w:p w14:paraId="1DB14E5C">
      <w:pPr>
        <w:pStyle w:val="2"/>
        <w:spacing w:line="270" w:lineRule="auto"/>
      </w:pPr>
    </w:p>
    <w:p w14:paraId="442F354A">
      <w:pPr>
        <w:spacing w:before="65" w:line="227" w:lineRule="auto"/>
        <w:ind w:left="240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表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3-1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本项目地块主要技术经济指标</w:t>
      </w:r>
    </w:p>
    <w:p w14:paraId="23C14FEF">
      <w:pPr>
        <w:spacing w:line="45" w:lineRule="exact"/>
      </w:pPr>
    </w:p>
    <w:tbl>
      <w:tblPr>
        <w:tblStyle w:val="5"/>
        <w:tblW w:w="8063" w:type="dxa"/>
        <w:tblInd w:w="1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2"/>
        <w:gridCol w:w="2667"/>
        <w:gridCol w:w="2474"/>
      </w:tblGrid>
      <w:tr w14:paraId="32457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92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61DACA9">
            <w:pPr>
              <w:pStyle w:val="6"/>
              <w:spacing w:before="79" w:line="228" w:lineRule="auto"/>
              <w:ind w:left="1248"/>
            </w:pPr>
            <w:r>
              <w:rPr>
                <w:spacing w:val="3"/>
              </w:rPr>
              <w:t>项目</w:t>
            </w:r>
          </w:p>
        </w:tc>
        <w:tc>
          <w:tcPr>
            <w:tcW w:w="2667" w:type="dxa"/>
            <w:tcBorders>
              <w:top w:val="single" w:color="000000" w:sz="10" w:space="0"/>
            </w:tcBorders>
            <w:vAlign w:val="top"/>
          </w:tcPr>
          <w:p w14:paraId="28D6794D">
            <w:pPr>
              <w:pStyle w:val="6"/>
              <w:spacing w:before="79" w:line="228" w:lineRule="auto"/>
              <w:ind w:left="1128"/>
            </w:pPr>
            <w:r>
              <w:rPr>
                <w:spacing w:val="3"/>
              </w:rPr>
              <w:t>单位</w:t>
            </w:r>
          </w:p>
        </w:tc>
        <w:tc>
          <w:tcPr>
            <w:tcW w:w="247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00653A7">
            <w:pPr>
              <w:pStyle w:val="6"/>
              <w:spacing w:before="79" w:line="228" w:lineRule="auto"/>
              <w:ind w:left="1033"/>
            </w:pPr>
            <w:r>
              <w:rPr>
                <w:spacing w:val="3"/>
              </w:rPr>
              <w:t>数值</w:t>
            </w:r>
          </w:p>
        </w:tc>
      </w:tr>
      <w:tr w14:paraId="3653B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922" w:type="dxa"/>
            <w:tcBorders>
              <w:left w:val="single" w:color="000000" w:sz="10" w:space="0"/>
            </w:tcBorders>
            <w:vAlign w:val="top"/>
          </w:tcPr>
          <w:p w14:paraId="2C7F2A4E">
            <w:pPr>
              <w:pStyle w:val="6"/>
              <w:spacing w:before="82" w:line="228" w:lineRule="auto"/>
              <w:ind w:left="616"/>
            </w:pPr>
            <w:r>
              <w:rPr>
                <w:spacing w:val="8"/>
              </w:rPr>
              <w:t>规划建设用地面积</w:t>
            </w:r>
          </w:p>
        </w:tc>
        <w:tc>
          <w:tcPr>
            <w:tcW w:w="2667" w:type="dxa"/>
            <w:vAlign w:val="top"/>
          </w:tcPr>
          <w:p w14:paraId="085A6046">
            <w:pPr>
              <w:pStyle w:val="6"/>
              <w:spacing w:before="81" w:line="228" w:lineRule="auto"/>
              <w:ind w:left="1020"/>
            </w:pPr>
            <w:r>
              <w:rPr>
                <w:spacing w:val="7"/>
              </w:rPr>
              <w:t>平方米</w:t>
            </w:r>
          </w:p>
        </w:tc>
        <w:tc>
          <w:tcPr>
            <w:tcW w:w="2474" w:type="dxa"/>
            <w:tcBorders>
              <w:right w:val="single" w:color="000000" w:sz="10" w:space="0"/>
            </w:tcBorders>
            <w:vAlign w:val="top"/>
          </w:tcPr>
          <w:p w14:paraId="4BEF905C">
            <w:pPr>
              <w:pStyle w:val="6"/>
              <w:spacing w:before="115" w:line="189" w:lineRule="auto"/>
              <w:ind w:left="878"/>
            </w:pPr>
            <w:r>
              <w:rPr>
                <w:spacing w:val="3"/>
              </w:rPr>
              <w:t>3659.72</w:t>
            </w:r>
          </w:p>
        </w:tc>
      </w:tr>
      <w:tr w14:paraId="2DA70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292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5C7F709">
            <w:pPr>
              <w:pStyle w:val="6"/>
              <w:spacing w:before="88" w:line="228" w:lineRule="auto"/>
              <w:ind w:left="1037"/>
            </w:pPr>
            <w:r>
              <w:rPr>
                <w:spacing w:val="6"/>
              </w:rPr>
              <w:t>绿地面积</w:t>
            </w:r>
          </w:p>
        </w:tc>
        <w:tc>
          <w:tcPr>
            <w:tcW w:w="2667" w:type="dxa"/>
            <w:tcBorders>
              <w:bottom w:val="single" w:color="000000" w:sz="10" w:space="0"/>
            </w:tcBorders>
            <w:vAlign w:val="top"/>
          </w:tcPr>
          <w:p w14:paraId="6685CD88">
            <w:pPr>
              <w:pStyle w:val="6"/>
              <w:spacing w:before="87" w:line="228" w:lineRule="auto"/>
              <w:ind w:left="1020"/>
            </w:pPr>
            <w:r>
              <w:rPr>
                <w:spacing w:val="7"/>
              </w:rPr>
              <w:t>平方米</w:t>
            </w:r>
          </w:p>
        </w:tc>
        <w:tc>
          <w:tcPr>
            <w:tcW w:w="247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DF7A603">
            <w:pPr>
              <w:pStyle w:val="6"/>
              <w:spacing w:before="121" w:line="189" w:lineRule="auto"/>
              <w:ind w:left="925"/>
            </w:pPr>
            <w:r>
              <w:rPr>
                <w:spacing w:val="3"/>
              </w:rPr>
              <w:t>424.07</w:t>
            </w:r>
          </w:p>
        </w:tc>
      </w:tr>
    </w:tbl>
    <w:p w14:paraId="2C720D5C">
      <w:pPr>
        <w:spacing w:before="117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本项目设计全部采用节水器具。本项目节水用水定额如下表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3-2 </w:t>
      </w:r>
      <w:r>
        <w:rPr>
          <w:rFonts w:ascii="宋体" w:hAnsi="宋体" w:eastAsia="宋体" w:cs="宋体"/>
          <w:spacing w:val="-1"/>
          <w:sz w:val="24"/>
          <w:szCs w:val="24"/>
        </w:rPr>
        <w:t>所示：</w:t>
      </w:r>
    </w:p>
    <w:p w14:paraId="16C67E18">
      <w:pPr>
        <w:spacing w:before="198" w:line="228" w:lineRule="auto"/>
        <w:ind w:left="25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表</w:t>
      </w:r>
      <w:r>
        <w:rPr>
          <w:rFonts w:ascii="宋体" w:hAnsi="宋体" w:eastAsia="宋体" w:cs="宋体"/>
          <w:spacing w:val="-31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3-2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节水用水定额及用水组成表</w:t>
      </w:r>
    </w:p>
    <w:p w14:paraId="7BEEFBBE">
      <w:pPr>
        <w:spacing w:line="92" w:lineRule="exact"/>
      </w:pPr>
    </w:p>
    <w:tbl>
      <w:tblPr>
        <w:tblStyle w:val="5"/>
        <w:tblW w:w="6848" w:type="dxa"/>
        <w:tblInd w:w="7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1"/>
        <w:gridCol w:w="2306"/>
        <w:gridCol w:w="2081"/>
      </w:tblGrid>
      <w:tr w14:paraId="5180D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2461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80AFFC7">
            <w:pPr>
              <w:pStyle w:val="6"/>
              <w:spacing w:before="104" w:line="228" w:lineRule="auto"/>
              <w:ind w:left="807"/>
            </w:pPr>
            <w:r>
              <w:rPr>
                <w:spacing w:val="6"/>
              </w:rPr>
              <w:t>用水部位</w:t>
            </w:r>
          </w:p>
        </w:tc>
        <w:tc>
          <w:tcPr>
            <w:tcW w:w="2306" w:type="dxa"/>
            <w:tcBorders>
              <w:top w:val="single" w:color="000000" w:sz="10" w:space="0"/>
            </w:tcBorders>
            <w:vAlign w:val="top"/>
          </w:tcPr>
          <w:p w14:paraId="0EBC124B">
            <w:pPr>
              <w:pStyle w:val="6"/>
              <w:spacing w:before="104" w:line="228" w:lineRule="auto"/>
              <w:ind w:left="948"/>
            </w:pPr>
            <w:r>
              <w:rPr>
                <w:spacing w:val="3"/>
              </w:rPr>
              <w:t>数量</w:t>
            </w:r>
          </w:p>
        </w:tc>
        <w:tc>
          <w:tcPr>
            <w:tcW w:w="208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3B0B1C9">
            <w:pPr>
              <w:pStyle w:val="6"/>
              <w:spacing w:before="104" w:line="228" w:lineRule="auto"/>
              <w:ind w:left="625"/>
            </w:pPr>
            <w:r>
              <w:rPr>
                <w:spacing w:val="7"/>
              </w:rPr>
              <w:t>节水定额</w:t>
            </w:r>
          </w:p>
        </w:tc>
      </w:tr>
      <w:tr w14:paraId="727A4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2461" w:type="dxa"/>
            <w:tcBorders>
              <w:left w:val="single" w:color="000000" w:sz="10" w:space="0"/>
            </w:tcBorders>
            <w:vAlign w:val="top"/>
          </w:tcPr>
          <w:p w14:paraId="24825C59">
            <w:pPr>
              <w:pStyle w:val="6"/>
              <w:spacing w:before="102" w:line="229" w:lineRule="auto"/>
              <w:ind w:left="1013"/>
            </w:pPr>
            <w:r>
              <w:rPr>
                <w:spacing w:val="5"/>
              </w:rPr>
              <w:t>住宅</w:t>
            </w:r>
          </w:p>
        </w:tc>
        <w:tc>
          <w:tcPr>
            <w:tcW w:w="2306" w:type="dxa"/>
            <w:vAlign w:val="top"/>
          </w:tcPr>
          <w:p w14:paraId="28C5E0BF">
            <w:pPr>
              <w:pStyle w:val="6"/>
              <w:spacing w:before="102" w:line="231" w:lineRule="auto"/>
              <w:ind w:left="866"/>
            </w:pPr>
            <w:r>
              <w:rPr>
                <w:spacing w:val="2"/>
              </w:rPr>
              <w:t>435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人</w:t>
            </w:r>
          </w:p>
        </w:tc>
        <w:tc>
          <w:tcPr>
            <w:tcW w:w="2081" w:type="dxa"/>
            <w:tcBorders>
              <w:right w:val="single" w:color="000000" w:sz="10" w:space="0"/>
            </w:tcBorders>
            <w:vAlign w:val="top"/>
          </w:tcPr>
          <w:p w14:paraId="4F6E0A25">
            <w:pPr>
              <w:pStyle w:val="6"/>
              <w:spacing w:before="102" w:line="231" w:lineRule="auto"/>
              <w:ind w:left="522"/>
            </w:pPr>
            <w:r>
              <w:rPr>
                <w:spacing w:val="-6"/>
              </w:rPr>
              <w:t>200L/人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·d</w:t>
            </w:r>
          </w:p>
        </w:tc>
      </w:tr>
      <w:tr w14:paraId="43B57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461" w:type="dxa"/>
            <w:tcBorders>
              <w:left w:val="single" w:color="000000" w:sz="10" w:space="0"/>
            </w:tcBorders>
            <w:vAlign w:val="top"/>
          </w:tcPr>
          <w:p w14:paraId="27F15223">
            <w:pPr>
              <w:pStyle w:val="6"/>
              <w:spacing w:before="102" w:line="228" w:lineRule="auto"/>
              <w:ind w:left="805"/>
            </w:pPr>
            <w:r>
              <w:rPr>
                <w:spacing w:val="7"/>
              </w:rPr>
              <w:t>配套用房</w:t>
            </w:r>
          </w:p>
        </w:tc>
        <w:tc>
          <w:tcPr>
            <w:tcW w:w="2306" w:type="dxa"/>
            <w:vAlign w:val="top"/>
          </w:tcPr>
          <w:p w14:paraId="65CD3145">
            <w:pPr>
              <w:pStyle w:val="6"/>
              <w:spacing w:before="101" w:line="231" w:lineRule="auto"/>
              <w:ind w:left="922"/>
            </w:pPr>
            <w:r>
              <w:rPr>
                <w:spacing w:val="-1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人</w:t>
            </w:r>
          </w:p>
        </w:tc>
        <w:tc>
          <w:tcPr>
            <w:tcW w:w="2081" w:type="dxa"/>
            <w:tcBorders>
              <w:right w:val="single" w:color="000000" w:sz="10" w:space="0"/>
            </w:tcBorders>
            <w:vAlign w:val="top"/>
          </w:tcPr>
          <w:p w14:paraId="14831A90">
            <w:pPr>
              <w:pStyle w:val="6"/>
              <w:spacing w:before="101" w:line="231" w:lineRule="auto"/>
              <w:ind w:left="572"/>
            </w:pPr>
            <w:r>
              <w:rPr>
                <w:spacing w:val="-7"/>
              </w:rPr>
              <w:t>40L/人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·d</w:t>
            </w:r>
          </w:p>
        </w:tc>
      </w:tr>
      <w:tr w14:paraId="10556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461" w:type="dxa"/>
            <w:tcBorders>
              <w:left w:val="single" w:color="000000" w:sz="10" w:space="0"/>
            </w:tcBorders>
            <w:vAlign w:val="top"/>
          </w:tcPr>
          <w:p w14:paraId="7EB447DD">
            <w:pPr>
              <w:pStyle w:val="6"/>
              <w:spacing w:before="105" w:line="228" w:lineRule="auto"/>
              <w:ind w:left="807"/>
            </w:pPr>
            <w:r>
              <w:rPr>
                <w:spacing w:val="6"/>
              </w:rPr>
              <w:t>文创中心</w:t>
            </w:r>
          </w:p>
        </w:tc>
        <w:tc>
          <w:tcPr>
            <w:tcW w:w="2306" w:type="dxa"/>
            <w:vAlign w:val="top"/>
          </w:tcPr>
          <w:p w14:paraId="29965AEF">
            <w:pPr>
              <w:pStyle w:val="6"/>
              <w:spacing w:before="105" w:line="268" w:lineRule="exact"/>
              <w:ind w:left="871"/>
            </w:pPr>
            <w:r>
              <w:rPr>
                <w:position w:val="1"/>
              </w:rPr>
              <w:t>502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position w:val="1"/>
              </w:rPr>
              <w:t>㎡</w:t>
            </w:r>
          </w:p>
        </w:tc>
        <w:tc>
          <w:tcPr>
            <w:tcW w:w="2081" w:type="dxa"/>
            <w:tcBorders>
              <w:right w:val="single" w:color="000000" w:sz="10" w:space="0"/>
            </w:tcBorders>
            <w:vAlign w:val="top"/>
          </w:tcPr>
          <w:p w14:paraId="079A4EE2">
            <w:pPr>
              <w:pStyle w:val="6"/>
              <w:spacing w:before="104" w:line="233" w:lineRule="auto"/>
              <w:ind w:left="588"/>
            </w:pPr>
            <w:r>
              <w:rPr>
                <w:spacing w:val="-10"/>
              </w:rPr>
              <w:t>10L/㎡ ·d</w:t>
            </w:r>
          </w:p>
        </w:tc>
      </w:tr>
      <w:tr w14:paraId="405DF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461" w:type="dxa"/>
            <w:tcBorders>
              <w:left w:val="single" w:color="000000" w:sz="10" w:space="0"/>
            </w:tcBorders>
            <w:vAlign w:val="top"/>
          </w:tcPr>
          <w:p w14:paraId="15ACF7EE">
            <w:pPr>
              <w:pStyle w:val="6"/>
              <w:spacing w:before="109" w:line="228" w:lineRule="auto"/>
              <w:ind w:left="807"/>
            </w:pPr>
            <w:r>
              <w:rPr>
                <w:spacing w:val="6"/>
              </w:rPr>
              <w:t>车库冲洗</w:t>
            </w:r>
          </w:p>
        </w:tc>
        <w:tc>
          <w:tcPr>
            <w:tcW w:w="2306" w:type="dxa"/>
            <w:vAlign w:val="top"/>
          </w:tcPr>
          <w:p w14:paraId="59D07D2E">
            <w:pPr>
              <w:pStyle w:val="6"/>
              <w:spacing w:before="110" w:line="267" w:lineRule="exact"/>
              <w:ind w:left="663"/>
            </w:pPr>
            <w:r>
              <w:rPr>
                <w:spacing w:val="2"/>
                <w:position w:val="1"/>
              </w:rPr>
              <w:t>3058.19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㎡</w:t>
            </w:r>
          </w:p>
        </w:tc>
        <w:tc>
          <w:tcPr>
            <w:tcW w:w="2081" w:type="dxa"/>
            <w:tcBorders>
              <w:right w:val="single" w:color="000000" w:sz="10" w:space="0"/>
            </w:tcBorders>
            <w:vAlign w:val="top"/>
          </w:tcPr>
          <w:p w14:paraId="1D5B5EB5">
            <w:pPr>
              <w:pStyle w:val="6"/>
              <w:spacing w:before="109" w:line="233" w:lineRule="auto"/>
              <w:ind w:left="628"/>
            </w:pPr>
            <w:r>
              <w:rPr>
                <w:spacing w:val="-12"/>
              </w:rPr>
              <w:t>2L/㎡</w:t>
            </w:r>
            <w:r>
              <w:rPr>
                <w:spacing w:val="-1"/>
              </w:rPr>
              <w:t xml:space="preserve"> </w:t>
            </w:r>
            <w:r>
              <w:rPr>
                <w:spacing w:val="-12"/>
              </w:rPr>
              <w:t>·d</w:t>
            </w:r>
          </w:p>
        </w:tc>
      </w:tr>
      <w:tr w14:paraId="5E662A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246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54540B1">
            <w:pPr>
              <w:pStyle w:val="6"/>
              <w:spacing w:before="112" w:line="228" w:lineRule="auto"/>
              <w:ind w:left="807"/>
            </w:pPr>
            <w:r>
              <w:rPr>
                <w:spacing w:val="6"/>
              </w:rPr>
              <w:t>绿化灌溉</w:t>
            </w:r>
          </w:p>
        </w:tc>
        <w:tc>
          <w:tcPr>
            <w:tcW w:w="2306" w:type="dxa"/>
            <w:tcBorders>
              <w:bottom w:val="single" w:color="000000" w:sz="10" w:space="0"/>
            </w:tcBorders>
            <w:vAlign w:val="top"/>
          </w:tcPr>
          <w:p w14:paraId="3A45E12D">
            <w:pPr>
              <w:pStyle w:val="6"/>
              <w:spacing w:before="113" w:line="267" w:lineRule="exact"/>
              <w:ind w:left="710"/>
            </w:pPr>
            <w:r>
              <w:rPr>
                <w:spacing w:val="3"/>
                <w:position w:val="1"/>
              </w:rPr>
              <w:t>424.07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㎡</w:t>
            </w:r>
          </w:p>
        </w:tc>
        <w:tc>
          <w:tcPr>
            <w:tcW w:w="208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8C9F869">
            <w:pPr>
              <w:pStyle w:val="6"/>
              <w:spacing w:before="112" w:line="233" w:lineRule="auto"/>
              <w:ind w:left="418"/>
            </w:pPr>
            <w:r>
              <w:rPr>
                <w:spacing w:val="-5"/>
              </w:rPr>
              <w:t>0.28m³/㎡ ·a</w:t>
            </w:r>
          </w:p>
        </w:tc>
      </w:tr>
    </w:tbl>
    <w:p w14:paraId="74681FC4">
      <w:pPr>
        <w:spacing w:before="115" w:line="219" w:lineRule="auto"/>
        <w:ind w:left="3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项目的平均日自来水用水量及年总用水量组成，计算见下表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3-3</w:t>
      </w:r>
      <w:r>
        <w:rPr>
          <w:rFonts w:ascii="宋体" w:hAnsi="宋体" w:eastAsia="宋体" w:cs="宋体"/>
          <w:spacing w:val="-1"/>
          <w:sz w:val="24"/>
          <w:szCs w:val="24"/>
        </w:rPr>
        <w:t>：</w:t>
      </w:r>
    </w:p>
    <w:p w14:paraId="5152180F">
      <w:pPr>
        <w:spacing w:before="197" w:line="228" w:lineRule="auto"/>
        <w:ind w:left="32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表</w:t>
      </w:r>
      <w:r>
        <w:rPr>
          <w:rFonts w:ascii="宋体" w:hAnsi="宋体" w:eastAsia="宋体" w:cs="宋体"/>
          <w:spacing w:val="-27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3-3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用水量计算表</w:t>
      </w:r>
    </w:p>
    <w:p w14:paraId="20C62FCC">
      <w:pPr>
        <w:spacing w:line="93" w:lineRule="exact"/>
      </w:pPr>
    </w:p>
    <w:tbl>
      <w:tblPr>
        <w:tblStyle w:val="5"/>
        <w:tblW w:w="8123" w:type="dxa"/>
        <w:tblInd w:w="1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6"/>
        <w:gridCol w:w="2667"/>
        <w:gridCol w:w="2520"/>
      </w:tblGrid>
      <w:tr w14:paraId="4A78E8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936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5CD3B48">
            <w:pPr>
              <w:pStyle w:val="6"/>
              <w:spacing w:before="78" w:line="228" w:lineRule="auto"/>
              <w:ind w:left="1253"/>
            </w:pPr>
            <w:r>
              <w:rPr>
                <w:spacing w:val="4"/>
              </w:rPr>
              <w:t>类别</w:t>
            </w:r>
          </w:p>
        </w:tc>
        <w:tc>
          <w:tcPr>
            <w:tcW w:w="2667" w:type="dxa"/>
            <w:tcBorders>
              <w:top w:val="single" w:color="000000" w:sz="10" w:space="0"/>
            </w:tcBorders>
            <w:vAlign w:val="top"/>
          </w:tcPr>
          <w:p w14:paraId="460C44CF">
            <w:pPr>
              <w:pStyle w:val="6"/>
              <w:spacing w:before="78" w:line="228" w:lineRule="auto"/>
              <w:ind w:left="918"/>
            </w:pPr>
            <w:r>
              <w:rPr>
                <w:spacing w:val="6"/>
              </w:rPr>
              <w:t>用水次数</w:t>
            </w:r>
          </w:p>
        </w:tc>
        <w:tc>
          <w:tcPr>
            <w:tcW w:w="252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21C2823">
            <w:pPr>
              <w:pStyle w:val="6"/>
              <w:spacing w:before="78" w:line="228" w:lineRule="auto"/>
              <w:ind w:left="425"/>
            </w:pPr>
            <w:r>
              <w:rPr>
                <w:spacing w:val="6"/>
              </w:rPr>
              <w:t>年用水量（m³/a）</w:t>
            </w:r>
          </w:p>
        </w:tc>
      </w:tr>
      <w:tr w14:paraId="08551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936" w:type="dxa"/>
            <w:tcBorders>
              <w:left w:val="single" w:color="000000" w:sz="10" w:space="0"/>
            </w:tcBorders>
            <w:vAlign w:val="top"/>
          </w:tcPr>
          <w:p w14:paraId="51648AF7">
            <w:pPr>
              <w:pStyle w:val="6"/>
              <w:spacing w:before="115" w:line="229" w:lineRule="auto"/>
              <w:ind w:left="1252"/>
            </w:pPr>
            <w:r>
              <w:rPr>
                <w:spacing w:val="5"/>
              </w:rPr>
              <w:t>住宅</w:t>
            </w:r>
          </w:p>
        </w:tc>
        <w:tc>
          <w:tcPr>
            <w:tcW w:w="2667" w:type="dxa"/>
            <w:vAlign w:val="top"/>
          </w:tcPr>
          <w:p w14:paraId="110EBA11">
            <w:pPr>
              <w:pStyle w:val="6"/>
              <w:spacing w:before="115" w:line="228" w:lineRule="auto"/>
              <w:ind w:left="1053"/>
            </w:pPr>
            <w:r>
              <w:t>365</w:t>
            </w:r>
            <w:r>
              <w:rPr>
                <w:spacing w:val="-34"/>
              </w:rPr>
              <w:t xml:space="preserve"> </w:t>
            </w:r>
            <w:r>
              <w:t>天</w:t>
            </w:r>
          </w:p>
        </w:tc>
        <w:tc>
          <w:tcPr>
            <w:tcW w:w="2520" w:type="dxa"/>
            <w:tcBorders>
              <w:right w:val="single" w:color="000000" w:sz="10" w:space="0"/>
            </w:tcBorders>
            <w:vAlign w:val="top"/>
          </w:tcPr>
          <w:p w14:paraId="7F599E59">
            <w:pPr>
              <w:pStyle w:val="6"/>
              <w:spacing w:before="148" w:line="189" w:lineRule="auto"/>
              <w:ind w:left="848"/>
            </w:pPr>
            <w:r>
              <w:rPr>
                <w:spacing w:val="3"/>
              </w:rPr>
              <w:t>30660.00</w:t>
            </w:r>
          </w:p>
        </w:tc>
      </w:tr>
      <w:tr w14:paraId="0B38E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936" w:type="dxa"/>
            <w:tcBorders>
              <w:left w:val="single" w:color="000000" w:sz="10" w:space="0"/>
            </w:tcBorders>
            <w:vAlign w:val="top"/>
          </w:tcPr>
          <w:p w14:paraId="417BFC41">
            <w:pPr>
              <w:pStyle w:val="6"/>
              <w:spacing w:before="119" w:line="228" w:lineRule="auto"/>
              <w:ind w:left="1042"/>
            </w:pPr>
            <w:r>
              <w:rPr>
                <w:spacing w:val="7"/>
              </w:rPr>
              <w:t>配套用房</w:t>
            </w:r>
          </w:p>
        </w:tc>
        <w:tc>
          <w:tcPr>
            <w:tcW w:w="2667" w:type="dxa"/>
            <w:vAlign w:val="top"/>
          </w:tcPr>
          <w:p w14:paraId="62AFB97C">
            <w:pPr>
              <w:pStyle w:val="6"/>
              <w:spacing w:before="119" w:line="228" w:lineRule="auto"/>
              <w:ind w:left="1053"/>
            </w:pPr>
            <w:r>
              <w:t>365</w:t>
            </w:r>
            <w:r>
              <w:rPr>
                <w:spacing w:val="-34"/>
              </w:rPr>
              <w:t xml:space="preserve"> </w:t>
            </w:r>
            <w:r>
              <w:t>天</w:t>
            </w:r>
          </w:p>
        </w:tc>
        <w:tc>
          <w:tcPr>
            <w:tcW w:w="2520" w:type="dxa"/>
            <w:tcBorders>
              <w:right w:val="single" w:color="000000" w:sz="10" w:space="0"/>
            </w:tcBorders>
            <w:vAlign w:val="top"/>
          </w:tcPr>
          <w:p w14:paraId="3F92A029">
            <w:pPr>
              <w:pStyle w:val="6"/>
              <w:spacing w:before="152" w:line="189" w:lineRule="auto"/>
              <w:ind w:left="952"/>
            </w:pPr>
            <w:r>
              <w:rPr>
                <w:spacing w:val="3"/>
              </w:rPr>
              <w:t>292.00</w:t>
            </w:r>
          </w:p>
        </w:tc>
      </w:tr>
      <w:tr w14:paraId="796AC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936" w:type="dxa"/>
            <w:tcBorders>
              <w:left w:val="single" w:color="000000" w:sz="10" w:space="0"/>
            </w:tcBorders>
            <w:vAlign w:val="top"/>
          </w:tcPr>
          <w:p w14:paraId="5B7F0D63">
            <w:pPr>
              <w:pStyle w:val="6"/>
              <w:spacing w:before="123" w:line="228" w:lineRule="auto"/>
              <w:ind w:left="1043"/>
            </w:pPr>
            <w:r>
              <w:rPr>
                <w:spacing w:val="6"/>
              </w:rPr>
              <w:t>文创中心</w:t>
            </w:r>
          </w:p>
        </w:tc>
        <w:tc>
          <w:tcPr>
            <w:tcW w:w="2667" w:type="dxa"/>
            <w:vAlign w:val="top"/>
          </w:tcPr>
          <w:p w14:paraId="4909A40A">
            <w:pPr>
              <w:pStyle w:val="6"/>
              <w:spacing w:before="123" w:line="228" w:lineRule="auto"/>
              <w:ind w:left="1053"/>
            </w:pPr>
            <w:r>
              <w:t>365</w:t>
            </w:r>
            <w:r>
              <w:rPr>
                <w:spacing w:val="-34"/>
              </w:rPr>
              <w:t xml:space="preserve"> </w:t>
            </w:r>
            <w:r>
              <w:t>天</w:t>
            </w:r>
          </w:p>
        </w:tc>
        <w:tc>
          <w:tcPr>
            <w:tcW w:w="2520" w:type="dxa"/>
            <w:tcBorders>
              <w:right w:val="single" w:color="000000" w:sz="10" w:space="0"/>
            </w:tcBorders>
            <w:vAlign w:val="top"/>
          </w:tcPr>
          <w:p w14:paraId="2E139DCC">
            <w:pPr>
              <w:pStyle w:val="6"/>
              <w:spacing w:before="154" w:line="190" w:lineRule="auto"/>
              <w:ind w:left="912"/>
            </w:pPr>
            <w:r>
              <w:rPr>
                <w:spacing w:val="1"/>
              </w:rPr>
              <w:t>1832.30</w:t>
            </w:r>
          </w:p>
        </w:tc>
      </w:tr>
      <w:tr w14:paraId="4A307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936" w:type="dxa"/>
            <w:tcBorders>
              <w:left w:val="single" w:color="000000" w:sz="10" w:space="0"/>
            </w:tcBorders>
            <w:vAlign w:val="top"/>
          </w:tcPr>
          <w:p w14:paraId="1689147A">
            <w:pPr>
              <w:pStyle w:val="6"/>
              <w:spacing w:before="124" w:line="228" w:lineRule="auto"/>
              <w:ind w:left="1043"/>
            </w:pPr>
            <w:r>
              <w:rPr>
                <w:spacing w:val="6"/>
              </w:rPr>
              <w:t>车库冲洗</w:t>
            </w:r>
          </w:p>
        </w:tc>
        <w:tc>
          <w:tcPr>
            <w:tcW w:w="2667" w:type="dxa"/>
            <w:vAlign w:val="top"/>
          </w:tcPr>
          <w:p w14:paraId="00271A64">
            <w:pPr>
              <w:pStyle w:val="6"/>
              <w:spacing w:before="124" w:line="228" w:lineRule="auto"/>
              <w:ind w:left="1117"/>
            </w:pPr>
            <w:r>
              <w:rPr>
                <w:spacing w:val="-5"/>
              </w:rPr>
              <w:t>12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次</w:t>
            </w:r>
          </w:p>
        </w:tc>
        <w:tc>
          <w:tcPr>
            <w:tcW w:w="2520" w:type="dxa"/>
            <w:tcBorders>
              <w:right w:val="single" w:color="000000" w:sz="10" w:space="0"/>
            </w:tcBorders>
            <w:vAlign w:val="top"/>
          </w:tcPr>
          <w:p w14:paraId="32016A8A">
            <w:pPr>
              <w:pStyle w:val="6"/>
              <w:spacing w:before="157" w:line="189" w:lineRule="auto"/>
              <w:ind w:left="1007"/>
            </w:pPr>
            <w:r>
              <w:rPr>
                <w:spacing w:val="2"/>
              </w:rPr>
              <w:t>73.40</w:t>
            </w:r>
          </w:p>
        </w:tc>
      </w:tr>
      <w:tr w14:paraId="11A3F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936" w:type="dxa"/>
            <w:tcBorders>
              <w:left w:val="single" w:color="000000" w:sz="10" w:space="0"/>
            </w:tcBorders>
            <w:vAlign w:val="top"/>
          </w:tcPr>
          <w:p w14:paraId="5D5BA72D">
            <w:pPr>
              <w:pStyle w:val="6"/>
              <w:spacing w:before="127" w:line="228" w:lineRule="auto"/>
              <w:ind w:left="1043"/>
            </w:pPr>
            <w:r>
              <w:rPr>
                <w:spacing w:val="6"/>
              </w:rPr>
              <w:t>绿化灌溉</w:t>
            </w:r>
          </w:p>
        </w:tc>
        <w:tc>
          <w:tcPr>
            <w:tcW w:w="2667" w:type="dxa"/>
            <w:vAlign w:val="top"/>
          </w:tcPr>
          <w:p w14:paraId="25B1A94B">
            <w:pPr>
              <w:pStyle w:val="6"/>
              <w:spacing w:before="226" w:line="136" w:lineRule="exact"/>
              <w:ind w:left="1282"/>
            </w:pPr>
            <w:r>
              <w:rPr>
                <w:position w:val="-3"/>
              </w:rPr>
              <w:t>-</w:t>
            </w:r>
          </w:p>
        </w:tc>
        <w:tc>
          <w:tcPr>
            <w:tcW w:w="2520" w:type="dxa"/>
            <w:tcBorders>
              <w:right w:val="single" w:color="000000" w:sz="10" w:space="0"/>
            </w:tcBorders>
            <w:vAlign w:val="top"/>
          </w:tcPr>
          <w:p w14:paraId="39EE807F">
            <w:pPr>
              <w:pStyle w:val="6"/>
              <w:spacing w:before="160" w:line="190" w:lineRule="auto"/>
              <w:ind w:left="965"/>
            </w:pPr>
            <w:r>
              <w:rPr>
                <w:spacing w:val="1"/>
              </w:rPr>
              <w:t>118.74</w:t>
            </w:r>
          </w:p>
        </w:tc>
      </w:tr>
      <w:tr w14:paraId="25AF9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936" w:type="dxa"/>
            <w:tcBorders>
              <w:left w:val="single" w:color="000000" w:sz="10" w:space="0"/>
            </w:tcBorders>
            <w:vAlign w:val="top"/>
          </w:tcPr>
          <w:p w14:paraId="22738CD5">
            <w:pPr>
              <w:pStyle w:val="6"/>
              <w:spacing w:before="132" w:line="229" w:lineRule="auto"/>
              <w:ind w:left="1258"/>
            </w:pPr>
            <w:r>
              <w:rPr>
                <w:spacing w:val="2"/>
              </w:rPr>
              <w:t>小计</w:t>
            </w:r>
          </w:p>
        </w:tc>
        <w:tc>
          <w:tcPr>
            <w:tcW w:w="2667" w:type="dxa"/>
            <w:vAlign w:val="top"/>
          </w:tcPr>
          <w:p w14:paraId="4A6EE751">
            <w:pPr>
              <w:rPr>
                <w:rFonts w:ascii="Arial"/>
                <w:sz w:val="21"/>
              </w:rPr>
            </w:pPr>
          </w:p>
        </w:tc>
        <w:tc>
          <w:tcPr>
            <w:tcW w:w="2520" w:type="dxa"/>
            <w:tcBorders>
              <w:right w:val="single" w:color="000000" w:sz="10" w:space="0"/>
            </w:tcBorders>
            <w:vAlign w:val="top"/>
          </w:tcPr>
          <w:p w14:paraId="32B79492">
            <w:pPr>
              <w:pStyle w:val="6"/>
              <w:spacing w:before="164" w:line="189" w:lineRule="auto"/>
              <w:ind w:left="848"/>
            </w:pPr>
            <w:r>
              <w:rPr>
                <w:spacing w:val="3"/>
              </w:rPr>
              <w:t>32976.44</w:t>
            </w:r>
          </w:p>
        </w:tc>
      </w:tr>
      <w:tr w14:paraId="0ACED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936" w:type="dxa"/>
            <w:tcBorders>
              <w:left w:val="single" w:color="000000" w:sz="10" w:space="0"/>
            </w:tcBorders>
            <w:vAlign w:val="top"/>
          </w:tcPr>
          <w:p w14:paraId="7171E211">
            <w:pPr>
              <w:pStyle w:val="6"/>
              <w:spacing w:before="149" w:line="228" w:lineRule="auto"/>
              <w:ind w:left="939"/>
            </w:pPr>
            <w:r>
              <w:rPr>
                <w:spacing w:val="7"/>
              </w:rPr>
              <w:t>未预见水量</w:t>
            </w:r>
          </w:p>
        </w:tc>
        <w:tc>
          <w:tcPr>
            <w:tcW w:w="2667" w:type="dxa"/>
            <w:vAlign w:val="top"/>
          </w:tcPr>
          <w:p w14:paraId="2F5EA806">
            <w:pPr>
              <w:pStyle w:val="6"/>
              <w:spacing w:before="149" w:line="228" w:lineRule="auto"/>
              <w:ind w:left="944"/>
            </w:pPr>
            <w:r>
              <w:rPr>
                <w:spacing w:val="-1"/>
              </w:rPr>
              <w:t>按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10%计</w:t>
            </w:r>
          </w:p>
        </w:tc>
        <w:tc>
          <w:tcPr>
            <w:tcW w:w="2520" w:type="dxa"/>
            <w:tcBorders>
              <w:right w:val="single" w:color="000000" w:sz="10" w:space="0"/>
            </w:tcBorders>
            <w:vAlign w:val="top"/>
          </w:tcPr>
          <w:p w14:paraId="0943CC4E">
            <w:pPr>
              <w:pStyle w:val="6"/>
              <w:spacing w:before="183" w:line="189" w:lineRule="auto"/>
              <w:ind w:left="901"/>
            </w:pPr>
            <w:r>
              <w:rPr>
                <w:spacing w:val="3"/>
              </w:rPr>
              <w:t>3297.64</w:t>
            </w:r>
          </w:p>
        </w:tc>
      </w:tr>
      <w:tr w14:paraId="480E6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936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DE72263">
            <w:pPr>
              <w:pStyle w:val="6"/>
              <w:spacing w:before="153" w:line="229" w:lineRule="auto"/>
              <w:ind w:left="1258"/>
            </w:pPr>
            <w:r>
              <w:rPr>
                <w:spacing w:val="2"/>
              </w:rPr>
              <w:t>总计</w:t>
            </w:r>
          </w:p>
        </w:tc>
        <w:tc>
          <w:tcPr>
            <w:tcW w:w="2667" w:type="dxa"/>
            <w:tcBorders>
              <w:bottom w:val="single" w:color="000000" w:sz="10" w:space="0"/>
            </w:tcBorders>
            <w:vAlign w:val="top"/>
          </w:tcPr>
          <w:p w14:paraId="097C5B80">
            <w:pPr>
              <w:rPr>
                <w:rFonts w:ascii="Arial"/>
                <w:sz w:val="21"/>
              </w:rPr>
            </w:pPr>
          </w:p>
        </w:tc>
        <w:tc>
          <w:tcPr>
            <w:tcW w:w="25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94A5132">
            <w:pPr>
              <w:pStyle w:val="6"/>
              <w:spacing w:before="186" w:line="189" w:lineRule="auto"/>
              <w:ind w:left="848"/>
            </w:pPr>
            <w:r>
              <w:rPr>
                <w:spacing w:val="3"/>
              </w:rPr>
              <w:t>36274.08</w:t>
            </w:r>
          </w:p>
        </w:tc>
      </w:tr>
    </w:tbl>
    <w:p w14:paraId="0F9AF832">
      <w:pPr>
        <w:spacing w:before="243" w:line="219" w:lineRule="auto"/>
        <w:ind w:left="5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由表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3-3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可知，本项目年用水量为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36274.08m</w:t>
      </w:r>
      <w:r>
        <w:rPr>
          <w:rFonts w:ascii="宋体" w:hAnsi="宋体" w:eastAsia="宋体" w:cs="宋体"/>
          <w:spacing w:val="-3"/>
          <w:position w:val="12"/>
          <w:sz w:val="12"/>
          <w:szCs w:val="12"/>
        </w:rPr>
        <w:t>3</w:t>
      </w:r>
      <w:r>
        <w:rPr>
          <w:rFonts w:ascii="宋体" w:hAnsi="宋体" w:eastAsia="宋体" w:cs="宋体"/>
          <w:spacing w:val="-3"/>
          <w:sz w:val="24"/>
          <w:szCs w:val="24"/>
        </w:rPr>
        <w:t>。</w:t>
      </w:r>
    </w:p>
    <w:p w14:paraId="58D7C2AA">
      <w:pPr>
        <w:pStyle w:val="2"/>
        <w:spacing w:line="255" w:lineRule="auto"/>
      </w:pPr>
    </w:p>
    <w:p w14:paraId="04AA85F8">
      <w:pPr>
        <w:spacing w:before="92" w:line="220" w:lineRule="auto"/>
        <w:ind w:left="49"/>
        <w:outlineLvl w:val="0"/>
        <w:rPr>
          <w:rFonts w:ascii="宋体" w:hAnsi="宋体" w:eastAsia="宋体" w:cs="宋体"/>
          <w:sz w:val="28"/>
          <w:szCs w:val="28"/>
        </w:rPr>
      </w:pPr>
      <w:bookmarkStart w:id="12" w:name="bookmark1"/>
      <w:bookmarkEnd w:id="12"/>
      <w:bookmarkStart w:id="13" w:name="bookmark7"/>
      <w:bookmarkEnd w:id="13"/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四、给排水系统设计说明</w:t>
      </w:r>
    </w:p>
    <w:p w14:paraId="4C76FFB7">
      <w:pPr>
        <w:pStyle w:val="2"/>
        <w:spacing w:line="277" w:lineRule="auto"/>
      </w:pPr>
    </w:p>
    <w:p w14:paraId="5FACA68D">
      <w:pPr>
        <w:spacing w:before="78" w:line="219" w:lineRule="auto"/>
        <w:ind w:left="5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（一）生活给水系统</w:t>
      </w:r>
    </w:p>
    <w:p w14:paraId="29E6F17F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7" w:type="default"/>
          <w:footerReference r:id="rId8" w:type="default"/>
          <w:pgSz w:w="11906" w:h="16839"/>
          <w:pgMar w:top="1251" w:right="1785" w:bottom="1259" w:left="1785" w:header="862" w:footer="1097" w:gutter="0"/>
          <w:cols w:space="720" w:num="1"/>
        </w:sectPr>
      </w:pPr>
    </w:p>
    <w:p w14:paraId="17FB7EA4">
      <w:pPr>
        <w:spacing w:before="299" w:line="356" w:lineRule="auto"/>
        <w:ind w:left="21" w:right="80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本项目给水水源为市政自来水，由本项目 西 侧市政路市政给水管网引入一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路</w:t>
      </w:r>
      <w:r>
        <w:rPr>
          <w:rFonts w:ascii="宋体" w:hAnsi="宋体" w:eastAsia="宋体" w:cs="宋体"/>
          <w:spacing w:val="-5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DN150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市政给水管，该引入管位于西侧绿化带，进入红线</w:t>
      </w:r>
      <w:r>
        <w:rPr>
          <w:rFonts w:ascii="宋体" w:hAnsi="宋体" w:eastAsia="宋体" w:cs="宋体"/>
          <w:spacing w:val="-4"/>
          <w:sz w:val="24"/>
          <w:szCs w:val="24"/>
        </w:rPr>
        <w:t>范围内，设置居民用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水表和非居民用水表各一座，表后设倒流防止器，市政供</w:t>
      </w:r>
      <w:r>
        <w:rPr>
          <w:rFonts w:ascii="宋体" w:hAnsi="宋体" w:eastAsia="宋体" w:cs="宋体"/>
          <w:spacing w:val="-2"/>
          <w:sz w:val="24"/>
          <w:szCs w:val="24"/>
        </w:rPr>
        <w:t>水压力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0.20MPa。负一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层及首层给水由市政给水管网直供，二层及二层以上给水由设于地下室的生活水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泵房内的不锈钢生活水箱储水，变频调速加压给水设备供</w:t>
      </w:r>
      <w:r>
        <w:rPr>
          <w:rFonts w:ascii="宋体" w:hAnsi="宋体" w:eastAsia="宋体" w:cs="宋体"/>
          <w:spacing w:val="-2"/>
          <w:sz w:val="24"/>
          <w:szCs w:val="24"/>
        </w:rPr>
        <w:t>水；水压大于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0.20MPa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处需设置减压阀。</w:t>
      </w:r>
    </w:p>
    <w:p w14:paraId="57FAB7EC">
      <w:pPr>
        <w:spacing w:before="34" w:line="219" w:lineRule="auto"/>
        <w:ind w:left="5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（二）生活污水系统</w:t>
      </w:r>
    </w:p>
    <w:p w14:paraId="2FFDE0F0">
      <w:pPr>
        <w:spacing w:before="183" w:line="355" w:lineRule="auto"/>
        <w:ind w:left="21" w:right="80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本工程室内排水系统采用雨、污分流制，±0.00以上为重力自流排入室外管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网。生活污水经化粪池处理排至室外排水管道，排入城镇污水管网的污水水质必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须符合国家现行标准的规定，不应影响城镇排水管渠和污水厂等的正常运行；不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应对养护管理人员造成危害；不应影响处理后出水的再生利用和安全排放；不应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影响污泥的处理和处置。</w:t>
      </w:r>
    </w:p>
    <w:p w14:paraId="789E7460">
      <w:pPr>
        <w:spacing w:before="32" w:line="219" w:lineRule="auto"/>
        <w:ind w:left="5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（三）雨水系统</w:t>
      </w:r>
    </w:p>
    <w:p w14:paraId="1F4C5395">
      <w:pPr>
        <w:spacing w:before="179" w:line="355" w:lineRule="auto"/>
        <w:ind w:left="21" w:right="18" w:firstLine="48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建筑屋面雨水设计重现期取10年，屋面雨水系统与溢流设施的总排水设计重</w:t>
      </w:r>
      <w:r>
        <w:rPr>
          <w:rFonts w:ascii="宋体" w:hAnsi="宋体" w:eastAsia="宋体" w:cs="宋体"/>
          <w:sz w:val="24"/>
          <w:szCs w:val="24"/>
        </w:rPr>
        <w:t xml:space="preserve"> 现期取50年。无法开溢流口的建筑屋面雨水设计重现期取</w:t>
      </w:r>
      <w:r>
        <w:rPr>
          <w:rFonts w:ascii="宋体" w:hAnsi="宋体" w:eastAsia="宋体" w:cs="宋体"/>
          <w:spacing w:val="-1"/>
          <w:sz w:val="24"/>
          <w:szCs w:val="24"/>
        </w:rPr>
        <w:t>100年，下沉地面、下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沉广场、下沉庭院及地下车库出入口坡道雨水设计重现期取50年，采用广东省韶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关市降雨资料推算的暴雨公式：q=1852.865（1+0.629</w:t>
      </w:r>
      <w:r>
        <w:rPr>
          <w:rFonts w:ascii="宋体" w:hAnsi="宋体" w:eastAsia="宋体" w:cs="宋体"/>
          <w:spacing w:val="-10"/>
          <w:sz w:val="24"/>
          <w:szCs w:val="24"/>
        </w:rPr>
        <w:t>3lgp）/（t+9.6384）0.6697，</w:t>
      </w:r>
      <w:r>
        <w:rPr>
          <w:rFonts w:ascii="宋体" w:hAnsi="宋体" w:eastAsia="宋体" w:cs="宋体"/>
          <w:sz w:val="24"/>
          <w:szCs w:val="24"/>
        </w:rPr>
        <w:t xml:space="preserve"> 建筑屋面的径流系数Ψ=0.9，降雨历时5min，计算暴雨强度500</w:t>
      </w:r>
      <w:r>
        <w:rPr>
          <w:rFonts w:ascii="宋体" w:hAnsi="宋体" w:eastAsia="宋体" w:cs="宋体"/>
          <w:spacing w:val="-1"/>
          <w:sz w:val="24"/>
          <w:szCs w:val="24"/>
        </w:rPr>
        <w:t>.396L/s.ha。</w:t>
      </w:r>
    </w:p>
    <w:p w14:paraId="4DC56CA2">
      <w:pPr>
        <w:spacing w:before="35" w:line="219" w:lineRule="auto"/>
        <w:ind w:left="5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（四）给水管材选用</w:t>
      </w:r>
    </w:p>
    <w:p w14:paraId="3FF44CFE">
      <w:pPr>
        <w:spacing w:before="185" w:line="353" w:lineRule="auto"/>
        <w:ind w:left="20" w:right="80" w:firstLine="48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建筑物给水总引入管至水井冷水分户水表前的给水干管、立管均采</w:t>
      </w:r>
      <w:r>
        <w:rPr>
          <w:rFonts w:ascii="宋体" w:hAnsi="宋体" w:eastAsia="宋体" w:cs="宋体"/>
          <w:spacing w:val="-4"/>
          <w:sz w:val="24"/>
          <w:szCs w:val="24"/>
        </w:rPr>
        <w:t>用钢塑复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合压力管，DN＜100时采用丝扣连接，DN</w:t>
      </w:r>
      <w:r>
        <w:rPr>
          <w:rFonts w:ascii="宋体" w:hAnsi="宋体" w:eastAsia="宋体" w:cs="宋体"/>
          <w:spacing w:val="-3"/>
          <w:sz w:val="24"/>
          <w:szCs w:val="24"/>
        </w:rPr>
        <w:t>≥100时采用沟槽连接，管材公称压力详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见给水系统分区表。冷水分户水表后冷水采用冷水P</w:t>
      </w:r>
      <w:r>
        <w:rPr>
          <w:rFonts w:ascii="宋体" w:hAnsi="宋体" w:eastAsia="宋体" w:cs="宋体"/>
          <w:spacing w:val="-2"/>
          <w:sz w:val="24"/>
          <w:szCs w:val="24"/>
        </w:rPr>
        <w:t>PR管（S5系列</w:t>
      </w:r>
      <w:r>
        <w:rPr>
          <w:rFonts w:ascii="宋体" w:hAnsi="宋体" w:eastAsia="宋体" w:cs="宋体"/>
          <w:spacing w:val="18"/>
          <w:sz w:val="24"/>
          <w:szCs w:val="24"/>
        </w:rPr>
        <w:t>），</w:t>
      </w:r>
      <w:r>
        <w:rPr>
          <w:rFonts w:ascii="宋体" w:hAnsi="宋体" w:eastAsia="宋体" w:cs="宋体"/>
          <w:spacing w:val="-2"/>
          <w:sz w:val="24"/>
          <w:szCs w:val="24"/>
        </w:rPr>
        <w:t>电热熔连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接；热水器后采用专用热水PPR管（S3.2系列</w:t>
      </w:r>
      <w:r>
        <w:rPr>
          <w:rFonts w:ascii="宋体" w:hAnsi="宋体" w:eastAsia="宋体" w:cs="宋体"/>
          <w:spacing w:val="24"/>
          <w:sz w:val="24"/>
          <w:szCs w:val="24"/>
        </w:rPr>
        <w:t>），</w:t>
      </w:r>
      <w:r>
        <w:rPr>
          <w:rFonts w:ascii="宋体" w:hAnsi="宋体" w:eastAsia="宋体" w:cs="宋体"/>
          <w:spacing w:val="-2"/>
          <w:sz w:val="24"/>
          <w:szCs w:val="24"/>
        </w:rPr>
        <w:t>电热熔连接。</w:t>
      </w:r>
    </w:p>
    <w:p w14:paraId="0ACA3B9C">
      <w:pPr>
        <w:spacing w:before="35" w:line="219" w:lineRule="auto"/>
        <w:ind w:left="5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（五）排水管材选用</w:t>
      </w:r>
    </w:p>
    <w:p w14:paraId="463BEB8C">
      <w:pPr>
        <w:spacing w:before="181" w:line="355" w:lineRule="auto"/>
        <w:ind w:left="20" w:firstLine="484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室内排水管道（含污、废水管道，阳台雨水管道，通气管道）及其</w:t>
      </w:r>
      <w:r>
        <w:rPr>
          <w:rFonts w:ascii="宋体" w:hAnsi="宋体" w:eastAsia="宋体" w:cs="宋体"/>
          <w:spacing w:val="-4"/>
          <w:sz w:val="24"/>
          <w:szCs w:val="24"/>
        </w:rPr>
        <w:t>配套管件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均采用PVC-U实壁排水塑料管，接口溶剂粘接；排水干管（含转换层的汇总干管、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横管，底部排水引出管）采用UPVC承插柔性扩口压力排水管道</w:t>
      </w:r>
      <w:r>
        <w:rPr>
          <w:rFonts w:ascii="宋体" w:hAnsi="宋体" w:eastAsia="宋体" w:cs="宋体"/>
          <w:spacing w:val="-3"/>
          <w:sz w:val="24"/>
          <w:szCs w:val="24"/>
        </w:rPr>
        <w:t>（加厚壁</w:t>
      </w:r>
      <w:r>
        <w:rPr>
          <w:rFonts w:ascii="宋体" w:hAnsi="宋体" w:eastAsia="宋体" w:cs="宋体"/>
          <w:spacing w:val="-12"/>
          <w:sz w:val="24"/>
          <w:szCs w:val="24"/>
        </w:rPr>
        <w:t>），</w:t>
      </w:r>
      <w:r>
        <w:rPr>
          <w:rFonts w:ascii="宋体" w:hAnsi="宋体" w:eastAsia="宋体" w:cs="宋体"/>
          <w:spacing w:val="-3"/>
          <w:sz w:val="24"/>
          <w:szCs w:val="24"/>
        </w:rPr>
        <w:t>弹性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密封圈连接；其排水横管、立管底部弯头采用加厚UPVC塑料管件。与居室等要求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安静的房间相邻的内墙布置的室内排水管道（含污、废水管道，阳台雨水管道）</w:t>
      </w:r>
    </w:p>
    <w:p w14:paraId="1E65A442">
      <w:pPr>
        <w:spacing w:line="355" w:lineRule="auto"/>
        <w:rPr>
          <w:rFonts w:ascii="宋体" w:hAnsi="宋体" w:eastAsia="宋体" w:cs="宋体"/>
          <w:sz w:val="24"/>
          <w:szCs w:val="24"/>
        </w:rPr>
        <w:sectPr>
          <w:headerReference r:id="rId9" w:type="default"/>
          <w:footerReference r:id="rId10" w:type="default"/>
          <w:pgSz w:w="11906" w:h="16839"/>
          <w:pgMar w:top="1251" w:right="1716" w:bottom="1259" w:left="1785" w:header="862" w:footer="1097" w:gutter="0"/>
          <w:cols w:space="720" w:num="1"/>
        </w:sectPr>
      </w:pPr>
    </w:p>
    <w:p w14:paraId="4CCD5012">
      <w:pPr>
        <w:spacing w:before="307" w:line="356" w:lineRule="auto"/>
        <w:ind w:left="20" w:righ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采用PVC-U中空消音排水塑料管，接口溶剂粘接。屋面重力式</w:t>
      </w:r>
      <w:r>
        <w:rPr>
          <w:rFonts w:ascii="宋体" w:hAnsi="宋体" w:eastAsia="宋体" w:cs="宋体"/>
          <w:spacing w:val="-1"/>
          <w:sz w:val="24"/>
          <w:szCs w:val="24"/>
        </w:rPr>
        <w:t>雨水管采用PVC-U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承压雨水排水管，管材、管件的公称压力均不小于1.2MPa，采用弹性密封圈插入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式柔性连接。冷凝水排水立管（DN50）采用PVC-U实壁排</w:t>
      </w:r>
      <w:r>
        <w:rPr>
          <w:rFonts w:ascii="宋体" w:hAnsi="宋体" w:eastAsia="宋体" w:cs="宋体"/>
          <w:spacing w:val="-1"/>
          <w:sz w:val="24"/>
          <w:szCs w:val="24"/>
        </w:rPr>
        <w:t>水塑料管，接口溶剂粘</w:t>
      </w:r>
      <w:r>
        <w:rPr>
          <w:rFonts w:ascii="宋体" w:hAnsi="宋体" w:eastAsia="宋体" w:cs="宋体"/>
          <w:sz w:val="24"/>
          <w:szCs w:val="24"/>
        </w:rPr>
        <w:t xml:space="preserve"> 接，各层冷凝水排水支管（DN25</w:t>
      </w:r>
      <w:r>
        <w:rPr>
          <w:rFonts w:ascii="宋体" w:hAnsi="宋体" w:eastAsia="宋体" w:cs="宋体"/>
          <w:spacing w:val="4"/>
          <w:sz w:val="24"/>
          <w:szCs w:val="24"/>
        </w:rPr>
        <w:t>），</w:t>
      </w:r>
      <w:r>
        <w:rPr>
          <w:rFonts w:ascii="宋体" w:hAnsi="宋体" w:eastAsia="宋体" w:cs="宋体"/>
          <w:sz w:val="24"/>
          <w:szCs w:val="24"/>
        </w:rPr>
        <w:t>采用P</w:t>
      </w:r>
      <w:r>
        <w:rPr>
          <w:rFonts w:ascii="宋体" w:hAnsi="宋体" w:eastAsia="宋体" w:cs="宋体"/>
          <w:spacing w:val="-1"/>
          <w:sz w:val="24"/>
          <w:szCs w:val="24"/>
        </w:rPr>
        <w:t>VC-U给水管，接口溶剂粘接，立管与</w:t>
      </w:r>
      <w:r>
        <w:rPr>
          <w:rFonts w:ascii="宋体" w:hAnsi="宋体" w:eastAsia="宋体" w:cs="宋体"/>
          <w:sz w:val="24"/>
          <w:szCs w:val="24"/>
        </w:rPr>
        <w:t xml:space="preserve"> 支管三通采用PVC-U给水管件。压力排水管采用热镀锌钢管，</w:t>
      </w:r>
      <w:r>
        <w:rPr>
          <w:rFonts w:ascii="宋体" w:hAnsi="宋体" w:eastAsia="宋体" w:cs="宋体"/>
          <w:spacing w:val="-1"/>
          <w:sz w:val="24"/>
          <w:szCs w:val="24"/>
        </w:rPr>
        <w:t>DN≤80采用丝扣连</w:t>
      </w:r>
      <w:r>
        <w:rPr>
          <w:rFonts w:ascii="宋体" w:hAnsi="宋体" w:eastAsia="宋体" w:cs="宋体"/>
          <w:sz w:val="24"/>
          <w:szCs w:val="24"/>
        </w:rPr>
        <w:t xml:space="preserve"> 接, DN≥100采用卡箍连接。消防梯与客梯底坑采用热镀</w:t>
      </w:r>
      <w:r>
        <w:rPr>
          <w:rFonts w:ascii="宋体" w:hAnsi="宋体" w:eastAsia="宋体" w:cs="宋体"/>
          <w:spacing w:val="-1"/>
          <w:sz w:val="24"/>
          <w:szCs w:val="24"/>
        </w:rPr>
        <w:t>锌钢管连通，电梯基坑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与集水井之间的连通管采用热镀锌钢管。地下室内底板及底板下预埋的重力排水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管采用热镀锌钢管，法兰连接。防爆地漏排水管采用热</w:t>
      </w:r>
      <w:r>
        <w:rPr>
          <w:rFonts w:ascii="宋体" w:hAnsi="宋体" w:eastAsia="宋体" w:cs="宋体"/>
          <w:spacing w:val="-1"/>
          <w:sz w:val="24"/>
          <w:szCs w:val="24"/>
        </w:rPr>
        <w:t>镀锌钢管，法兰连接。</w:t>
      </w:r>
    </w:p>
    <w:p w14:paraId="1B0AD513">
      <w:pPr>
        <w:spacing w:before="239" w:line="219" w:lineRule="auto"/>
        <w:ind w:left="27"/>
        <w:outlineLvl w:val="0"/>
        <w:rPr>
          <w:rFonts w:ascii="宋体" w:hAnsi="宋体" w:eastAsia="宋体" w:cs="宋体"/>
          <w:sz w:val="28"/>
          <w:szCs w:val="28"/>
        </w:rPr>
      </w:pPr>
      <w:bookmarkStart w:id="14" w:name="bookmark8"/>
      <w:bookmarkEnd w:id="14"/>
      <w:bookmarkStart w:id="15" w:name="bookmark9"/>
      <w:bookmarkEnd w:id="15"/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五、采用节水器具的方案</w:t>
      </w:r>
    </w:p>
    <w:p w14:paraId="0EC793A1">
      <w:pPr>
        <w:spacing w:before="277" w:line="347" w:lineRule="auto"/>
        <w:ind w:left="21" w:right="11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本项目卫生器具根据《水嘴水效限定值及水效等级》GB25501-2019、《坐便</w:t>
      </w:r>
      <w:r>
        <w:rPr>
          <w:rFonts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器水效限定值及水效等级》GB25502-2017、《小便器</w:t>
      </w:r>
      <w:r>
        <w:rPr>
          <w:rFonts w:ascii="宋体" w:hAnsi="宋体" w:eastAsia="宋体" w:cs="宋体"/>
          <w:spacing w:val="-1"/>
          <w:sz w:val="24"/>
          <w:szCs w:val="24"/>
        </w:rPr>
        <w:t>水效限定值及水效等级》</w:t>
      </w:r>
    </w:p>
    <w:p w14:paraId="480A44B2">
      <w:pPr>
        <w:spacing w:before="35" w:line="351" w:lineRule="auto"/>
        <w:ind w:left="20" w:right="11" w:hanging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GB28377-2019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相关规定进行选取，用水效率至少要达到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级。小便器平</w:t>
      </w:r>
      <w:r>
        <w:rPr>
          <w:rFonts w:ascii="宋体" w:hAnsi="宋体" w:eastAsia="宋体" w:cs="宋体"/>
          <w:spacing w:val="-2"/>
          <w:sz w:val="24"/>
          <w:szCs w:val="24"/>
        </w:rPr>
        <w:t>均用水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量≤1.5L，水嘴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0.125L/s，大便器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5L/次，坐</w:t>
      </w:r>
      <w:r>
        <w:rPr>
          <w:rFonts w:ascii="宋体" w:hAnsi="宋体" w:eastAsia="宋体" w:cs="宋体"/>
          <w:spacing w:val="-4"/>
          <w:sz w:val="24"/>
          <w:szCs w:val="24"/>
        </w:rPr>
        <w:t>便器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5L/双档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3.5L，淋浴器流量不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大于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0.12L/s，使用构造内自带水封的便器，且其水封深度不应小于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50mm。</w:t>
      </w:r>
    </w:p>
    <w:sectPr>
      <w:headerReference r:id="rId11" w:type="default"/>
      <w:footerReference r:id="rId12" w:type="default"/>
      <w:pgSz w:w="11906" w:h="16839"/>
      <w:pgMar w:top="1251" w:right="1785" w:bottom="1259" w:left="1785" w:header="862" w:footer="109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A5F2E"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338E5"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DB6D4"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53E8D">
    <w:pPr>
      <w:spacing w:line="176" w:lineRule="auto"/>
      <w:ind w:left="41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9C036">
    <w:pPr>
      <w:spacing w:before="15" w:line="219" w:lineRule="auto"/>
      <w:ind w:left="20"/>
      <w:rPr>
        <w:rFonts w:ascii="宋体" w:hAnsi="宋体" w:eastAsia="宋体" w:cs="宋体"/>
        <w:sz w:val="18"/>
        <w:szCs w:val="18"/>
      </w:rPr>
    </w:pPr>
    <w:r>
      <w:pict>
        <v:shape id="_x0000_s4097" o:spid="_x0000_s4097" style="position:absolute;left:0pt;margin-left:89.85pt;margin-top:61.05pt;height:0.75pt;width:415.65pt;mso-position-horizontal-relative:page;mso-position-vertical-relative:page;z-index:251659264;mso-width-relative:page;mso-height-relative:page;" fillcolor="#000000" filled="t" stroked="f" coordsize="8312,15" o:allowincell="f" path="m0,0l8312,0,8312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水量平衡表和水系统规划简要说明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74AD7">
    <w:pPr>
      <w:spacing w:before="15" w:line="219" w:lineRule="auto"/>
      <w:ind w:left="20"/>
      <w:rPr>
        <w:rFonts w:ascii="宋体" w:hAnsi="宋体" w:eastAsia="宋体" w:cs="宋体"/>
        <w:sz w:val="18"/>
        <w:szCs w:val="18"/>
      </w:rPr>
    </w:pPr>
    <w:r>
      <w:pict>
        <v:shape id="_x0000_s4098" o:spid="_x0000_s4098" style="position:absolute;left:0pt;margin-left:89.85pt;margin-top:61.05pt;height:0.75pt;width:415.65pt;mso-position-horizontal-relative:page;mso-position-vertical-relative:page;z-index:251660288;mso-width-relative:page;mso-height-relative:page;" fillcolor="#000000" filled="t" stroked="f" coordsize="8312,15" o:allowincell="f" path="m0,0l8312,0,8312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水量平衡表和水系统规划简要说明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BF9A5">
    <w:pPr>
      <w:spacing w:before="15" w:line="219" w:lineRule="auto"/>
      <w:ind w:left="20"/>
      <w:rPr>
        <w:rFonts w:ascii="宋体" w:hAnsi="宋体" w:eastAsia="宋体" w:cs="宋体"/>
        <w:sz w:val="18"/>
        <w:szCs w:val="18"/>
      </w:rPr>
    </w:pPr>
    <w:r>
      <w:pict>
        <v:shape id="_x0000_s4099" o:spid="_x0000_s4099" style="position:absolute;left:0pt;margin-left:89.85pt;margin-top:61.05pt;height:0.75pt;width:415.65pt;mso-position-horizontal-relative:page;mso-position-vertical-relative:page;z-index:251659264;mso-width-relative:page;mso-height-relative:page;" fillcolor="#000000" filled="t" stroked="f" coordsize="8312,15" o:allowincell="f" path="m0,0l8312,0,8312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水量平衡表和水系统规划简要说明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B09C8">
    <w:pPr>
      <w:spacing w:before="15" w:line="219" w:lineRule="auto"/>
      <w:ind w:left="20"/>
      <w:rPr>
        <w:rFonts w:ascii="宋体" w:hAnsi="宋体" w:eastAsia="宋体" w:cs="宋体"/>
        <w:sz w:val="18"/>
        <w:szCs w:val="18"/>
      </w:rPr>
    </w:pPr>
    <w:r>
      <w:pict>
        <v:shape id="_x0000_s4100" o:spid="_x0000_s4100" style="position:absolute;left:0pt;margin-left:89.85pt;margin-top:61.05pt;height:0.75pt;width:415.65pt;mso-position-horizontal-relative:page;mso-position-vertical-relative:page;z-index:251660288;mso-width-relative:page;mso-height-relative:page;" fillcolor="#000000" filled="t" stroked="f" coordsize="8312,15" o:allowincell="f" path="m0,0l8312,0,8312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水量平衡表和水系统规划简要说明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RmN2Q0NTFiNDNlYjM1ZGNhMWQ4ZTA4Nzc3NmMwMTYifQ=="/>
  </w:docVars>
  <w:rsids>
    <w:rsidRoot w:val="00000000"/>
    <w:rsid w:val="6BAB579D"/>
    <w:rsid w:val="7EE07F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7"/>
    <customShpInfo spid="_x0000_s4098"/>
    <customShpInfo spid="_x0000_s4099"/>
    <customShpInfo spid="_x0000_s4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2542</Words>
  <Characters>3035</Characters>
  <TotalTime>0</TotalTime>
  <ScaleCrop>false</ScaleCrop>
  <LinksUpToDate>false</LinksUpToDate>
  <CharactersWithSpaces>3356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2024-06-27T18:35:00Z</dcterms:created>
  <dc:creator>User</dc:creator>
  <cp:lastModifiedBy>君</cp:lastModifiedBy>
  <dcterms:modified xsi:type="dcterms:W3CDTF">2025-11-18T11:52:10Z</dcterms:modified>
  <dc:title>建设项目水系统规划方案报告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2024-09-04T08:49:12Z</vt:filetime>
  </property>
  <property fmtid="{D5CDD505-2E9C-101B-9397-08002B2CF9AE}" pid="4" name="KSOProductBuildVer">
    <vt:lpwstr>2052-12.1.0.23542</vt:lpwstr>
  </property>
  <property fmtid="{D5CDD505-2E9C-101B-9397-08002B2CF9AE}" pid="5" name="ICV">
    <vt:lpwstr>FA6C6E3384834C47A7653AA75AC758DA_12</vt:lpwstr>
  </property>
  <property fmtid="{D5CDD505-2E9C-101B-9397-08002B2CF9AE}" pid="6" name="KSOTemplateDocerSaveRecord">
    <vt:lpwstr>eyJoZGlkIjoiYzJhOWJhODJkNzkxODliNTJjOGZkZDEzZjVjMmRjZWQiLCJ1c2VySWQiOiIzMzA4ODk1NzMifQ==</vt:lpwstr>
  </property>
</Properties>
</file>