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78029">
      <w:pPr>
        <w:pStyle w:val="5"/>
        <w:keepNext w:val="0"/>
        <w:keepLines w:val="0"/>
        <w:pageBreakBefore w:val="0"/>
        <w:wordWrap w:val="0"/>
        <w:overflowPunct/>
        <w:topLinePunct w:val="0"/>
        <w:bidi w:val="0"/>
        <w:spacing w:line="241" w:lineRule="auto"/>
        <w:rPr>
          <w:rFonts w:hint="eastAsia" w:ascii="宋体" w:hAnsi="宋体" w:eastAsia="宋体" w:cs="宋体"/>
          <w:color w:val="000000" w:themeColor="text1"/>
          <w:spacing w:val="0"/>
          <w:highlight w:val="none"/>
          <w14:textFill>
            <w14:solidFill>
              <w14:schemeClr w14:val="tx1"/>
            </w14:solidFill>
          </w14:textFill>
        </w:rPr>
      </w:pPr>
    </w:p>
    <w:p w14:paraId="065BF53E">
      <w:pPr>
        <w:keepNext w:val="0"/>
        <w:keepLines w:val="0"/>
        <w:pageBreakBefore w:val="0"/>
        <w:widowControl/>
        <w:kinsoku w:val="0"/>
        <w:wordWrap w:val="0"/>
        <w:overflowPunct/>
        <w:topLinePunct w:val="0"/>
        <w:autoSpaceDE w:val="0"/>
        <w:autoSpaceDN w:val="0"/>
        <w:bidi w:val="0"/>
        <w:adjustRightInd w:val="0"/>
        <w:snapToGrid w:val="0"/>
        <w:spacing w:before="231" w:line="312" w:lineRule="auto"/>
        <w:jc w:val="center"/>
        <w:textAlignment w:val="baseline"/>
        <w:outlineLvl w:val="9"/>
        <w:rPr>
          <w:rFonts w:hint="eastAsia" w:ascii="宋体" w:hAnsi="宋体" w:eastAsia="宋体" w:cs="宋体"/>
          <w:b/>
          <w:bCs/>
          <w:color w:val="000000" w:themeColor="text1"/>
          <w:spacing w:val="0"/>
          <w:sz w:val="48"/>
          <w:szCs w:val="48"/>
          <w:highlight w:val="none"/>
          <w:lang w:val="en-US" w:eastAsia="zh-CN"/>
          <w14:textFill>
            <w14:solidFill>
              <w14:schemeClr w14:val="tx1"/>
            </w14:solidFill>
          </w14:textFill>
        </w:rPr>
      </w:pPr>
      <w:r>
        <w:rPr>
          <w:rFonts w:hint="eastAsia" w:ascii="宋体" w:hAnsi="宋体" w:eastAsia="宋体" w:cs="宋体"/>
          <w:b/>
          <w:bCs/>
          <w:color w:val="000000" w:themeColor="text1"/>
          <w:spacing w:val="0"/>
          <w:sz w:val="52"/>
          <w:szCs w:val="52"/>
          <w:highlight w:val="none"/>
          <w:lang w:val="en-US" w:eastAsia="zh-CN"/>
          <w14:textFill>
            <w14:solidFill>
              <w14:schemeClr w14:val="tx1"/>
            </w14:solidFill>
          </w14:textFill>
        </w:rPr>
        <w:t>新丰县梅坑河水质保障项目施工招标</w:t>
      </w:r>
    </w:p>
    <w:p w14:paraId="0ACA8D3E">
      <w:pPr>
        <w:pStyle w:val="5"/>
        <w:keepNext w:val="0"/>
        <w:keepLines w:val="0"/>
        <w:pageBreakBefore w:val="0"/>
        <w:wordWrap w:val="0"/>
        <w:overflowPunct/>
        <w:topLinePunct w:val="0"/>
        <w:bidi w:val="0"/>
        <w:spacing w:line="355" w:lineRule="auto"/>
        <w:rPr>
          <w:rFonts w:hint="eastAsia" w:ascii="宋体" w:hAnsi="宋体" w:eastAsia="宋体" w:cs="宋体"/>
          <w:color w:val="000000" w:themeColor="text1"/>
          <w:spacing w:val="0"/>
          <w:highlight w:val="none"/>
          <w14:textFill>
            <w14:solidFill>
              <w14:schemeClr w14:val="tx1"/>
            </w14:solidFill>
          </w14:textFill>
        </w:rPr>
      </w:pPr>
    </w:p>
    <w:p w14:paraId="52B3F812">
      <w:pPr>
        <w:pStyle w:val="5"/>
        <w:keepNext w:val="0"/>
        <w:keepLines w:val="0"/>
        <w:pageBreakBefore w:val="0"/>
        <w:wordWrap w:val="0"/>
        <w:overflowPunct/>
        <w:topLinePunct w:val="0"/>
        <w:bidi w:val="0"/>
        <w:spacing w:line="355" w:lineRule="auto"/>
        <w:rPr>
          <w:rFonts w:hint="eastAsia" w:ascii="宋体" w:hAnsi="宋体" w:eastAsia="宋体" w:cs="宋体"/>
          <w:color w:val="000000" w:themeColor="text1"/>
          <w:spacing w:val="0"/>
          <w:highlight w:val="none"/>
          <w14:textFill>
            <w14:solidFill>
              <w14:schemeClr w14:val="tx1"/>
            </w14:solidFill>
          </w14:textFill>
        </w:rPr>
      </w:pPr>
    </w:p>
    <w:p w14:paraId="53F283AE">
      <w:pPr>
        <w:pStyle w:val="5"/>
        <w:keepNext w:val="0"/>
        <w:keepLines w:val="0"/>
        <w:pageBreakBefore w:val="0"/>
        <w:wordWrap w:val="0"/>
        <w:overflowPunct/>
        <w:topLinePunct w:val="0"/>
        <w:bidi w:val="0"/>
        <w:spacing w:line="355" w:lineRule="auto"/>
        <w:rPr>
          <w:rFonts w:hint="eastAsia" w:ascii="宋体" w:hAnsi="宋体" w:eastAsia="宋体" w:cs="宋体"/>
          <w:color w:val="000000" w:themeColor="text1"/>
          <w:spacing w:val="0"/>
          <w:highlight w:val="none"/>
          <w14:textFill>
            <w14:solidFill>
              <w14:schemeClr w14:val="tx1"/>
            </w14:solidFill>
          </w14:textFill>
        </w:rPr>
      </w:pPr>
    </w:p>
    <w:p w14:paraId="296BC558">
      <w:pPr>
        <w:pStyle w:val="5"/>
        <w:keepNext w:val="0"/>
        <w:keepLines w:val="0"/>
        <w:pageBreakBefore w:val="0"/>
        <w:wordWrap w:val="0"/>
        <w:overflowPunct/>
        <w:topLinePunct w:val="0"/>
        <w:bidi w:val="0"/>
        <w:spacing w:line="355" w:lineRule="auto"/>
        <w:rPr>
          <w:rFonts w:hint="eastAsia" w:ascii="宋体" w:hAnsi="宋体" w:eastAsia="宋体" w:cs="宋体"/>
          <w:color w:val="000000" w:themeColor="text1"/>
          <w:spacing w:val="0"/>
          <w:highlight w:val="none"/>
          <w14:textFill>
            <w14:solidFill>
              <w14:schemeClr w14:val="tx1"/>
            </w14:solidFill>
          </w14:textFill>
        </w:rPr>
      </w:pPr>
    </w:p>
    <w:p w14:paraId="32ED6F11">
      <w:pPr>
        <w:keepNext w:val="0"/>
        <w:keepLines w:val="0"/>
        <w:pageBreakBefore w:val="0"/>
        <w:wordWrap w:val="0"/>
        <w:overflowPunct/>
        <w:topLinePunct w:val="0"/>
        <w:bidi w:val="0"/>
        <w:spacing w:before="231" w:line="223" w:lineRule="auto"/>
        <w:jc w:val="center"/>
        <w:outlineLvl w:val="9"/>
        <w:rPr>
          <w:rFonts w:hint="eastAsia" w:ascii="宋体" w:hAnsi="宋体" w:eastAsia="宋体" w:cs="宋体"/>
          <w:color w:val="000000" w:themeColor="text1"/>
          <w:spacing w:val="0"/>
          <w:sz w:val="71"/>
          <w:szCs w:val="71"/>
          <w:highlight w:val="none"/>
          <w14:textFill>
            <w14:solidFill>
              <w14:schemeClr w14:val="tx1"/>
            </w14:solidFill>
          </w14:textFill>
        </w:rPr>
      </w:pPr>
      <w:bookmarkStart w:id="0" w:name="_Toc7958"/>
      <w:bookmarkStart w:id="1" w:name="_Toc15837"/>
      <w:bookmarkStart w:id="2" w:name="_Toc1688"/>
      <w:bookmarkStart w:id="3" w:name="_Toc15274"/>
      <w:r>
        <w:rPr>
          <w:rFonts w:hint="eastAsia" w:ascii="宋体" w:hAnsi="宋体" w:eastAsia="宋体" w:cs="宋体"/>
          <w:b/>
          <w:bCs/>
          <w:color w:val="000000" w:themeColor="text1"/>
          <w:spacing w:val="0"/>
          <w:sz w:val="71"/>
          <w:szCs w:val="71"/>
          <w:highlight w:val="none"/>
          <w14:textFill>
            <w14:solidFill>
              <w14:schemeClr w14:val="tx1"/>
            </w14:solidFill>
          </w14:textFill>
        </w:rPr>
        <w:t>招标文件</w:t>
      </w:r>
      <w:bookmarkEnd w:id="0"/>
      <w:bookmarkEnd w:id="1"/>
      <w:bookmarkEnd w:id="2"/>
      <w:bookmarkEnd w:id="3"/>
    </w:p>
    <w:p w14:paraId="4EFF9E9E">
      <w:pPr>
        <w:pStyle w:val="5"/>
        <w:keepNext w:val="0"/>
        <w:keepLines w:val="0"/>
        <w:pageBreakBefore w:val="0"/>
        <w:wordWrap w:val="0"/>
        <w:overflowPunct/>
        <w:topLinePunct w:val="0"/>
        <w:bidi w:val="0"/>
        <w:spacing w:line="270" w:lineRule="auto"/>
        <w:rPr>
          <w:rFonts w:hint="eastAsia" w:ascii="宋体" w:hAnsi="宋体" w:eastAsia="宋体" w:cs="宋体"/>
          <w:color w:val="000000" w:themeColor="text1"/>
          <w:spacing w:val="0"/>
          <w:highlight w:val="none"/>
          <w14:textFill>
            <w14:solidFill>
              <w14:schemeClr w14:val="tx1"/>
            </w14:solidFill>
          </w14:textFill>
        </w:rPr>
      </w:pPr>
    </w:p>
    <w:p w14:paraId="2B5B3882">
      <w:pPr>
        <w:pStyle w:val="5"/>
        <w:keepNext w:val="0"/>
        <w:keepLines w:val="0"/>
        <w:pageBreakBefore w:val="0"/>
        <w:wordWrap w:val="0"/>
        <w:overflowPunct/>
        <w:topLinePunct w:val="0"/>
        <w:bidi w:val="0"/>
        <w:spacing w:line="271" w:lineRule="auto"/>
        <w:rPr>
          <w:rFonts w:hint="eastAsia" w:ascii="宋体" w:hAnsi="宋体" w:eastAsia="宋体" w:cs="宋体"/>
          <w:color w:val="000000" w:themeColor="text1"/>
          <w:spacing w:val="0"/>
          <w:highlight w:val="none"/>
          <w14:textFill>
            <w14:solidFill>
              <w14:schemeClr w14:val="tx1"/>
            </w14:solidFill>
          </w14:textFill>
        </w:rPr>
      </w:pPr>
    </w:p>
    <w:p w14:paraId="4C622A16">
      <w:pPr>
        <w:pStyle w:val="5"/>
        <w:keepNext w:val="0"/>
        <w:keepLines w:val="0"/>
        <w:pageBreakBefore w:val="0"/>
        <w:wordWrap w:val="0"/>
        <w:overflowPunct/>
        <w:topLinePunct w:val="0"/>
        <w:bidi w:val="0"/>
        <w:spacing w:line="271" w:lineRule="auto"/>
        <w:rPr>
          <w:rFonts w:hint="eastAsia" w:ascii="宋体" w:hAnsi="宋体" w:eastAsia="宋体" w:cs="宋体"/>
          <w:color w:val="000000" w:themeColor="text1"/>
          <w:spacing w:val="0"/>
          <w:highlight w:val="none"/>
          <w14:textFill>
            <w14:solidFill>
              <w14:schemeClr w14:val="tx1"/>
            </w14:solidFill>
          </w14:textFill>
        </w:rPr>
      </w:pPr>
    </w:p>
    <w:p w14:paraId="124711D2">
      <w:pPr>
        <w:pStyle w:val="5"/>
        <w:keepNext w:val="0"/>
        <w:keepLines w:val="0"/>
        <w:pageBreakBefore w:val="0"/>
        <w:wordWrap w:val="0"/>
        <w:overflowPunct/>
        <w:topLinePunct w:val="0"/>
        <w:bidi w:val="0"/>
        <w:spacing w:line="271" w:lineRule="auto"/>
        <w:rPr>
          <w:rFonts w:hint="eastAsia" w:ascii="宋体" w:hAnsi="宋体" w:eastAsia="宋体" w:cs="宋体"/>
          <w:color w:val="000000" w:themeColor="text1"/>
          <w:spacing w:val="0"/>
          <w:highlight w:val="none"/>
          <w14:textFill>
            <w14:solidFill>
              <w14:schemeClr w14:val="tx1"/>
            </w14:solidFill>
          </w14:textFill>
        </w:rPr>
      </w:pPr>
    </w:p>
    <w:p w14:paraId="5A7070C0">
      <w:pPr>
        <w:pStyle w:val="5"/>
        <w:keepNext w:val="0"/>
        <w:keepLines w:val="0"/>
        <w:pageBreakBefore w:val="0"/>
        <w:wordWrap w:val="0"/>
        <w:overflowPunct/>
        <w:topLinePunct w:val="0"/>
        <w:bidi w:val="0"/>
        <w:spacing w:line="271" w:lineRule="auto"/>
        <w:rPr>
          <w:rFonts w:hint="eastAsia" w:ascii="宋体" w:hAnsi="宋体" w:eastAsia="宋体" w:cs="宋体"/>
          <w:color w:val="000000" w:themeColor="text1"/>
          <w:spacing w:val="0"/>
          <w:highlight w:val="none"/>
          <w14:textFill>
            <w14:solidFill>
              <w14:schemeClr w14:val="tx1"/>
            </w14:solidFill>
          </w14:textFill>
        </w:rPr>
      </w:pPr>
    </w:p>
    <w:p w14:paraId="466BB1AF">
      <w:pPr>
        <w:pStyle w:val="5"/>
        <w:keepNext w:val="0"/>
        <w:keepLines w:val="0"/>
        <w:pageBreakBefore w:val="0"/>
        <w:wordWrap w:val="0"/>
        <w:overflowPunct/>
        <w:topLinePunct w:val="0"/>
        <w:bidi w:val="0"/>
        <w:spacing w:line="271" w:lineRule="auto"/>
        <w:rPr>
          <w:rFonts w:hint="eastAsia" w:ascii="宋体" w:hAnsi="宋体" w:eastAsia="宋体" w:cs="宋体"/>
          <w:color w:val="000000" w:themeColor="text1"/>
          <w:spacing w:val="0"/>
          <w:highlight w:val="none"/>
          <w14:textFill>
            <w14:solidFill>
              <w14:schemeClr w14:val="tx1"/>
            </w14:solidFill>
          </w14:textFill>
        </w:rPr>
      </w:pPr>
    </w:p>
    <w:tbl>
      <w:tblPr>
        <w:tblStyle w:val="14"/>
        <w:tblW w:w="9714" w:type="dxa"/>
        <w:jc w:val="center"/>
        <w:tblLayout w:type="fixed"/>
        <w:tblCellMar>
          <w:top w:w="0" w:type="dxa"/>
          <w:left w:w="0" w:type="dxa"/>
          <w:bottom w:w="0" w:type="dxa"/>
          <w:right w:w="0" w:type="dxa"/>
        </w:tblCellMar>
      </w:tblPr>
      <w:tblGrid>
        <w:gridCol w:w="5013"/>
        <w:gridCol w:w="4701"/>
      </w:tblGrid>
      <w:tr w14:paraId="0FBD89A1">
        <w:tblPrEx>
          <w:tblCellMar>
            <w:top w:w="0" w:type="dxa"/>
            <w:left w:w="0" w:type="dxa"/>
            <w:bottom w:w="0" w:type="dxa"/>
            <w:right w:w="0" w:type="dxa"/>
          </w:tblCellMar>
        </w:tblPrEx>
        <w:trPr>
          <w:trHeight w:val="1030" w:hRule="atLeast"/>
          <w:jc w:val="center"/>
        </w:trPr>
        <w:tc>
          <w:tcPr>
            <w:tcW w:w="5013" w:type="dxa"/>
            <w:vAlign w:val="center"/>
          </w:tcPr>
          <w:p w14:paraId="75FF4CB7">
            <w:pPr>
              <w:pStyle w:val="25"/>
              <w:keepNext w:val="0"/>
              <w:keepLines w:val="0"/>
              <w:pageBreakBefore w:val="0"/>
              <w:wordWrap w:val="0"/>
              <w:overflowPunct/>
              <w:topLinePunct w:val="0"/>
              <w:bidi w:val="0"/>
              <w:snapToGrid w:val="0"/>
              <w:spacing w:line="240" w:lineRule="auto"/>
              <w:jc w:val="distribute"/>
              <w:rPr>
                <w:rStyle w:val="26"/>
                <w:rFonts w:hint="eastAsia" w:ascii="宋体" w:hAnsi="宋体" w:eastAsia="宋体" w:cs="宋体"/>
                <w:color w:val="000000" w:themeColor="text1"/>
                <w:spacing w:val="0"/>
                <w:kern w:val="0"/>
                <w:sz w:val="28"/>
                <w:szCs w:val="28"/>
                <w:highlight w:val="none"/>
                <w14:textFill>
                  <w14:solidFill>
                    <w14:schemeClr w14:val="tx1"/>
                  </w14:solidFill>
                </w14:textFill>
              </w:rPr>
            </w:pPr>
            <w:r>
              <w:rPr>
                <w:rStyle w:val="26"/>
                <w:rFonts w:hint="eastAsia" w:ascii="宋体" w:hAnsi="宋体" w:eastAsia="宋体" w:cs="宋体"/>
                <w:color w:val="000000" w:themeColor="text1"/>
                <w:spacing w:val="0"/>
                <w:kern w:val="0"/>
                <w:sz w:val="28"/>
                <w:szCs w:val="28"/>
                <w:highlight w:val="none"/>
                <w14:textFill>
                  <w14:solidFill>
                    <w14:schemeClr w14:val="tx1"/>
                  </w14:solidFill>
                </w14:textFill>
              </w:rPr>
              <w:t xml:space="preserve"> 招  标  人（盖单位章）：</w:t>
            </w:r>
          </w:p>
        </w:tc>
        <w:tc>
          <w:tcPr>
            <w:tcW w:w="4701" w:type="dxa"/>
            <w:vAlign w:val="center"/>
          </w:tcPr>
          <w:p w14:paraId="542235EB">
            <w:pPr>
              <w:pStyle w:val="25"/>
              <w:keepNext w:val="0"/>
              <w:keepLines w:val="0"/>
              <w:pageBreakBefore w:val="0"/>
              <w:wordWrap w:val="0"/>
              <w:overflowPunct/>
              <w:topLinePunct w:val="0"/>
              <w:bidi w:val="0"/>
              <w:snapToGrid w:val="0"/>
              <w:spacing w:line="240" w:lineRule="auto"/>
              <w:rPr>
                <w:rStyle w:val="26"/>
                <w:rFonts w:hint="eastAsia" w:ascii="宋体" w:hAnsi="宋体" w:eastAsia="宋体" w:cs="宋体"/>
                <w:color w:val="000000" w:themeColor="text1"/>
                <w:spacing w:val="0"/>
                <w:kern w:val="0"/>
                <w:sz w:val="28"/>
                <w:szCs w:val="28"/>
                <w:highlight w:val="none"/>
                <w:lang w:eastAsia="zh-CN"/>
                <w14:textFill>
                  <w14:solidFill>
                    <w14:schemeClr w14:val="tx1"/>
                  </w14:solidFill>
                </w14:textFill>
              </w:rPr>
            </w:pPr>
            <w:r>
              <w:rPr>
                <w:rStyle w:val="26"/>
                <w:rFonts w:hint="eastAsia" w:ascii="宋体" w:hAnsi="宋体" w:eastAsia="宋体" w:cs="宋体"/>
                <w:color w:val="000000" w:themeColor="text1"/>
                <w:spacing w:val="0"/>
                <w:kern w:val="0"/>
                <w:sz w:val="28"/>
                <w:szCs w:val="28"/>
                <w:highlight w:val="none"/>
                <w:lang w:eastAsia="zh-CN"/>
                <w14:textFill>
                  <w14:solidFill>
                    <w14:schemeClr w14:val="tx1"/>
                  </w14:solidFill>
                </w14:textFill>
              </w:rPr>
              <w:t>新丰县梅坑镇人民政府</w:t>
            </w:r>
          </w:p>
        </w:tc>
      </w:tr>
      <w:tr w14:paraId="0ED64425">
        <w:tblPrEx>
          <w:tblCellMar>
            <w:top w:w="0" w:type="dxa"/>
            <w:left w:w="0" w:type="dxa"/>
            <w:bottom w:w="0" w:type="dxa"/>
            <w:right w:w="0" w:type="dxa"/>
          </w:tblCellMar>
        </w:tblPrEx>
        <w:trPr>
          <w:trHeight w:val="844" w:hRule="atLeast"/>
          <w:jc w:val="center"/>
        </w:trPr>
        <w:tc>
          <w:tcPr>
            <w:tcW w:w="5013" w:type="dxa"/>
            <w:vAlign w:val="center"/>
          </w:tcPr>
          <w:p w14:paraId="32C2F3CA">
            <w:pPr>
              <w:pStyle w:val="25"/>
              <w:keepNext w:val="0"/>
              <w:keepLines w:val="0"/>
              <w:pageBreakBefore w:val="0"/>
              <w:wordWrap w:val="0"/>
              <w:overflowPunct/>
              <w:topLinePunct w:val="0"/>
              <w:bidi w:val="0"/>
              <w:snapToGrid w:val="0"/>
              <w:spacing w:line="240" w:lineRule="auto"/>
              <w:jc w:val="distribute"/>
              <w:rPr>
                <w:rStyle w:val="26"/>
                <w:rFonts w:hint="eastAsia" w:ascii="宋体" w:hAnsi="宋体" w:eastAsia="宋体" w:cs="宋体"/>
                <w:color w:val="000000" w:themeColor="text1"/>
                <w:spacing w:val="0"/>
                <w:kern w:val="0"/>
                <w:sz w:val="28"/>
                <w:szCs w:val="28"/>
                <w:highlight w:val="none"/>
                <w14:textFill>
                  <w14:solidFill>
                    <w14:schemeClr w14:val="tx1"/>
                  </w14:solidFill>
                </w14:textFill>
              </w:rPr>
            </w:pPr>
            <w:r>
              <w:rPr>
                <w:rStyle w:val="26"/>
                <w:rFonts w:hint="eastAsia" w:ascii="宋体" w:hAnsi="宋体" w:eastAsia="宋体" w:cs="宋体"/>
                <w:color w:val="000000" w:themeColor="text1"/>
                <w:spacing w:val="0"/>
                <w:kern w:val="0"/>
                <w:sz w:val="28"/>
                <w:szCs w:val="28"/>
                <w:highlight w:val="none"/>
                <w14:textFill>
                  <w14:solidFill>
                    <w14:schemeClr w14:val="tx1"/>
                  </w14:solidFill>
                </w14:textFill>
              </w:rPr>
              <w:t xml:space="preserve"> 招标人工作领导小组负责人（签字）：</w:t>
            </w:r>
          </w:p>
        </w:tc>
        <w:tc>
          <w:tcPr>
            <w:tcW w:w="4701" w:type="dxa"/>
            <w:vAlign w:val="center"/>
          </w:tcPr>
          <w:p w14:paraId="6DAD42AE">
            <w:pPr>
              <w:pStyle w:val="25"/>
              <w:keepNext w:val="0"/>
              <w:keepLines w:val="0"/>
              <w:pageBreakBefore w:val="0"/>
              <w:wordWrap w:val="0"/>
              <w:overflowPunct/>
              <w:topLinePunct w:val="0"/>
              <w:bidi w:val="0"/>
              <w:snapToGrid w:val="0"/>
              <w:spacing w:line="240" w:lineRule="auto"/>
              <w:rPr>
                <w:rStyle w:val="26"/>
                <w:rFonts w:hint="eastAsia" w:ascii="宋体" w:hAnsi="宋体" w:eastAsia="宋体" w:cs="宋体"/>
                <w:color w:val="000000" w:themeColor="text1"/>
                <w:spacing w:val="0"/>
                <w:kern w:val="0"/>
                <w:sz w:val="28"/>
                <w:szCs w:val="28"/>
                <w:highlight w:val="none"/>
                <w14:textFill>
                  <w14:solidFill>
                    <w14:schemeClr w14:val="tx1"/>
                  </w14:solidFill>
                </w14:textFill>
              </w:rPr>
            </w:pPr>
          </w:p>
        </w:tc>
      </w:tr>
      <w:tr w14:paraId="4098A439">
        <w:tblPrEx>
          <w:tblCellMar>
            <w:top w:w="0" w:type="dxa"/>
            <w:left w:w="0" w:type="dxa"/>
            <w:bottom w:w="0" w:type="dxa"/>
            <w:right w:w="0" w:type="dxa"/>
          </w:tblCellMar>
        </w:tblPrEx>
        <w:trPr>
          <w:trHeight w:val="840" w:hRule="atLeast"/>
          <w:jc w:val="center"/>
        </w:trPr>
        <w:tc>
          <w:tcPr>
            <w:tcW w:w="5013" w:type="dxa"/>
            <w:vAlign w:val="center"/>
          </w:tcPr>
          <w:p w14:paraId="15C4759D">
            <w:pPr>
              <w:pStyle w:val="25"/>
              <w:keepNext w:val="0"/>
              <w:keepLines w:val="0"/>
              <w:pageBreakBefore w:val="0"/>
              <w:wordWrap w:val="0"/>
              <w:overflowPunct/>
              <w:topLinePunct w:val="0"/>
              <w:bidi w:val="0"/>
              <w:snapToGrid w:val="0"/>
              <w:spacing w:line="240" w:lineRule="auto"/>
              <w:jc w:val="distribute"/>
              <w:rPr>
                <w:rStyle w:val="26"/>
                <w:rFonts w:hint="eastAsia" w:ascii="宋体" w:hAnsi="宋体" w:eastAsia="宋体" w:cs="宋体"/>
                <w:color w:val="000000" w:themeColor="text1"/>
                <w:spacing w:val="0"/>
                <w:kern w:val="0"/>
                <w:sz w:val="28"/>
                <w:szCs w:val="28"/>
                <w:highlight w:val="none"/>
                <w14:textFill>
                  <w14:solidFill>
                    <w14:schemeClr w14:val="tx1"/>
                  </w14:solidFill>
                </w14:textFill>
              </w:rPr>
            </w:pPr>
            <w:r>
              <w:rPr>
                <w:rStyle w:val="26"/>
                <w:rFonts w:hint="eastAsia" w:ascii="宋体" w:hAnsi="宋体" w:eastAsia="宋体" w:cs="宋体"/>
                <w:color w:val="000000" w:themeColor="text1"/>
                <w:spacing w:val="0"/>
                <w:kern w:val="0"/>
                <w:sz w:val="28"/>
                <w:szCs w:val="28"/>
                <w:highlight w:val="none"/>
                <w14:textFill>
                  <w14:solidFill>
                    <w14:schemeClr w14:val="tx1"/>
                  </w14:solidFill>
                </w14:textFill>
              </w:rPr>
              <w:t xml:space="preserve"> 招 标 代 理 机 构 （盖单位章）：</w:t>
            </w:r>
          </w:p>
        </w:tc>
        <w:tc>
          <w:tcPr>
            <w:tcW w:w="4701" w:type="dxa"/>
            <w:vAlign w:val="center"/>
          </w:tcPr>
          <w:p w14:paraId="25C2E748">
            <w:pPr>
              <w:pStyle w:val="25"/>
              <w:keepNext w:val="0"/>
              <w:keepLines w:val="0"/>
              <w:pageBreakBefore w:val="0"/>
              <w:wordWrap w:val="0"/>
              <w:overflowPunct/>
              <w:topLinePunct w:val="0"/>
              <w:bidi w:val="0"/>
              <w:snapToGrid w:val="0"/>
              <w:spacing w:line="240" w:lineRule="auto"/>
              <w:rPr>
                <w:rStyle w:val="26"/>
                <w:rFonts w:hint="eastAsia" w:ascii="宋体" w:hAnsi="宋体" w:eastAsia="宋体" w:cs="宋体"/>
                <w:color w:val="000000" w:themeColor="text1"/>
                <w:spacing w:val="0"/>
                <w:kern w:val="0"/>
                <w:sz w:val="28"/>
                <w:szCs w:val="28"/>
                <w:highlight w:val="none"/>
                <w:lang w:eastAsia="zh-CN"/>
                <w14:textFill>
                  <w14:solidFill>
                    <w14:schemeClr w14:val="tx1"/>
                  </w14:solidFill>
                </w14:textFill>
              </w:rPr>
            </w:pPr>
            <w:r>
              <w:rPr>
                <w:rStyle w:val="26"/>
                <w:rFonts w:hint="eastAsia" w:ascii="宋体" w:hAnsi="宋体" w:eastAsia="宋体" w:cs="宋体"/>
                <w:color w:val="000000" w:themeColor="text1"/>
                <w:spacing w:val="0"/>
                <w:kern w:val="0"/>
                <w:sz w:val="28"/>
                <w:szCs w:val="28"/>
                <w:highlight w:val="none"/>
                <w:lang w:eastAsia="zh-CN"/>
                <w14:textFill>
                  <w14:solidFill>
                    <w14:schemeClr w14:val="tx1"/>
                  </w14:solidFill>
                </w14:textFill>
              </w:rPr>
              <w:t>新丰县市政工程公司</w:t>
            </w:r>
          </w:p>
        </w:tc>
      </w:tr>
      <w:tr w14:paraId="46AA99F4">
        <w:tblPrEx>
          <w:tblCellMar>
            <w:top w:w="0" w:type="dxa"/>
            <w:left w:w="0" w:type="dxa"/>
            <w:bottom w:w="0" w:type="dxa"/>
            <w:right w:w="0" w:type="dxa"/>
          </w:tblCellMar>
        </w:tblPrEx>
        <w:trPr>
          <w:trHeight w:val="968" w:hRule="atLeast"/>
          <w:jc w:val="center"/>
        </w:trPr>
        <w:tc>
          <w:tcPr>
            <w:tcW w:w="5013" w:type="dxa"/>
            <w:vAlign w:val="center"/>
          </w:tcPr>
          <w:p w14:paraId="7D7498C5">
            <w:pPr>
              <w:pStyle w:val="25"/>
              <w:keepNext w:val="0"/>
              <w:keepLines w:val="0"/>
              <w:pageBreakBefore w:val="0"/>
              <w:wordWrap w:val="0"/>
              <w:overflowPunct/>
              <w:topLinePunct w:val="0"/>
              <w:bidi w:val="0"/>
              <w:snapToGrid w:val="0"/>
              <w:spacing w:line="240" w:lineRule="auto"/>
              <w:jc w:val="distribute"/>
              <w:rPr>
                <w:rStyle w:val="26"/>
                <w:rFonts w:hint="eastAsia" w:ascii="宋体" w:hAnsi="宋体" w:eastAsia="宋体" w:cs="宋体"/>
                <w:color w:val="000000" w:themeColor="text1"/>
                <w:spacing w:val="0"/>
                <w:kern w:val="0"/>
                <w:sz w:val="28"/>
                <w:szCs w:val="28"/>
                <w:highlight w:val="none"/>
                <w14:textFill>
                  <w14:solidFill>
                    <w14:schemeClr w14:val="tx1"/>
                  </w14:solidFill>
                </w14:textFill>
              </w:rPr>
            </w:pPr>
            <w:r>
              <w:rPr>
                <w:rStyle w:val="26"/>
                <w:rFonts w:hint="eastAsia" w:ascii="宋体" w:hAnsi="宋体" w:eastAsia="宋体" w:cs="宋体"/>
                <w:color w:val="000000" w:themeColor="text1"/>
                <w:spacing w:val="0"/>
                <w:kern w:val="0"/>
                <w:sz w:val="28"/>
                <w:szCs w:val="28"/>
                <w:highlight w:val="none"/>
                <w14:textFill>
                  <w14:solidFill>
                    <w14:schemeClr w14:val="tx1"/>
                  </w14:solidFill>
                </w14:textFill>
              </w:rPr>
              <w:t xml:space="preserve"> 招标文件编制人（签字）：</w:t>
            </w:r>
          </w:p>
        </w:tc>
        <w:tc>
          <w:tcPr>
            <w:tcW w:w="4701" w:type="dxa"/>
            <w:vAlign w:val="center"/>
          </w:tcPr>
          <w:p w14:paraId="6F37BCCD">
            <w:pPr>
              <w:pStyle w:val="25"/>
              <w:keepNext w:val="0"/>
              <w:keepLines w:val="0"/>
              <w:pageBreakBefore w:val="0"/>
              <w:wordWrap w:val="0"/>
              <w:overflowPunct/>
              <w:topLinePunct w:val="0"/>
              <w:bidi w:val="0"/>
              <w:snapToGrid w:val="0"/>
              <w:spacing w:line="240" w:lineRule="auto"/>
              <w:rPr>
                <w:rStyle w:val="26"/>
                <w:rFonts w:hint="eastAsia" w:ascii="宋体" w:hAnsi="宋体" w:eastAsia="宋体" w:cs="宋体"/>
                <w:color w:val="000000" w:themeColor="text1"/>
                <w:spacing w:val="0"/>
                <w:kern w:val="0"/>
                <w:sz w:val="28"/>
                <w:szCs w:val="28"/>
                <w:highlight w:val="none"/>
                <w14:textFill>
                  <w14:solidFill>
                    <w14:schemeClr w14:val="tx1"/>
                  </w14:solidFill>
                </w14:textFill>
              </w:rPr>
            </w:pPr>
          </w:p>
        </w:tc>
      </w:tr>
      <w:tr w14:paraId="224F3282">
        <w:tblPrEx>
          <w:tblCellMar>
            <w:top w:w="0" w:type="dxa"/>
            <w:left w:w="0" w:type="dxa"/>
            <w:bottom w:w="0" w:type="dxa"/>
            <w:right w:w="0" w:type="dxa"/>
          </w:tblCellMar>
        </w:tblPrEx>
        <w:trPr>
          <w:trHeight w:val="937" w:hRule="atLeast"/>
          <w:jc w:val="center"/>
        </w:trPr>
        <w:tc>
          <w:tcPr>
            <w:tcW w:w="5013" w:type="dxa"/>
            <w:vAlign w:val="center"/>
          </w:tcPr>
          <w:p w14:paraId="457738D3">
            <w:pPr>
              <w:pStyle w:val="25"/>
              <w:keepNext w:val="0"/>
              <w:keepLines w:val="0"/>
              <w:pageBreakBefore w:val="0"/>
              <w:wordWrap w:val="0"/>
              <w:overflowPunct/>
              <w:topLinePunct w:val="0"/>
              <w:bidi w:val="0"/>
              <w:snapToGrid w:val="0"/>
              <w:spacing w:line="240" w:lineRule="auto"/>
              <w:jc w:val="distribute"/>
              <w:rPr>
                <w:rStyle w:val="26"/>
                <w:rFonts w:hint="eastAsia" w:ascii="宋体" w:hAnsi="宋体" w:eastAsia="宋体" w:cs="宋体"/>
                <w:color w:val="000000" w:themeColor="text1"/>
                <w:spacing w:val="0"/>
                <w:kern w:val="0"/>
                <w:sz w:val="28"/>
                <w:szCs w:val="28"/>
                <w:highlight w:val="none"/>
                <w14:textFill>
                  <w14:solidFill>
                    <w14:schemeClr w14:val="tx1"/>
                  </w14:solidFill>
                </w14:textFill>
              </w:rPr>
            </w:pPr>
            <w:r>
              <w:rPr>
                <w:rStyle w:val="26"/>
                <w:rFonts w:hint="eastAsia" w:ascii="宋体" w:hAnsi="宋体" w:eastAsia="宋体" w:cs="宋体"/>
                <w:color w:val="000000" w:themeColor="text1"/>
                <w:spacing w:val="0"/>
                <w:kern w:val="0"/>
                <w:sz w:val="28"/>
                <w:szCs w:val="28"/>
                <w:highlight w:val="none"/>
                <w14:textFill>
                  <w14:solidFill>
                    <w14:schemeClr w14:val="tx1"/>
                  </w14:solidFill>
                </w14:textFill>
              </w:rPr>
              <w:t xml:space="preserve"> 招标代理机构项目负责人（签字）：</w:t>
            </w:r>
          </w:p>
        </w:tc>
        <w:tc>
          <w:tcPr>
            <w:tcW w:w="4701" w:type="dxa"/>
            <w:vAlign w:val="center"/>
          </w:tcPr>
          <w:p w14:paraId="02AD201A">
            <w:pPr>
              <w:pStyle w:val="25"/>
              <w:keepNext w:val="0"/>
              <w:keepLines w:val="0"/>
              <w:pageBreakBefore w:val="0"/>
              <w:wordWrap w:val="0"/>
              <w:overflowPunct/>
              <w:topLinePunct w:val="0"/>
              <w:bidi w:val="0"/>
              <w:snapToGrid w:val="0"/>
              <w:spacing w:line="240" w:lineRule="auto"/>
              <w:rPr>
                <w:rStyle w:val="26"/>
                <w:rFonts w:hint="eastAsia" w:ascii="宋体" w:hAnsi="宋体" w:eastAsia="宋体" w:cs="宋体"/>
                <w:color w:val="000000" w:themeColor="text1"/>
                <w:spacing w:val="0"/>
                <w:kern w:val="0"/>
                <w:sz w:val="28"/>
                <w:szCs w:val="28"/>
                <w:highlight w:val="none"/>
                <w14:textFill>
                  <w14:solidFill>
                    <w14:schemeClr w14:val="tx1"/>
                  </w14:solidFill>
                </w14:textFill>
              </w:rPr>
            </w:pPr>
          </w:p>
        </w:tc>
      </w:tr>
      <w:tr w14:paraId="77ED4758">
        <w:tblPrEx>
          <w:tblCellMar>
            <w:top w:w="0" w:type="dxa"/>
            <w:left w:w="0" w:type="dxa"/>
            <w:bottom w:w="0" w:type="dxa"/>
            <w:right w:w="0" w:type="dxa"/>
          </w:tblCellMar>
        </w:tblPrEx>
        <w:trPr>
          <w:trHeight w:val="832" w:hRule="atLeast"/>
          <w:jc w:val="center"/>
        </w:trPr>
        <w:tc>
          <w:tcPr>
            <w:tcW w:w="5013" w:type="dxa"/>
            <w:vAlign w:val="center"/>
          </w:tcPr>
          <w:p w14:paraId="11F645AA">
            <w:pPr>
              <w:pStyle w:val="25"/>
              <w:keepNext w:val="0"/>
              <w:keepLines w:val="0"/>
              <w:pageBreakBefore w:val="0"/>
              <w:wordWrap w:val="0"/>
              <w:overflowPunct/>
              <w:topLinePunct w:val="0"/>
              <w:bidi w:val="0"/>
              <w:snapToGrid w:val="0"/>
              <w:spacing w:line="240" w:lineRule="auto"/>
              <w:jc w:val="distribute"/>
              <w:rPr>
                <w:rStyle w:val="26"/>
                <w:rFonts w:hint="eastAsia" w:ascii="宋体" w:hAnsi="宋体" w:eastAsia="宋体" w:cs="宋体"/>
                <w:color w:val="000000" w:themeColor="text1"/>
                <w:spacing w:val="0"/>
                <w:kern w:val="0"/>
                <w:sz w:val="28"/>
                <w:szCs w:val="28"/>
                <w:highlight w:val="none"/>
                <w14:textFill>
                  <w14:solidFill>
                    <w14:schemeClr w14:val="tx1"/>
                  </w14:solidFill>
                </w14:textFill>
              </w:rPr>
            </w:pPr>
            <w:r>
              <w:rPr>
                <w:rStyle w:val="26"/>
                <w:rFonts w:hint="eastAsia" w:ascii="宋体" w:hAnsi="宋体" w:eastAsia="宋体" w:cs="宋体"/>
                <w:color w:val="000000" w:themeColor="text1"/>
                <w:spacing w:val="0"/>
                <w:kern w:val="0"/>
                <w:sz w:val="28"/>
                <w:szCs w:val="28"/>
                <w:highlight w:val="none"/>
                <w14:textFill>
                  <w14:solidFill>
                    <w14:schemeClr w14:val="tx1"/>
                  </w14:solidFill>
                </w14:textFill>
              </w:rPr>
              <w:t xml:space="preserve"> 招标文件编制日期：</w:t>
            </w:r>
          </w:p>
        </w:tc>
        <w:tc>
          <w:tcPr>
            <w:tcW w:w="4701" w:type="dxa"/>
            <w:vAlign w:val="center"/>
          </w:tcPr>
          <w:p w14:paraId="4CC93183">
            <w:pPr>
              <w:pStyle w:val="25"/>
              <w:keepNext w:val="0"/>
              <w:keepLines w:val="0"/>
              <w:pageBreakBefore w:val="0"/>
              <w:wordWrap w:val="0"/>
              <w:overflowPunct/>
              <w:topLinePunct w:val="0"/>
              <w:bidi w:val="0"/>
              <w:snapToGrid w:val="0"/>
              <w:spacing w:line="240" w:lineRule="auto"/>
              <w:rPr>
                <w:rStyle w:val="26"/>
                <w:rFonts w:hint="eastAsia" w:ascii="宋体" w:hAnsi="宋体" w:eastAsia="宋体" w:cs="宋体"/>
                <w:color w:val="000000" w:themeColor="text1"/>
                <w:spacing w:val="0"/>
                <w:kern w:val="0"/>
                <w:sz w:val="28"/>
                <w:szCs w:val="28"/>
                <w:highlight w:val="none"/>
                <w14:textFill>
                  <w14:solidFill>
                    <w14:schemeClr w14:val="tx1"/>
                  </w14:solidFill>
                </w14:textFill>
              </w:rPr>
            </w:pPr>
            <w:r>
              <w:rPr>
                <w:rStyle w:val="26"/>
                <w:rFonts w:hint="eastAsia" w:ascii="宋体" w:hAnsi="宋体" w:eastAsia="宋体" w:cs="宋体"/>
                <w:color w:val="000000" w:themeColor="text1"/>
                <w:spacing w:val="0"/>
                <w:kern w:val="0"/>
                <w:sz w:val="28"/>
                <w:szCs w:val="28"/>
                <w:highlight w:val="none"/>
                <w14:textFill>
                  <w14:solidFill>
                    <w14:schemeClr w14:val="tx1"/>
                  </w14:solidFill>
                </w14:textFill>
              </w:rPr>
              <w:t xml:space="preserve">  </w:t>
            </w:r>
            <w:r>
              <w:rPr>
                <w:rStyle w:val="26"/>
                <w:rFonts w:hint="eastAsia" w:ascii="宋体" w:hAnsi="宋体" w:eastAsia="宋体" w:cs="宋体"/>
                <w:color w:val="000000" w:themeColor="text1"/>
                <w:spacing w:val="0"/>
                <w:kern w:val="0"/>
                <w:sz w:val="28"/>
                <w:szCs w:val="28"/>
                <w:highlight w:val="none"/>
                <w:lang w:val="en-US" w:eastAsia="zh-CN"/>
                <w14:textFill>
                  <w14:solidFill>
                    <w14:schemeClr w14:val="tx1"/>
                  </w14:solidFill>
                </w14:textFill>
              </w:rPr>
              <w:t xml:space="preserve"> 2025  </w:t>
            </w:r>
            <w:r>
              <w:rPr>
                <w:rStyle w:val="26"/>
                <w:rFonts w:hint="eastAsia" w:ascii="宋体" w:hAnsi="宋体" w:eastAsia="宋体" w:cs="宋体"/>
                <w:color w:val="000000" w:themeColor="text1"/>
                <w:spacing w:val="0"/>
                <w:kern w:val="0"/>
                <w:sz w:val="28"/>
                <w:szCs w:val="28"/>
                <w:highlight w:val="none"/>
                <w14:textFill>
                  <w14:solidFill>
                    <w14:schemeClr w14:val="tx1"/>
                  </w14:solidFill>
                </w14:textFill>
              </w:rPr>
              <w:t>年</w:t>
            </w:r>
            <w:r>
              <w:rPr>
                <w:rStyle w:val="26"/>
                <w:rFonts w:hint="eastAsia" w:ascii="宋体" w:hAnsi="宋体" w:eastAsia="宋体" w:cs="宋体"/>
                <w:color w:val="000000" w:themeColor="text1"/>
                <w:spacing w:val="0"/>
                <w:kern w:val="0"/>
                <w:sz w:val="28"/>
                <w:szCs w:val="28"/>
                <w:highlight w:val="none"/>
                <w:lang w:val="en-US" w:eastAsia="zh-CN"/>
                <w14:textFill>
                  <w14:solidFill>
                    <w14:schemeClr w14:val="tx1"/>
                  </w14:solidFill>
                </w14:textFill>
              </w:rPr>
              <w:t xml:space="preserve"> 9  </w:t>
            </w:r>
            <w:r>
              <w:rPr>
                <w:rStyle w:val="26"/>
                <w:rFonts w:hint="eastAsia" w:ascii="宋体" w:hAnsi="宋体" w:eastAsia="宋体" w:cs="宋体"/>
                <w:color w:val="000000" w:themeColor="text1"/>
                <w:spacing w:val="0"/>
                <w:kern w:val="0"/>
                <w:sz w:val="28"/>
                <w:szCs w:val="28"/>
                <w:highlight w:val="none"/>
                <w14:textFill>
                  <w14:solidFill>
                    <w14:schemeClr w14:val="tx1"/>
                  </w14:solidFill>
                </w14:textFill>
              </w:rPr>
              <w:t>月</w:t>
            </w:r>
          </w:p>
        </w:tc>
      </w:tr>
    </w:tbl>
    <w:p w14:paraId="7B96492F">
      <w:pPr>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306B3DC9">
      <w:pPr>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p w14:paraId="0A6D314A">
      <w:pPr>
        <w:keepNext w:val="0"/>
        <w:keepLines w:val="0"/>
        <w:pageBreakBefore w:val="0"/>
        <w:wordWrap w:val="0"/>
        <w:overflowPunct/>
        <w:topLinePunct w:val="0"/>
        <w:bidi w:val="0"/>
        <w:jc w:val="center"/>
        <w:rPr>
          <w:rFonts w:hint="eastAsia" w:ascii="宋体" w:hAnsi="宋体" w:eastAsia="宋体" w:cs="宋体"/>
          <w:b/>
          <w:bCs/>
          <w:color w:val="000000" w:themeColor="text1"/>
          <w:spacing w:val="0"/>
          <w:sz w:val="28"/>
          <w:szCs w:val="28"/>
          <w:highlight w:val="none"/>
          <w14:textFill>
            <w14:solidFill>
              <w14:schemeClr w14:val="tx1"/>
            </w14:solidFill>
          </w14:textFill>
        </w:rPr>
        <w:sectPr>
          <w:headerReference r:id="rId4" w:type="default"/>
          <w:footerReference r:id="rId5"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088BE4E2">
      <w:pPr>
        <w:keepNext w:val="0"/>
        <w:keepLines w:val="0"/>
        <w:pageBreakBefore w:val="0"/>
        <w:wordWrap w:val="0"/>
        <w:overflowPunct/>
        <w:topLinePunct w:val="0"/>
        <w:bidi w:val="0"/>
        <w:jc w:val="center"/>
        <w:rPr>
          <w:rFonts w:hint="eastAsia" w:ascii="宋体" w:hAnsi="宋体" w:eastAsia="宋体" w:cs="宋体"/>
          <w:b/>
          <w:bCs/>
          <w:color w:val="000000" w:themeColor="text1"/>
          <w:spacing w:val="0"/>
          <w:sz w:val="28"/>
          <w:szCs w:val="28"/>
          <w:highlight w:val="none"/>
          <w14:textFill>
            <w14:solidFill>
              <w14:schemeClr w14:val="tx1"/>
            </w14:solidFill>
          </w14:textFill>
        </w:rPr>
      </w:pPr>
      <w:r>
        <w:rPr>
          <w:rFonts w:hint="eastAsia" w:ascii="宋体" w:hAnsi="宋体" w:eastAsia="宋体" w:cs="宋体"/>
          <w:b/>
          <w:bCs/>
          <w:color w:val="000000" w:themeColor="text1"/>
          <w:spacing w:val="0"/>
          <w:sz w:val="28"/>
          <w:szCs w:val="28"/>
          <w:highlight w:val="none"/>
          <w14:textFill>
            <w14:solidFill>
              <w14:schemeClr w14:val="tx1"/>
            </w14:solidFill>
          </w14:textFill>
        </w:rPr>
        <w:t>目录</w:t>
      </w:r>
    </w:p>
    <w:p w14:paraId="3FEBE4F9">
      <w:pPr>
        <w:pStyle w:val="9"/>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0"/>
          <w:sz w:val="24"/>
          <w:szCs w:val="24"/>
          <w:highlight w:val="none"/>
          <w14:textFill>
            <w14:solidFill>
              <w14:schemeClr w14:val="tx1"/>
            </w14:solidFill>
          </w14:textFill>
        </w:rPr>
        <w:instrText xml:space="preserve">TOC \o "1-3" \h \u </w:instrText>
      </w:r>
      <w:r>
        <w:rPr>
          <w:rFonts w:hint="eastAsia" w:ascii="宋体" w:hAnsi="宋体" w:eastAsia="宋体" w:cs="宋体"/>
          <w:color w:val="000000" w:themeColor="text1"/>
          <w:spacing w:val="0"/>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_Toc8003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第一章</w:t>
      </w:r>
      <w:r>
        <w:rPr>
          <w:rFonts w:hint="eastAsia" w:ascii="宋体" w:hAnsi="宋体" w:eastAsia="宋体" w:cs="宋体"/>
          <w:color w:val="000000" w:themeColor="text1"/>
          <w:spacing w:val="0"/>
          <w:szCs w:val="24"/>
          <w:highlight w:val="none"/>
          <w14:textFill>
            <w14:solidFill>
              <w14:schemeClr w14:val="tx1"/>
            </w14:solidFill>
          </w14:textFill>
        </w:rPr>
        <w:t xml:space="preserve"> </w:t>
      </w:r>
      <w:r>
        <w:rPr>
          <w:rFonts w:hint="eastAsia" w:ascii="宋体" w:hAnsi="宋体" w:eastAsia="宋体" w:cs="宋体"/>
          <w:bCs/>
          <w:color w:val="000000" w:themeColor="text1"/>
          <w:spacing w:val="0"/>
          <w:szCs w:val="24"/>
          <w:highlight w:val="none"/>
          <w14:textFill>
            <w14:solidFill>
              <w14:schemeClr w14:val="tx1"/>
            </w14:solidFill>
          </w14:textFill>
        </w:rPr>
        <w:t>投标人须知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_Toc8003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6986022E">
      <w:pPr>
        <w:pStyle w:val="10"/>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_Toc22190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第一节</w:t>
      </w:r>
      <w:r>
        <w:rPr>
          <w:rFonts w:hint="eastAsia" w:ascii="宋体" w:hAnsi="宋体" w:eastAsia="宋体" w:cs="宋体"/>
          <w:color w:val="000000" w:themeColor="text1"/>
          <w:spacing w:val="0"/>
          <w:szCs w:val="24"/>
          <w:highlight w:val="none"/>
          <w14:textFill>
            <w14:solidFill>
              <w14:schemeClr w14:val="tx1"/>
            </w14:solidFill>
          </w14:textFill>
        </w:rPr>
        <w:t xml:space="preserve"> </w:t>
      </w:r>
      <w:r>
        <w:rPr>
          <w:rFonts w:hint="eastAsia" w:ascii="宋体" w:hAnsi="宋体" w:eastAsia="宋体" w:cs="宋体"/>
          <w:bCs/>
          <w:color w:val="000000" w:themeColor="text1"/>
          <w:spacing w:val="0"/>
          <w:szCs w:val="24"/>
          <w:highlight w:val="none"/>
          <w14:textFill>
            <w14:solidFill>
              <w14:schemeClr w14:val="tx1"/>
            </w14:solidFill>
          </w14:textFill>
        </w:rPr>
        <w:t>投标人须知前附表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_Toc22190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13E57457">
      <w:pPr>
        <w:pStyle w:val="10"/>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_Toc22491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第二节 重要事项时间地点一览表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_Toc22491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679961B0">
      <w:pPr>
        <w:pStyle w:val="10"/>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_Toc24376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第三节</w:t>
      </w:r>
      <w:r>
        <w:rPr>
          <w:rFonts w:hint="eastAsia" w:ascii="宋体" w:hAnsi="宋体" w:eastAsia="宋体" w:cs="宋体"/>
          <w:color w:val="000000" w:themeColor="text1"/>
          <w:spacing w:val="0"/>
          <w:szCs w:val="24"/>
          <w:highlight w:val="none"/>
          <w14:textFill>
            <w14:solidFill>
              <w14:schemeClr w14:val="tx1"/>
            </w14:solidFill>
          </w14:textFill>
        </w:rPr>
        <w:t xml:space="preserve"> </w:t>
      </w:r>
      <w:r>
        <w:rPr>
          <w:rFonts w:hint="eastAsia" w:ascii="宋体" w:hAnsi="宋体" w:eastAsia="宋体" w:cs="宋体"/>
          <w:bCs/>
          <w:color w:val="000000" w:themeColor="text1"/>
          <w:spacing w:val="0"/>
          <w:szCs w:val="24"/>
          <w:highlight w:val="none"/>
          <w14:textFill>
            <w14:solidFill>
              <w14:schemeClr w14:val="tx1"/>
            </w14:solidFill>
          </w14:textFill>
        </w:rPr>
        <w:t>投标人须知正文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_Toc24376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64FBAC02">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_Toc25829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3．招标文件的获取</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_Toc25829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5B3F2E69">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_Toc2883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4</w:t>
      </w:r>
      <w:r>
        <w:rPr>
          <w:rFonts w:hint="eastAsia" w:ascii="宋体" w:hAnsi="宋体" w:eastAsia="宋体" w:cs="宋体"/>
          <w:bCs/>
          <w:color w:val="000000" w:themeColor="text1"/>
          <w:spacing w:val="0"/>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pacing w:val="0"/>
          <w:szCs w:val="24"/>
          <w:highlight w:val="none"/>
          <w14:textFill>
            <w14:solidFill>
              <w14:schemeClr w14:val="tx1"/>
            </w14:solidFill>
          </w14:textFill>
        </w:rPr>
        <w:t>．工期要求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_Toc2883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5B8FC595">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_Toc4580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5</w:t>
      </w:r>
      <w:r>
        <w:rPr>
          <w:rFonts w:hint="eastAsia" w:ascii="宋体" w:hAnsi="宋体" w:eastAsia="宋体" w:cs="宋体"/>
          <w:bCs/>
          <w:color w:val="000000" w:themeColor="text1"/>
          <w:spacing w:val="0"/>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pacing w:val="0"/>
          <w:szCs w:val="24"/>
          <w:highlight w:val="none"/>
          <w14:textFill>
            <w14:solidFill>
              <w14:schemeClr w14:val="tx1"/>
            </w14:solidFill>
          </w14:textFill>
        </w:rPr>
        <w:t>．质量标准和材料、机械要求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_Toc4580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29B805F5">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_Toc28930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6 ．施工条件及现场踏勘</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_Toc28930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4474A26E">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_Toc6678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7 ．招标文件的提问和答疑</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_Toc6678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4FC2B6FF">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_Toc11587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8 ．</w:t>
      </w:r>
      <w:r>
        <w:rPr>
          <w:rFonts w:hint="eastAsia" w:ascii="宋体" w:hAnsi="宋体" w:eastAsia="宋体" w:cs="宋体"/>
          <w:bCs/>
          <w:color w:val="000000" w:themeColor="text1"/>
          <w:spacing w:val="0"/>
          <w:szCs w:val="24"/>
          <w:highlight w:val="none"/>
          <w:lang w:val="en-US" w:eastAsia="zh-CN"/>
          <w14:textFill>
            <w14:solidFill>
              <w14:schemeClr w14:val="tx1"/>
            </w14:solidFill>
          </w14:textFill>
        </w:rPr>
        <w:t>最高投标限价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_Toc11587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1EE83404">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_Toc25453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9 ．投标报价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_Toc25453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5F4B9BF6">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_Toc24841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10 ．投标文件的编制要求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_Toc24841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60958858">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_Toc31321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 xml:space="preserve">11. </w:t>
      </w:r>
      <w:r>
        <w:rPr>
          <w:rFonts w:hint="eastAsia" w:ascii="宋体" w:hAnsi="宋体" w:eastAsia="宋体" w:cs="宋体"/>
          <w:color w:val="000000" w:themeColor="text1"/>
          <w:spacing w:val="0"/>
          <w:szCs w:val="24"/>
          <w:highlight w:val="none"/>
          <w14:textFill>
            <w14:solidFill>
              <w14:schemeClr w14:val="tx1"/>
            </w14:solidFill>
          </w14:textFill>
        </w:rPr>
        <w:t>电子投标：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_Toc31321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089D0497">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_Toc24753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lang w:val="en-US" w:eastAsia="zh-CN"/>
          <w14:textFill>
            <w14:solidFill>
              <w14:schemeClr w14:val="tx1"/>
            </w14:solidFill>
          </w14:textFill>
        </w:rPr>
        <w:t>12.</w:t>
      </w:r>
      <w:r>
        <w:rPr>
          <w:rFonts w:hint="eastAsia" w:ascii="宋体" w:hAnsi="宋体" w:eastAsia="宋体" w:cs="宋体"/>
          <w:bCs/>
          <w:color w:val="000000" w:themeColor="text1"/>
          <w:spacing w:val="0"/>
          <w:w w:val="101"/>
          <w:szCs w:val="24"/>
          <w:highlight w:val="none"/>
          <w14:textFill>
            <w14:solidFill>
              <w14:schemeClr w14:val="tx1"/>
            </w14:solidFill>
          </w14:textFill>
        </w:rPr>
        <w:t xml:space="preserve"> </w:t>
      </w:r>
      <w:r>
        <w:rPr>
          <w:rFonts w:hint="eastAsia" w:ascii="宋体" w:hAnsi="宋体" w:eastAsia="宋体" w:cs="宋体"/>
          <w:bCs/>
          <w:color w:val="000000" w:themeColor="text1"/>
          <w:spacing w:val="0"/>
          <w:szCs w:val="24"/>
          <w:highlight w:val="none"/>
          <w14:textFill>
            <w14:solidFill>
              <w14:schemeClr w14:val="tx1"/>
            </w14:solidFill>
          </w14:textFill>
        </w:rPr>
        <w:t>电子投标及投标解密失败及突发情况的补救方案</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_Toc24753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2E8A8891">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_Toc7358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13 ．投标文件的提交</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_Toc7358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4678C619">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_Toc18822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14 ．开标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_Toc18822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03387FFC">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_Toc21970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15 ．评标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_Toc21970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3B540AB7">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_Toc6322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16 ．中标候选人公示</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_Toc6322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1932F6AF">
      <w:pPr>
        <w:pStyle w:val="10"/>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_Toc31159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第四节</w:t>
      </w:r>
      <w:r>
        <w:rPr>
          <w:rFonts w:hint="eastAsia" w:ascii="宋体" w:hAnsi="宋体" w:eastAsia="宋体" w:cs="宋体"/>
          <w:color w:val="000000" w:themeColor="text1"/>
          <w:spacing w:val="0"/>
          <w:szCs w:val="24"/>
          <w:highlight w:val="none"/>
          <w14:textFill>
            <w14:solidFill>
              <w14:schemeClr w14:val="tx1"/>
            </w14:solidFill>
          </w14:textFill>
        </w:rPr>
        <w:t xml:space="preserve"> </w:t>
      </w:r>
      <w:r>
        <w:rPr>
          <w:rFonts w:hint="eastAsia" w:ascii="宋体" w:hAnsi="宋体" w:eastAsia="宋体" w:cs="宋体"/>
          <w:bCs/>
          <w:color w:val="000000" w:themeColor="text1"/>
          <w:spacing w:val="0"/>
          <w:szCs w:val="24"/>
          <w:highlight w:val="none"/>
          <w14:textFill>
            <w14:solidFill>
              <w14:schemeClr w14:val="tx1"/>
            </w14:solidFill>
          </w14:textFill>
        </w:rPr>
        <w:t>否决投标条件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_Toc31159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2493722A">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_Toc30440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1 ．资格评审环节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_Toc30440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1CFA9656">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_Toc1800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2 ．形式评审环节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_Toc1800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2E62CB7E">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_Toc17985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3 ．响应性评审环节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_Toc17985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6B9B9C80">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_Toc26039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4 ．其他</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_Toc26039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43629609">
      <w:pPr>
        <w:pStyle w:val="9"/>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_Toc11299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第二章</w:t>
      </w:r>
      <w:r>
        <w:rPr>
          <w:rFonts w:hint="eastAsia" w:ascii="宋体" w:hAnsi="宋体" w:eastAsia="宋体" w:cs="宋体"/>
          <w:color w:val="000000" w:themeColor="text1"/>
          <w:spacing w:val="0"/>
          <w:szCs w:val="24"/>
          <w:highlight w:val="none"/>
          <w14:textFill>
            <w14:solidFill>
              <w14:schemeClr w14:val="tx1"/>
            </w14:solidFill>
          </w14:textFill>
        </w:rPr>
        <w:t xml:space="preserve"> </w:t>
      </w:r>
      <w:r>
        <w:rPr>
          <w:rFonts w:hint="eastAsia" w:ascii="宋体" w:hAnsi="宋体" w:eastAsia="宋体" w:cs="宋体"/>
          <w:bCs/>
          <w:color w:val="000000" w:themeColor="text1"/>
          <w:spacing w:val="0"/>
          <w:szCs w:val="24"/>
          <w:highlight w:val="none"/>
          <w14:textFill>
            <w14:solidFill>
              <w14:schemeClr w14:val="tx1"/>
            </w14:solidFill>
          </w14:textFill>
        </w:rPr>
        <w:t>中标人须知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_Toc11299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7D7BC79B">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_Toc30185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1 ．中标通知书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_Toc30185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222C4832">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_Toc24356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2 ．中标结果公示</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_Toc24356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4D0F79C1">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_Toc14012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3 ．履约保证</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_Toc14012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728D455D">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_Toc331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4 ．合同订立</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_Toc331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42D77FA3">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_Toc19471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5 ．放弃中标的处理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_Toc19471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096F560B">
      <w:pPr>
        <w:pStyle w:val="9"/>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_Toc20767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第三章</w:t>
      </w:r>
      <w:r>
        <w:rPr>
          <w:rFonts w:hint="eastAsia" w:ascii="宋体" w:hAnsi="宋体" w:eastAsia="宋体" w:cs="宋体"/>
          <w:color w:val="000000" w:themeColor="text1"/>
          <w:spacing w:val="0"/>
          <w:szCs w:val="24"/>
          <w:highlight w:val="none"/>
          <w14:textFill>
            <w14:solidFill>
              <w14:schemeClr w14:val="tx1"/>
            </w14:solidFill>
          </w14:textFill>
        </w:rPr>
        <w:t xml:space="preserve"> </w:t>
      </w:r>
      <w:r>
        <w:rPr>
          <w:rFonts w:hint="eastAsia" w:ascii="宋体" w:hAnsi="宋体" w:eastAsia="宋体" w:cs="宋体"/>
          <w:bCs/>
          <w:color w:val="000000" w:themeColor="text1"/>
          <w:spacing w:val="0"/>
          <w:szCs w:val="24"/>
          <w:highlight w:val="none"/>
          <w14:textFill>
            <w14:solidFill>
              <w14:schemeClr w14:val="tx1"/>
            </w14:solidFill>
          </w14:textFill>
        </w:rPr>
        <w:t>拟签订合同的主要条款</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_Toc20767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4428BC9C">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_Toc9163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1 ．工程承包方式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_Toc9163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133FB75A">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_Toc4193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2 ．工程结算原则</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_Toc4193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08A6777E">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_Toc15937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3. 工程付款办法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_Toc15937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5F899C6E">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_Toc13671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4 ．其他专用合同条款</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_Toc13671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646E6406">
      <w:pPr>
        <w:pStyle w:val="9"/>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_Toc31378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第四章</w:t>
      </w:r>
      <w:r>
        <w:rPr>
          <w:rFonts w:hint="eastAsia" w:ascii="宋体" w:hAnsi="宋体" w:eastAsia="宋体" w:cs="宋体"/>
          <w:color w:val="000000" w:themeColor="text1"/>
          <w:spacing w:val="0"/>
          <w:szCs w:val="24"/>
          <w:highlight w:val="none"/>
          <w14:textFill>
            <w14:solidFill>
              <w14:schemeClr w14:val="tx1"/>
            </w14:solidFill>
          </w14:textFill>
        </w:rPr>
        <w:t xml:space="preserve"> </w:t>
      </w:r>
      <w:r>
        <w:rPr>
          <w:rFonts w:hint="eastAsia" w:ascii="宋体" w:hAnsi="宋体" w:eastAsia="宋体" w:cs="宋体"/>
          <w:bCs/>
          <w:color w:val="000000" w:themeColor="text1"/>
          <w:spacing w:val="0"/>
          <w:szCs w:val="24"/>
          <w:highlight w:val="none"/>
          <w14:textFill>
            <w14:solidFill>
              <w14:schemeClr w14:val="tx1"/>
            </w14:solidFill>
          </w14:textFill>
        </w:rPr>
        <w:t>技术要求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_Toc31378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6F116766">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_Toc25709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1 ．房屋建筑工程建设项目</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_Toc25709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7F8D892C">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_Toc3901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2 ．市政基础设施工程建设项目</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_Toc3901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43BE5601">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_Toc22617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3 ．备查要求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_Toc22617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17A2BB14">
      <w:pPr>
        <w:pStyle w:val="9"/>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_Toc22604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第五章</w:t>
      </w:r>
      <w:r>
        <w:rPr>
          <w:rFonts w:hint="eastAsia" w:ascii="宋体" w:hAnsi="宋体" w:eastAsia="宋体" w:cs="宋体"/>
          <w:color w:val="000000" w:themeColor="text1"/>
          <w:spacing w:val="0"/>
          <w:szCs w:val="24"/>
          <w:highlight w:val="none"/>
          <w14:textFill>
            <w14:solidFill>
              <w14:schemeClr w14:val="tx1"/>
            </w14:solidFill>
          </w14:textFill>
        </w:rPr>
        <w:t xml:space="preserve"> </w:t>
      </w:r>
      <w:r>
        <w:rPr>
          <w:rFonts w:hint="eastAsia" w:ascii="宋体" w:hAnsi="宋体" w:eastAsia="宋体" w:cs="宋体"/>
          <w:bCs/>
          <w:color w:val="000000" w:themeColor="text1"/>
          <w:spacing w:val="0"/>
          <w:szCs w:val="24"/>
          <w:highlight w:val="none"/>
          <w14:textFill>
            <w14:solidFill>
              <w14:schemeClr w14:val="tx1"/>
            </w14:solidFill>
          </w14:textFill>
        </w:rPr>
        <w:t>图纸和招标工程量清单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_Toc22604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1CE775D2">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_Toc24268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1 ．图纸</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_Toc24268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71516ABD">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_Toc12212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2 ．招标工程量清单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_Toc12212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51C504CA">
      <w:pPr>
        <w:pStyle w:val="9"/>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_Toc26988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第六章</w:t>
      </w:r>
      <w:r>
        <w:rPr>
          <w:rFonts w:hint="eastAsia" w:ascii="宋体" w:hAnsi="宋体" w:eastAsia="宋体" w:cs="宋体"/>
          <w:color w:val="000000" w:themeColor="text1"/>
          <w:spacing w:val="0"/>
          <w:szCs w:val="24"/>
          <w:highlight w:val="none"/>
          <w14:textFill>
            <w14:solidFill>
              <w14:schemeClr w14:val="tx1"/>
            </w14:solidFill>
          </w14:textFill>
        </w:rPr>
        <w:t xml:space="preserve"> </w:t>
      </w:r>
      <w:r>
        <w:rPr>
          <w:rFonts w:hint="eastAsia" w:ascii="宋体" w:hAnsi="宋体" w:eastAsia="宋体" w:cs="宋体"/>
          <w:bCs/>
          <w:color w:val="000000" w:themeColor="text1"/>
          <w:spacing w:val="0"/>
          <w:szCs w:val="24"/>
          <w:highlight w:val="none"/>
          <w14:textFill>
            <w14:solidFill>
              <w14:schemeClr w14:val="tx1"/>
            </w14:solidFill>
          </w14:textFill>
        </w:rPr>
        <w:t>投标文件格式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_Toc26988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20CF3578">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_Toc27109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格式一</w:t>
      </w:r>
      <w:r>
        <w:rPr>
          <w:rFonts w:hint="eastAsia" w:ascii="宋体" w:hAnsi="宋体" w:eastAsia="宋体" w:cs="宋体"/>
          <w:color w:val="000000" w:themeColor="text1"/>
          <w:spacing w:val="0"/>
          <w:szCs w:val="24"/>
          <w:highlight w:val="none"/>
          <w14:textFill>
            <w14:solidFill>
              <w14:schemeClr w14:val="tx1"/>
            </w14:solidFill>
          </w14:textFill>
        </w:rPr>
        <w:t xml:space="preserve"> </w:t>
      </w:r>
      <w:r>
        <w:rPr>
          <w:rFonts w:hint="eastAsia" w:ascii="宋体" w:hAnsi="宋体" w:eastAsia="宋体" w:cs="宋体"/>
          <w:bCs/>
          <w:color w:val="000000" w:themeColor="text1"/>
          <w:spacing w:val="0"/>
          <w:szCs w:val="24"/>
          <w:highlight w:val="none"/>
          <w14:textFill>
            <w14:solidFill>
              <w14:schemeClr w14:val="tx1"/>
            </w14:solidFill>
          </w14:textFill>
        </w:rPr>
        <w:t>封面</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_Toc27109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7F11ACED">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_Toc1740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格式二 投标函</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_Toc1740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5513C45E">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_Toc8087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格式三 各项承诺一览表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_Toc8087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6CC963F6">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_Toc26469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格式四 授权委托书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_Toc26469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0EEF6F1A">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_Toc30558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格式五 法定代表人身份证明</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_Toc30558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685B08A3">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_Toc30582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格式六 联合体协议书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_Toc30582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33F14DBE">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_Toc29841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格式七 投标人基本情况表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_Toc29841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34D17A5C">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_Toc7370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格式八 项目经理简历表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_Toc7370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074388BE">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_Toc15988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格式九 项目经理任职声明</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_Toc15988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72578C93">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_Toc24491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格式十 项目技术负责人简历表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_Toc24491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7144ADFA">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_Toc10709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格式十一 项目管理机构组成表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_Toc10709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48C2A88E">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_Toc16536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格式十二 建造师查询页（有效期+建造师签字）</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_Toc16536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5705E9B9">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_Toc24700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格式十三</w:t>
      </w:r>
      <w:r>
        <w:rPr>
          <w:rFonts w:hint="eastAsia" w:ascii="宋体" w:hAnsi="宋体" w:eastAsia="宋体" w:cs="宋体"/>
          <w:bCs/>
          <w:color w:val="000000" w:themeColor="text1"/>
          <w:spacing w:val="0"/>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pacing w:val="0"/>
          <w:szCs w:val="22"/>
          <w:highlight w:val="none"/>
          <w14:textFill>
            <w14:solidFill>
              <w14:schemeClr w14:val="tx1"/>
            </w14:solidFill>
          </w14:textFill>
        </w:rPr>
        <w:t>危险性较大的分部分项工程清单及超过一定规模的危险性较大的分部分项工程清单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_Toc24700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44BB8236">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_Toc18547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格式十四</w:t>
      </w:r>
      <w:r>
        <w:rPr>
          <w:rFonts w:hint="eastAsia" w:ascii="宋体" w:hAnsi="宋体" w:eastAsia="宋体" w:cs="宋体"/>
          <w:bCs/>
          <w:color w:val="000000" w:themeColor="text1"/>
          <w:spacing w:val="0"/>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pacing w:val="0"/>
          <w:position w:val="3"/>
          <w:szCs w:val="21"/>
          <w:highlight w:val="none"/>
          <w14:textFill>
            <w14:solidFill>
              <w14:schemeClr w14:val="tx1"/>
            </w14:solidFill>
          </w14:textFill>
        </w:rPr>
        <w:t>投标保证金信用承诺函</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_Toc18547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0B8C94A2">
      <w:pPr>
        <w:pStyle w:val="6"/>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_Toc7449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格式十</w:t>
      </w:r>
      <w:r>
        <w:rPr>
          <w:rFonts w:hint="eastAsia" w:ascii="宋体" w:hAnsi="宋体" w:eastAsia="宋体" w:cs="宋体"/>
          <w:bCs/>
          <w:color w:val="000000" w:themeColor="text1"/>
          <w:spacing w:val="0"/>
          <w:szCs w:val="24"/>
          <w:highlight w:val="none"/>
          <w:lang w:eastAsia="zh-CN"/>
          <w14:textFill>
            <w14:solidFill>
              <w14:schemeClr w14:val="tx1"/>
            </w14:solidFill>
          </w14:textFill>
        </w:rPr>
        <w:t>五</w:t>
      </w:r>
      <w:r>
        <w:rPr>
          <w:rFonts w:hint="eastAsia" w:ascii="宋体" w:hAnsi="宋体" w:eastAsia="宋体" w:cs="宋体"/>
          <w:bCs/>
          <w:color w:val="000000" w:themeColor="text1"/>
          <w:spacing w:val="0"/>
          <w:szCs w:val="24"/>
          <w:highlight w:val="none"/>
          <w14:textFill>
            <w14:solidFill>
              <w14:schemeClr w14:val="tx1"/>
            </w14:solidFill>
          </w14:textFill>
        </w:rPr>
        <w:t xml:space="preserve">  原件一览表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_Toc7449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51FB1591">
      <w:pPr>
        <w:pStyle w:val="10"/>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_Toc3896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第七章</w:t>
      </w:r>
      <w:r>
        <w:rPr>
          <w:rFonts w:hint="eastAsia" w:ascii="宋体" w:hAnsi="宋体" w:eastAsia="宋体" w:cs="宋体"/>
          <w:color w:val="000000" w:themeColor="text1"/>
          <w:spacing w:val="0"/>
          <w:szCs w:val="24"/>
          <w:highlight w:val="none"/>
          <w14:textFill>
            <w14:solidFill>
              <w14:schemeClr w14:val="tx1"/>
            </w14:solidFill>
          </w14:textFill>
        </w:rPr>
        <w:t xml:space="preserve"> </w:t>
      </w:r>
      <w:r>
        <w:rPr>
          <w:rFonts w:hint="eastAsia" w:ascii="宋体" w:hAnsi="宋体" w:eastAsia="宋体" w:cs="宋体"/>
          <w:bCs/>
          <w:color w:val="000000" w:themeColor="text1"/>
          <w:spacing w:val="0"/>
          <w:szCs w:val="24"/>
          <w:highlight w:val="none"/>
          <w14:textFill>
            <w14:solidFill>
              <w14:schemeClr w14:val="tx1"/>
            </w14:solidFill>
          </w14:textFill>
        </w:rPr>
        <w:t>建设工程施工合同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_Toc3896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7CE8F2FC">
      <w:pPr>
        <w:keepNext w:val="0"/>
        <w:keepLines w:val="0"/>
        <w:pageBreakBefore w:val="0"/>
        <w:wordWrap w:val="0"/>
        <w:overflowPunct/>
        <w:topLinePunct w:val="0"/>
        <w:bidi w:val="0"/>
        <w:spacing w:line="220" w:lineRule="auto"/>
        <w:jc w:val="center"/>
        <w:rPr>
          <w:rFonts w:hint="eastAsia" w:ascii="宋体" w:hAnsi="宋体" w:eastAsia="宋体" w:cs="宋体"/>
          <w:color w:val="000000" w:themeColor="text1"/>
          <w:spacing w:val="0"/>
          <w:sz w:val="24"/>
          <w:szCs w:val="24"/>
          <w:highlight w:val="none"/>
          <w14:textFill>
            <w14:solidFill>
              <w14:schemeClr w14:val="tx1"/>
            </w14:solidFill>
          </w14:textFill>
        </w:rPr>
        <w:sectPr>
          <w:footerReference r:id="rId6" w:type="default"/>
          <w:pgSz w:w="11906" w:h="16839"/>
          <w:pgMar w:top="1440" w:right="1080" w:bottom="1440" w:left="1080" w:header="1200" w:footer="1134"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73063668">
      <w:pPr>
        <w:pStyle w:val="5"/>
        <w:keepNext w:val="0"/>
        <w:keepLines w:val="0"/>
        <w:pageBreakBefore w:val="0"/>
        <w:wordWrap w:val="0"/>
        <w:overflowPunct/>
        <w:topLinePunct w:val="0"/>
        <w:bidi w:val="0"/>
        <w:spacing w:line="272" w:lineRule="auto"/>
        <w:rPr>
          <w:rFonts w:hint="eastAsia" w:ascii="宋体" w:hAnsi="宋体" w:eastAsia="宋体" w:cs="宋体"/>
          <w:color w:val="000000" w:themeColor="text1"/>
          <w:spacing w:val="0"/>
          <w:highlight w:val="none"/>
          <w14:textFill>
            <w14:solidFill>
              <w14:schemeClr w14:val="tx1"/>
            </w14:solidFill>
          </w14:textFill>
        </w:rPr>
      </w:pPr>
    </w:p>
    <w:p w14:paraId="49639CDB">
      <w:pPr>
        <w:keepNext w:val="0"/>
        <w:keepLines w:val="0"/>
        <w:pageBreakBefore w:val="0"/>
        <w:wordWrap w:val="0"/>
        <w:overflowPunct/>
        <w:topLinePunct w:val="0"/>
        <w:bidi w:val="0"/>
        <w:spacing w:before="78" w:line="219" w:lineRule="auto"/>
        <w:ind w:left="3416"/>
        <w:outlineLvl w:val="0"/>
        <w:rPr>
          <w:rFonts w:hint="eastAsia" w:ascii="宋体" w:hAnsi="宋体" w:eastAsia="宋体" w:cs="宋体"/>
          <w:color w:val="000000" w:themeColor="text1"/>
          <w:spacing w:val="0"/>
          <w:sz w:val="24"/>
          <w:szCs w:val="24"/>
          <w:highlight w:val="none"/>
          <w14:textFill>
            <w14:solidFill>
              <w14:schemeClr w14:val="tx1"/>
            </w14:solidFill>
          </w14:textFill>
        </w:rPr>
      </w:pPr>
      <w:bookmarkStart w:id="4" w:name="bookmark1"/>
      <w:bookmarkEnd w:id="4"/>
      <w:bookmarkStart w:id="5" w:name="_Toc8003"/>
      <w:r>
        <w:rPr>
          <w:rFonts w:hint="eastAsia" w:ascii="宋体" w:hAnsi="宋体" w:eastAsia="宋体" w:cs="宋体"/>
          <w:b/>
          <w:bCs/>
          <w:color w:val="000000" w:themeColor="text1"/>
          <w:spacing w:val="0"/>
          <w:sz w:val="24"/>
          <w:szCs w:val="24"/>
          <w:highlight w:val="none"/>
          <w14:textFill>
            <w14:solidFill>
              <w14:schemeClr w14:val="tx1"/>
            </w14:solidFill>
          </w14:textFill>
        </w:rPr>
        <w:t>第一章</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投标人须知</w:t>
      </w:r>
      <w:bookmarkEnd w:id="5"/>
    </w:p>
    <w:p w14:paraId="0C219C57">
      <w:pPr>
        <w:keepNext w:val="0"/>
        <w:keepLines w:val="0"/>
        <w:pageBreakBefore w:val="0"/>
        <w:wordWrap w:val="0"/>
        <w:overflowPunct/>
        <w:topLinePunct w:val="0"/>
        <w:bidi w:val="0"/>
        <w:spacing w:before="156" w:line="219" w:lineRule="auto"/>
        <w:ind w:left="17"/>
        <w:outlineLvl w:val="1"/>
        <w:rPr>
          <w:rFonts w:hint="eastAsia" w:ascii="宋体" w:hAnsi="宋体" w:eastAsia="宋体" w:cs="宋体"/>
          <w:color w:val="000000" w:themeColor="text1"/>
          <w:spacing w:val="0"/>
          <w:sz w:val="24"/>
          <w:szCs w:val="24"/>
          <w:highlight w:val="none"/>
          <w14:textFill>
            <w14:solidFill>
              <w14:schemeClr w14:val="tx1"/>
            </w14:solidFill>
          </w14:textFill>
        </w:rPr>
      </w:pPr>
      <w:bookmarkStart w:id="6" w:name="bookmark3"/>
      <w:bookmarkEnd w:id="6"/>
      <w:bookmarkStart w:id="7" w:name="_Toc22190"/>
      <w:r>
        <w:rPr>
          <w:rFonts w:hint="eastAsia" w:ascii="宋体" w:hAnsi="宋体" w:eastAsia="宋体" w:cs="宋体"/>
          <w:b/>
          <w:bCs/>
          <w:color w:val="000000" w:themeColor="text1"/>
          <w:spacing w:val="0"/>
          <w:sz w:val="24"/>
          <w:szCs w:val="24"/>
          <w:highlight w:val="none"/>
          <w14:textFill>
            <w14:solidFill>
              <w14:schemeClr w14:val="tx1"/>
            </w14:solidFill>
          </w14:textFill>
        </w:rPr>
        <w:t>第一节</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投标人须知前附表</w:t>
      </w:r>
      <w:bookmarkEnd w:id="7"/>
    </w:p>
    <w:p w14:paraId="451443B4">
      <w:pPr>
        <w:keepNext w:val="0"/>
        <w:keepLines w:val="0"/>
        <w:pageBreakBefore w:val="0"/>
        <w:wordWrap w:val="0"/>
        <w:overflowPunct/>
        <w:topLinePunct w:val="0"/>
        <w:bidi w:val="0"/>
        <w:spacing w:before="25"/>
        <w:rPr>
          <w:rFonts w:hint="eastAsia" w:ascii="宋体" w:hAnsi="宋体" w:eastAsia="宋体" w:cs="宋体"/>
          <w:color w:val="000000" w:themeColor="text1"/>
          <w:spacing w:val="0"/>
          <w:highlight w:val="none"/>
          <w14:textFill>
            <w14:solidFill>
              <w14:schemeClr w14:val="tx1"/>
            </w14:solidFill>
          </w14:textFill>
        </w:rPr>
      </w:pPr>
    </w:p>
    <w:tbl>
      <w:tblPr>
        <w:tblStyle w:val="14"/>
        <w:tblW w:w="100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860"/>
        <w:gridCol w:w="7656"/>
      </w:tblGrid>
      <w:tr w14:paraId="7ACC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82" w:type="dxa"/>
            <w:vAlign w:val="center"/>
          </w:tcPr>
          <w:p w14:paraId="4758577E">
            <w:pPr>
              <w:keepNext w:val="0"/>
              <w:keepLines w:val="0"/>
              <w:pageBreakBefore w:val="0"/>
              <w:wordWrap w:val="0"/>
              <w:overflowPunct/>
              <w:topLinePunct w:val="0"/>
              <w:bidi w:val="0"/>
              <w:spacing w:before="203" w:line="209" w:lineRule="auto"/>
              <w:ind w:left="0" w:leftChars="0" w:firstLine="0" w:firstLineChars="0"/>
              <w:jc w:val="cente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序号</w:t>
            </w:r>
          </w:p>
        </w:tc>
        <w:tc>
          <w:tcPr>
            <w:tcW w:w="1860" w:type="dxa"/>
            <w:vAlign w:val="center"/>
          </w:tcPr>
          <w:p w14:paraId="7B8ED52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内容</w:t>
            </w:r>
          </w:p>
        </w:tc>
        <w:tc>
          <w:tcPr>
            <w:tcW w:w="7656" w:type="dxa"/>
            <w:vAlign w:val="center"/>
          </w:tcPr>
          <w:p w14:paraId="0575BAF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说明与要求</w:t>
            </w:r>
          </w:p>
        </w:tc>
      </w:tr>
      <w:tr w14:paraId="53CA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34D199C6">
            <w:pPr>
              <w:keepNext w:val="0"/>
              <w:keepLines w:val="0"/>
              <w:pageBreakBefore w:val="0"/>
              <w:wordWrap w:val="0"/>
              <w:overflowPunct/>
              <w:topLinePunct w:val="0"/>
              <w:bidi w:val="0"/>
              <w:spacing w:before="223" w:line="195" w:lineRule="auto"/>
              <w:jc w:val="center"/>
              <w:rPr>
                <w:rFonts w:hint="eastAsia" w:ascii="宋体" w:hAnsi="宋体" w:eastAsia="宋体" w:cs="宋体"/>
                <w:color w:val="000000" w:themeColor="text1"/>
                <w:spacing w:val="0"/>
                <w:sz w:val="21"/>
                <w:szCs w:val="21"/>
                <w:highlight w:val="none"/>
                <w14:textFill>
                  <w14:solidFill>
                    <w14:schemeClr w14:val="tx1"/>
                  </w14:solidFill>
                </w14:textFill>
              </w:rPr>
            </w:pPr>
            <w:bookmarkStart w:id="8" w:name="OLE_LINK2" w:colFirst="2" w:colLast="2"/>
            <w:r>
              <w:rPr>
                <w:rFonts w:hint="eastAsia" w:ascii="宋体" w:hAnsi="宋体" w:eastAsia="宋体" w:cs="宋体"/>
                <w:color w:val="000000" w:themeColor="text1"/>
                <w:spacing w:val="0"/>
                <w:sz w:val="21"/>
                <w:szCs w:val="21"/>
                <w:highlight w:val="none"/>
                <w14:textFill>
                  <w14:solidFill>
                    <w14:schemeClr w14:val="tx1"/>
                  </w14:solidFill>
                </w14:textFill>
              </w:rPr>
              <w:t>1</w:t>
            </w:r>
          </w:p>
        </w:tc>
        <w:tc>
          <w:tcPr>
            <w:tcW w:w="1860" w:type="dxa"/>
            <w:vAlign w:val="center"/>
          </w:tcPr>
          <w:p w14:paraId="6E81DB5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项目名称</w:t>
            </w:r>
          </w:p>
        </w:tc>
        <w:tc>
          <w:tcPr>
            <w:tcW w:w="7656" w:type="dxa"/>
            <w:vAlign w:val="center"/>
          </w:tcPr>
          <w:p w14:paraId="62C2E40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新丰县梅坑河水质保障项目</w:t>
            </w:r>
          </w:p>
        </w:tc>
      </w:tr>
      <w:tr w14:paraId="1C49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82" w:type="dxa"/>
            <w:vAlign w:val="center"/>
          </w:tcPr>
          <w:p w14:paraId="5546609D">
            <w:pPr>
              <w:keepNext w:val="0"/>
              <w:keepLines w:val="0"/>
              <w:pageBreakBefore w:val="0"/>
              <w:wordWrap w:val="0"/>
              <w:overflowPunct/>
              <w:topLinePunct w:val="0"/>
              <w:bidi w:val="0"/>
              <w:spacing w:before="222" w:line="195" w:lineRule="auto"/>
              <w:jc w:val="center"/>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2</w:t>
            </w:r>
          </w:p>
        </w:tc>
        <w:tc>
          <w:tcPr>
            <w:tcW w:w="1860" w:type="dxa"/>
            <w:vAlign w:val="center"/>
          </w:tcPr>
          <w:p w14:paraId="28FBECF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项目业主</w:t>
            </w:r>
          </w:p>
        </w:tc>
        <w:tc>
          <w:tcPr>
            <w:tcW w:w="7656" w:type="dxa"/>
            <w:vAlign w:val="center"/>
          </w:tcPr>
          <w:p w14:paraId="6B4C0B9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新丰县梅坑镇人民政府</w:t>
            </w:r>
          </w:p>
        </w:tc>
      </w:tr>
      <w:tr w14:paraId="42F2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rPr>
        <w:tc>
          <w:tcPr>
            <w:tcW w:w="582" w:type="dxa"/>
            <w:vAlign w:val="center"/>
          </w:tcPr>
          <w:p w14:paraId="2FE483DA">
            <w:pPr>
              <w:keepNext w:val="0"/>
              <w:keepLines w:val="0"/>
              <w:pageBreakBefore w:val="0"/>
              <w:wordWrap w:val="0"/>
              <w:overflowPunct/>
              <w:topLinePunct w:val="0"/>
              <w:bidi w:val="0"/>
              <w:spacing w:before="58" w:line="195" w:lineRule="auto"/>
              <w:jc w:val="center"/>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3</w:t>
            </w:r>
          </w:p>
        </w:tc>
        <w:tc>
          <w:tcPr>
            <w:tcW w:w="1860" w:type="dxa"/>
            <w:vAlign w:val="center"/>
          </w:tcPr>
          <w:p w14:paraId="31041B2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项目批准部门及项目批准文号</w:t>
            </w:r>
          </w:p>
        </w:tc>
        <w:tc>
          <w:tcPr>
            <w:tcW w:w="7656" w:type="dxa"/>
            <w:vAlign w:val="center"/>
          </w:tcPr>
          <w:p w14:paraId="53C9404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新丰县发展和改革局</w:t>
            </w:r>
          </w:p>
          <w:p w14:paraId="141A5A4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新丰发改投审〔2024〕154号、新丰发改投审〔2025〕124号</w:t>
            </w:r>
          </w:p>
        </w:tc>
      </w:tr>
      <w:tr w14:paraId="58FC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6065D891">
            <w:pPr>
              <w:keepNext w:val="0"/>
              <w:keepLines w:val="0"/>
              <w:pageBreakBefore w:val="0"/>
              <w:wordWrap w:val="0"/>
              <w:overflowPunct/>
              <w:topLinePunct w:val="0"/>
              <w:bidi w:val="0"/>
              <w:spacing w:before="225" w:line="195" w:lineRule="auto"/>
              <w:jc w:val="center"/>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4</w:t>
            </w:r>
          </w:p>
        </w:tc>
        <w:tc>
          <w:tcPr>
            <w:tcW w:w="1860" w:type="dxa"/>
            <w:vAlign w:val="center"/>
          </w:tcPr>
          <w:p w14:paraId="2161DF4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建设地点</w:t>
            </w:r>
          </w:p>
        </w:tc>
        <w:tc>
          <w:tcPr>
            <w:tcW w:w="7656" w:type="dxa"/>
            <w:tcMar>
              <w:top w:w="0" w:type="dxa"/>
              <w:left w:w="0" w:type="dxa"/>
              <w:bottom w:w="0" w:type="dxa"/>
              <w:right w:w="0" w:type="dxa"/>
            </w:tcMar>
            <w:vAlign w:val="center"/>
          </w:tcPr>
          <w:p w14:paraId="17B62E4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韶关市新丰县梅坑镇长江分水路段和G105国道徐坑尾路段，新坪村、长坪村、梅东村、梅西村、梅南村、梅中村、梅坑村、张田村部分建设区域。</w:t>
            </w:r>
          </w:p>
        </w:tc>
      </w:tr>
      <w:tr w14:paraId="767A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582" w:type="dxa"/>
            <w:vAlign w:val="center"/>
          </w:tcPr>
          <w:p w14:paraId="62C389A3">
            <w:pPr>
              <w:keepNext w:val="0"/>
              <w:keepLines w:val="0"/>
              <w:pageBreakBefore w:val="0"/>
              <w:wordWrap w:val="0"/>
              <w:overflowPunct/>
              <w:topLinePunct w:val="0"/>
              <w:bidi w:val="0"/>
              <w:spacing w:before="226" w:line="192" w:lineRule="auto"/>
              <w:jc w:val="center"/>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5</w:t>
            </w:r>
          </w:p>
        </w:tc>
        <w:tc>
          <w:tcPr>
            <w:tcW w:w="1860" w:type="dxa"/>
            <w:vAlign w:val="center"/>
          </w:tcPr>
          <w:p w14:paraId="4E0519E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项目代码</w:t>
            </w:r>
          </w:p>
        </w:tc>
        <w:tc>
          <w:tcPr>
            <w:tcW w:w="7656" w:type="dxa"/>
            <w:vAlign w:val="center"/>
          </w:tcPr>
          <w:p w14:paraId="168A8C9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2308-440233-16-01-617646</w:t>
            </w:r>
          </w:p>
        </w:tc>
      </w:tr>
      <w:tr w14:paraId="4134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27F55D58">
            <w:pPr>
              <w:keepNext w:val="0"/>
              <w:keepLines w:val="0"/>
              <w:pageBreakBefore w:val="0"/>
              <w:wordWrap w:val="0"/>
              <w:overflowPunct/>
              <w:topLinePunct w:val="0"/>
              <w:bidi w:val="0"/>
              <w:spacing w:before="58" w:line="195" w:lineRule="auto"/>
              <w:jc w:val="center"/>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6</w:t>
            </w:r>
          </w:p>
        </w:tc>
        <w:tc>
          <w:tcPr>
            <w:tcW w:w="1860" w:type="dxa"/>
            <w:vAlign w:val="center"/>
          </w:tcPr>
          <w:p w14:paraId="54684E3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资金来源及落实情况</w:t>
            </w:r>
          </w:p>
        </w:tc>
        <w:tc>
          <w:tcPr>
            <w:tcW w:w="7656" w:type="dxa"/>
            <w:vAlign w:val="center"/>
          </w:tcPr>
          <w:p w14:paraId="0168322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上级资金和县统筹安排解决，100%</w:t>
            </w:r>
          </w:p>
        </w:tc>
      </w:tr>
      <w:tr w14:paraId="55E0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582" w:type="dxa"/>
            <w:vAlign w:val="center"/>
          </w:tcPr>
          <w:p w14:paraId="13A867CC">
            <w:pPr>
              <w:keepNext w:val="0"/>
              <w:keepLines w:val="0"/>
              <w:pageBreakBefore w:val="0"/>
              <w:wordWrap w:val="0"/>
              <w:overflowPunct/>
              <w:topLinePunct w:val="0"/>
              <w:bidi w:val="0"/>
              <w:spacing w:before="228" w:line="192" w:lineRule="auto"/>
              <w:jc w:val="center"/>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7</w:t>
            </w:r>
          </w:p>
        </w:tc>
        <w:tc>
          <w:tcPr>
            <w:tcW w:w="1860" w:type="dxa"/>
            <w:vAlign w:val="center"/>
          </w:tcPr>
          <w:p w14:paraId="1395956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招标人</w:t>
            </w:r>
          </w:p>
        </w:tc>
        <w:tc>
          <w:tcPr>
            <w:tcW w:w="7656" w:type="dxa"/>
            <w:vAlign w:val="center"/>
          </w:tcPr>
          <w:p w14:paraId="2D9D595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新丰县梅坑镇人民政府</w:t>
            </w:r>
          </w:p>
        </w:tc>
      </w:tr>
      <w:tr w14:paraId="38A7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6A89B71E">
            <w:pPr>
              <w:keepNext w:val="0"/>
              <w:keepLines w:val="0"/>
              <w:pageBreakBefore w:val="0"/>
              <w:wordWrap w:val="0"/>
              <w:overflowPunct/>
              <w:topLinePunct w:val="0"/>
              <w:bidi w:val="0"/>
              <w:spacing w:before="224" w:line="195" w:lineRule="auto"/>
              <w:jc w:val="center"/>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8</w:t>
            </w:r>
          </w:p>
        </w:tc>
        <w:tc>
          <w:tcPr>
            <w:tcW w:w="1860" w:type="dxa"/>
            <w:vAlign w:val="center"/>
          </w:tcPr>
          <w:p w14:paraId="35B8FC2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招标代理机构</w:t>
            </w:r>
          </w:p>
        </w:tc>
        <w:tc>
          <w:tcPr>
            <w:tcW w:w="7656" w:type="dxa"/>
            <w:vAlign w:val="center"/>
          </w:tcPr>
          <w:p w14:paraId="7B44CAF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新丰县市政工程公司</w:t>
            </w:r>
          </w:p>
        </w:tc>
      </w:tr>
      <w:tr w14:paraId="45E3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EE48A18">
            <w:pPr>
              <w:keepNext w:val="0"/>
              <w:keepLines w:val="0"/>
              <w:pageBreakBefore w:val="0"/>
              <w:wordWrap w:val="0"/>
              <w:overflowPunct/>
              <w:topLinePunct w:val="0"/>
              <w:bidi w:val="0"/>
              <w:spacing w:before="225" w:line="195" w:lineRule="auto"/>
              <w:jc w:val="center"/>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9</w:t>
            </w:r>
          </w:p>
        </w:tc>
        <w:tc>
          <w:tcPr>
            <w:tcW w:w="1860" w:type="dxa"/>
            <w:vAlign w:val="center"/>
          </w:tcPr>
          <w:p w14:paraId="2173F83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设计单位</w:t>
            </w:r>
          </w:p>
        </w:tc>
        <w:tc>
          <w:tcPr>
            <w:tcW w:w="7656" w:type="dxa"/>
            <w:vAlign w:val="center"/>
          </w:tcPr>
          <w:p w14:paraId="363B6AC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中撰工程设计有限公司</w:t>
            </w:r>
          </w:p>
        </w:tc>
      </w:tr>
      <w:bookmarkEnd w:id="8"/>
      <w:tr w14:paraId="3BFA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582" w:type="dxa"/>
            <w:vAlign w:val="center"/>
          </w:tcPr>
          <w:p w14:paraId="1635C0FD">
            <w:pPr>
              <w:keepNext w:val="0"/>
              <w:keepLines w:val="0"/>
              <w:pageBreakBefore w:val="0"/>
              <w:wordWrap w:val="0"/>
              <w:overflowPunct/>
              <w:topLinePunct w:val="0"/>
              <w:bidi w:val="0"/>
              <w:spacing w:before="245" w:line="195" w:lineRule="auto"/>
              <w:jc w:val="center"/>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10</w:t>
            </w:r>
          </w:p>
        </w:tc>
        <w:tc>
          <w:tcPr>
            <w:tcW w:w="1860" w:type="dxa"/>
            <w:vAlign w:val="center"/>
          </w:tcPr>
          <w:p w14:paraId="2495ED4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造价咨询单位</w:t>
            </w:r>
          </w:p>
        </w:tc>
        <w:tc>
          <w:tcPr>
            <w:tcW w:w="7656" w:type="dxa"/>
            <w:vAlign w:val="center"/>
          </w:tcPr>
          <w:p w14:paraId="6BD3EE2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☑非全过程造价咨询</w:t>
            </w: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□全过程造价咨询</w:t>
            </w: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 xml:space="preserve">  </w:t>
            </w:r>
          </w:p>
        </w:tc>
      </w:tr>
      <w:tr w14:paraId="3692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09F5224E">
            <w:pPr>
              <w:keepNext w:val="0"/>
              <w:keepLines w:val="0"/>
              <w:pageBreakBefore w:val="0"/>
              <w:wordWrap w:val="0"/>
              <w:overflowPunct/>
              <w:topLinePunct w:val="0"/>
              <w:bidi w:val="0"/>
              <w:spacing w:before="242" w:line="195" w:lineRule="auto"/>
              <w:jc w:val="center"/>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11</w:t>
            </w:r>
          </w:p>
        </w:tc>
        <w:tc>
          <w:tcPr>
            <w:tcW w:w="1860" w:type="dxa"/>
            <w:vAlign w:val="center"/>
          </w:tcPr>
          <w:p w14:paraId="1084556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监理单位</w:t>
            </w:r>
          </w:p>
        </w:tc>
        <w:tc>
          <w:tcPr>
            <w:tcW w:w="7656" w:type="dxa"/>
            <w:vAlign w:val="center"/>
          </w:tcPr>
          <w:p w14:paraId="0067EC3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□已确定监理单位</w:t>
            </w: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☑未确定监理单位</w:t>
            </w:r>
          </w:p>
        </w:tc>
      </w:tr>
      <w:tr w14:paraId="2E54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trPr>
        <w:tc>
          <w:tcPr>
            <w:tcW w:w="582" w:type="dxa"/>
            <w:vAlign w:val="center"/>
          </w:tcPr>
          <w:p w14:paraId="2D733243">
            <w:pPr>
              <w:keepNext w:val="0"/>
              <w:keepLines w:val="0"/>
              <w:pageBreakBefore w:val="0"/>
              <w:wordWrap w:val="0"/>
              <w:overflowPunct/>
              <w:topLinePunct w:val="0"/>
              <w:bidi w:val="0"/>
              <w:spacing w:before="58" w:line="195" w:lineRule="auto"/>
              <w:jc w:val="center"/>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lang w:eastAsia="zh-CN"/>
                <w14:textFill>
                  <w14:solidFill>
                    <w14:schemeClr w14:val="tx1"/>
                  </w14:solidFill>
                </w14:textFill>
              </w:rPr>
              <w:t>1</w:t>
            </w:r>
            <w:r>
              <w:rPr>
                <w:rFonts w:hint="eastAsia" w:ascii="宋体" w:hAnsi="宋体" w:eastAsia="宋体" w:cs="宋体"/>
                <w:color w:val="000000" w:themeColor="text1"/>
                <w:spacing w:val="0"/>
                <w:sz w:val="21"/>
                <w:szCs w:val="21"/>
                <w:highlight w:val="none"/>
                <w14:textFill>
                  <w14:solidFill>
                    <w14:schemeClr w14:val="tx1"/>
                  </w14:solidFill>
                </w14:textFill>
              </w:rPr>
              <w:t>2</w:t>
            </w:r>
          </w:p>
        </w:tc>
        <w:tc>
          <w:tcPr>
            <w:tcW w:w="1860" w:type="dxa"/>
            <w:vAlign w:val="center"/>
          </w:tcPr>
          <w:p w14:paraId="526340D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建设内容和规模</w:t>
            </w:r>
          </w:p>
        </w:tc>
        <w:tc>
          <w:tcPr>
            <w:tcW w:w="7656" w:type="dxa"/>
            <w:vAlign w:val="center"/>
          </w:tcPr>
          <w:p w14:paraId="5C660F0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□建设规模：</w:t>
            </w: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w:t>
            </w:r>
          </w:p>
          <w:p w14:paraId="4FDA639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☑建设内容：</w:t>
            </w:r>
          </w:p>
          <w:p w14:paraId="7FB70BFA">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1、</w:t>
            </w: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梅坑河风险源应急防护工程：建设事故导流槽1168米，5座事故应急池，5套应急池附属设备；</w:t>
            </w:r>
          </w:p>
          <w:p w14:paraId="5AFB3D1F">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2、</w:t>
            </w: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新建一套尾水人工湿地净化及尾水农用设施，处理规模为4000立方米/天；</w:t>
            </w:r>
          </w:p>
          <w:p w14:paraId="447A271A">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3、</w:t>
            </w: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完善五梅一张污水管网：新建DN300污水主管8720m，DN150污水支管17440m，Φ700毫米污水检查井291个，入户井1163个；</w:t>
            </w:r>
          </w:p>
          <w:p w14:paraId="7E68E26D">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left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4、梅坑镇圩镇污水改造：新建 DN300污水主管4372m，DN200污水支管4154m，DN150污水入户管6200m，Φ700污水检查井308个，入户井413个，新建DN500主管809m，DN300支管832m，Φ1000检查井55个，400x400篦子28个，DN500混凝土排口8个。</w:t>
            </w:r>
          </w:p>
        </w:tc>
      </w:tr>
      <w:tr w14:paraId="6450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4519A5EB">
            <w:pPr>
              <w:keepNext w:val="0"/>
              <w:keepLines w:val="0"/>
              <w:pageBreakBefore w:val="0"/>
              <w:wordWrap w:val="0"/>
              <w:overflowPunct/>
              <w:topLinePunct w:val="0"/>
              <w:bidi w:val="0"/>
              <w:spacing w:before="57" w:line="195" w:lineRule="auto"/>
              <w:jc w:val="center"/>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13</w:t>
            </w:r>
          </w:p>
        </w:tc>
        <w:tc>
          <w:tcPr>
            <w:tcW w:w="1860" w:type="dxa"/>
            <w:vAlign w:val="center"/>
          </w:tcPr>
          <w:p w14:paraId="15BC852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项目总投资</w:t>
            </w:r>
          </w:p>
        </w:tc>
        <w:tc>
          <w:tcPr>
            <w:tcW w:w="7656" w:type="dxa"/>
            <w:vAlign w:val="center"/>
          </w:tcPr>
          <w:p w14:paraId="051183D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项目概算总投资3762.72万元，其中工程费用2953.68万元，工程建设其他费用532.54万元，预备费用276.50万元。</w:t>
            </w:r>
          </w:p>
        </w:tc>
      </w:tr>
      <w:tr w14:paraId="09BB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82" w:type="dxa"/>
            <w:vAlign w:val="center"/>
          </w:tcPr>
          <w:p w14:paraId="2280C6D3">
            <w:pPr>
              <w:keepNext w:val="0"/>
              <w:keepLines w:val="0"/>
              <w:pageBreakBefore w:val="0"/>
              <w:wordWrap w:val="0"/>
              <w:overflowPunct/>
              <w:topLinePunct w:val="0"/>
              <w:bidi w:val="0"/>
              <w:spacing w:before="58" w:line="195" w:lineRule="auto"/>
              <w:jc w:val="center"/>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14</w:t>
            </w:r>
          </w:p>
        </w:tc>
        <w:tc>
          <w:tcPr>
            <w:tcW w:w="1860" w:type="dxa"/>
            <w:vAlign w:val="center"/>
          </w:tcPr>
          <w:p w14:paraId="58FC513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招标范围</w:t>
            </w:r>
          </w:p>
        </w:tc>
        <w:tc>
          <w:tcPr>
            <w:tcW w:w="7656" w:type="dxa"/>
            <w:vAlign w:val="center"/>
          </w:tcPr>
          <w:p w14:paraId="2CC19A7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按审查合格的施工图纸及工程量清单内容施工</w:t>
            </w:r>
          </w:p>
        </w:tc>
      </w:tr>
      <w:tr w14:paraId="3290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334CDB2D">
            <w:pPr>
              <w:keepNext w:val="0"/>
              <w:keepLines w:val="0"/>
              <w:pageBreakBefore w:val="0"/>
              <w:wordWrap w:val="0"/>
              <w:overflowPunct/>
              <w:topLinePunct w:val="0"/>
              <w:bidi w:val="0"/>
              <w:spacing w:before="58" w:line="195" w:lineRule="auto"/>
              <w:jc w:val="center"/>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15</w:t>
            </w:r>
          </w:p>
        </w:tc>
        <w:tc>
          <w:tcPr>
            <w:tcW w:w="1860" w:type="dxa"/>
            <w:vAlign w:val="center"/>
          </w:tcPr>
          <w:p w14:paraId="56FA5F4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标段划分</w:t>
            </w:r>
          </w:p>
        </w:tc>
        <w:tc>
          <w:tcPr>
            <w:tcW w:w="7656" w:type="dxa"/>
            <w:vAlign w:val="center"/>
          </w:tcPr>
          <w:p w14:paraId="5B21ACD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 xml:space="preserve">本招标项目不划分标段。 </w:t>
            </w:r>
          </w:p>
        </w:tc>
      </w:tr>
      <w:tr w14:paraId="5A1C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01C9B2F3">
            <w:pPr>
              <w:keepNext w:val="0"/>
              <w:keepLines w:val="0"/>
              <w:pageBreakBefore w:val="0"/>
              <w:wordWrap w:val="0"/>
              <w:overflowPunct/>
              <w:topLinePunct w:val="0"/>
              <w:bidi w:val="0"/>
              <w:spacing w:before="57" w:line="195" w:lineRule="auto"/>
              <w:jc w:val="center"/>
              <w:rPr>
                <w:rFonts w:hint="eastAsia" w:ascii="宋体" w:hAnsi="宋体" w:eastAsia="宋体" w:cs="宋体"/>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16</w:t>
            </w:r>
          </w:p>
        </w:tc>
        <w:tc>
          <w:tcPr>
            <w:tcW w:w="1860" w:type="dxa"/>
            <w:vAlign w:val="center"/>
          </w:tcPr>
          <w:p w14:paraId="20F526C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工期</w:t>
            </w:r>
          </w:p>
        </w:tc>
        <w:tc>
          <w:tcPr>
            <w:tcW w:w="7656" w:type="dxa"/>
            <w:vAlign w:val="top"/>
          </w:tcPr>
          <w:p w14:paraId="2ACB4A1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本招标项目招标工期为</w:t>
            </w: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240个日历天</w:t>
            </w: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。具体如下：</w:t>
            </w:r>
          </w:p>
          <w:p w14:paraId="320C3CB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☑总工期：</w:t>
            </w:r>
            <w:r>
              <w:rPr>
                <w:rFonts w:hint="eastAsia" w:ascii="宋体" w:hAnsi="宋体" w:eastAsia="宋体" w:cs="宋体"/>
                <w:snapToGrid w:val="0"/>
                <w:color w:val="000000" w:themeColor="text1"/>
                <w:spacing w:val="0"/>
                <w:kern w:val="0"/>
                <w:sz w:val="21"/>
                <w:szCs w:val="21"/>
                <w:highlight w:val="none"/>
                <w:u w:val="single"/>
                <w:lang w:eastAsia="zh-CN"/>
                <w14:textFill>
                  <w14:solidFill>
                    <w14:schemeClr w14:val="tx1"/>
                  </w14:solidFill>
                </w14:textFill>
              </w:rPr>
              <w:t xml:space="preserve"> </w:t>
            </w:r>
            <w:r>
              <w:rPr>
                <w:rFonts w:hint="eastAsia" w:ascii="宋体" w:hAnsi="宋体" w:eastAsia="宋体" w:cs="宋体"/>
                <w:snapToGrid w:val="0"/>
                <w:color w:val="000000" w:themeColor="text1"/>
                <w:spacing w:val="0"/>
                <w:kern w:val="0"/>
                <w:sz w:val="21"/>
                <w:szCs w:val="21"/>
                <w:highlight w:val="none"/>
                <w:u w:val="single"/>
                <w:lang w:val="en-US" w:eastAsia="zh-CN"/>
                <w14:textFill>
                  <w14:solidFill>
                    <w14:schemeClr w14:val="tx1"/>
                  </w14:solidFill>
                </w14:textFill>
              </w:rPr>
              <w:t>240</w:t>
            </w: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天 （日历天）。</w:t>
            </w:r>
          </w:p>
          <w:p w14:paraId="4BF2E44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□计划开工日期：</w:t>
            </w: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年</w:t>
            </w: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月</w:t>
            </w: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日（具体开工日期以合同为准）</w:t>
            </w:r>
          </w:p>
          <w:p w14:paraId="35D8577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□计划竣工日期：</w:t>
            </w: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年</w:t>
            </w: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月</w:t>
            </w: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日</w:t>
            </w:r>
          </w:p>
          <w:p w14:paraId="3D4184C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□除上述总工期外，发包人还要求以下阶段工期：</w:t>
            </w:r>
            <w:r>
              <w:rPr>
                <w:rFonts w:hint="eastAsia" w:ascii="宋体" w:hAnsi="宋体" w:eastAsia="宋体" w:cs="宋体"/>
                <w:snapToGrid w:val="0"/>
                <w:color w:val="000000" w:themeColor="text1"/>
                <w:spacing w:val="0"/>
                <w:kern w:val="0"/>
                <w:sz w:val="21"/>
                <w:szCs w:val="21"/>
                <w:highlight w:val="none"/>
                <w:u w:val="single"/>
                <w:lang w:eastAsia="zh-CN"/>
                <w14:textFill>
                  <w14:solidFill>
                    <w14:schemeClr w14:val="tx1"/>
                  </w14:solidFill>
                </w14:textFill>
              </w:rPr>
              <w:t xml:space="preserve">        </w:t>
            </w:r>
          </w:p>
        </w:tc>
      </w:tr>
      <w:tr w14:paraId="59EF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582" w:type="dxa"/>
            <w:vAlign w:val="center"/>
          </w:tcPr>
          <w:p w14:paraId="416E216C">
            <w:pPr>
              <w:keepNext w:val="0"/>
              <w:keepLines w:val="0"/>
              <w:pageBreakBefore w:val="0"/>
              <w:wordWrap w:val="0"/>
              <w:overflowPunct/>
              <w:topLinePunct w:val="0"/>
              <w:bidi w:val="0"/>
              <w:spacing w:before="57" w:line="195" w:lineRule="auto"/>
              <w:jc w:val="center"/>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17</w:t>
            </w:r>
          </w:p>
        </w:tc>
        <w:tc>
          <w:tcPr>
            <w:tcW w:w="1860" w:type="dxa"/>
            <w:vAlign w:val="center"/>
          </w:tcPr>
          <w:p w14:paraId="529D0EDA">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质量标准</w:t>
            </w:r>
          </w:p>
        </w:tc>
        <w:tc>
          <w:tcPr>
            <w:tcW w:w="7656" w:type="dxa"/>
            <w:vAlign w:val="top"/>
          </w:tcPr>
          <w:p w14:paraId="7B9EFA3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符合现行国家有关工程施工质量验收规范和标准的要求，达到验收合格标准。</w:t>
            </w:r>
          </w:p>
        </w:tc>
      </w:tr>
      <w:tr w14:paraId="07BA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582" w:type="dxa"/>
            <w:vMerge w:val="restart"/>
            <w:vAlign w:val="center"/>
          </w:tcPr>
          <w:p w14:paraId="2FAF8482">
            <w:pPr>
              <w:keepNext w:val="0"/>
              <w:keepLines w:val="0"/>
              <w:pageBreakBefore w:val="0"/>
              <w:wordWrap w:val="0"/>
              <w:overflowPunct/>
              <w:topLinePunct w:val="0"/>
              <w:bidi w:val="0"/>
              <w:spacing w:before="57" w:line="195" w:lineRule="auto"/>
              <w:jc w:val="center"/>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18</w:t>
            </w:r>
          </w:p>
        </w:tc>
        <w:tc>
          <w:tcPr>
            <w:tcW w:w="1860" w:type="dxa"/>
            <w:vMerge w:val="restart"/>
            <w:vAlign w:val="center"/>
          </w:tcPr>
          <w:p w14:paraId="684E171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合同类型</w:t>
            </w:r>
          </w:p>
        </w:tc>
        <w:tc>
          <w:tcPr>
            <w:tcW w:w="7656" w:type="dxa"/>
            <w:vAlign w:val="top"/>
          </w:tcPr>
          <w:p w14:paraId="5B0CC98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☑单价合同：发承包双方约定以工程量清单及其综合单价进行合同价款计算、调整和确认的建设工程施工合同。</w:t>
            </w:r>
          </w:p>
          <w:p w14:paraId="37B161E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6B7E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82" w:type="dxa"/>
            <w:vMerge w:val="continue"/>
            <w:vAlign w:val="center"/>
          </w:tcPr>
          <w:p w14:paraId="001972E5">
            <w:pPr>
              <w:keepNext w:val="0"/>
              <w:keepLines w:val="0"/>
              <w:pageBreakBefore w:val="0"/>
              <w:wordWrap w:val="0"/>
              <w:overflowPunct/>
              <w:topLinePunct w:val="0"/>
              <w:bidi w:val="0"/>
              <w:spacing w:before="57" w:line="195" w:lineRule="auto"/>
              <w:jc w:val="center"/>
              <w:rPr>
                <w:rFonts w:hint="eastAsia" w:ascii="宋体" w:hAnsi="宋体" w:eastAsia="宋体" w:cs="宋体"/>
                <w:color w:val="000000" w:themeColor="text1"/>
                <w:spacing w:val="0"/>
                <w:sz w:val="21"/>
                <w:szCs w:val="21"/>
                <w:highlight w:val="none"/>
                <w14:textFill>
                  <w14:solidFill>
                    <w14:schemeClr w14:val="tx1"/>
                  </w14:solidFill>
                </w14:textFill>
              </w:rPr>
            </w:pPr>
          </w:p>
        </w:tc>
        <w:tc>
          <w:tcPr>
            <w:tcW w:w="1860" w:type="dxa"/>
            <w:vMerge w:val="continue"/>
            <w:vAlign w:val="center"/>
          </w:tcPr>
          <w:p w14:paraId="114EAAC5">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p>
        </w:tc>
        <w:tc>
          <w:tcPr>
            <w:tcW w:w="7656" w:type="dxa"/>
            <w:vAlign w:val="top"/>
          </w:tcPr>
          <w:p w14:paraId="208620C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 xml:space="preserve">□总价合同：发承包双方约定以施工图及其预算和有关条件进行合同价款计算、调整和确认的建设工程施工合同。 </w:t>
            </w:r>
          </w:p>
          <w:p w14:paraId="0E5FC1B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注：总价合同是以施工图纸、规范为基础，在工程任务内容明确、发包人的要求条件清楚、计价标准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标准原则。</w:t>
            </w:r>
          </w:p>
        </w:tc>
      </w:tr>
      <w:tr w14:paraId="548B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4F5536D8">
            <w:pPr>
              <w:keepNext w:val="0"/>
              <w:keepLines w:val="0"/>
              <w:pageBreakBefore w:val="0"/>
              <w:wordWrap w:val="0"/>
              <w:overflowPunct/>
              <w:topLinePunct w:val="0"/>
              <w:bidi w:val="0"/>
              <w:spacing w:before="19"/>
              <w:jc w:val="center"/>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19</w:t>
            </w:r>
          </w:p>
        </w:tc>
        <w:tc>
          <w:tcPr>
            <w:tcW w:w="1860" w:type="dxa"/>
            <w:vAlign w:val="center"/>
          </w:tcPr>
          <w:p w14:paraId="0F7CD5C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房屋建筑工程绿色建筑标准</w:t>
            </w:r>
          </w:p>
        </w:tc>
        <w:tc>
          <w:tcPr>
            <w:tcW w:w="7656" w:type="dxa"/>
            <w:vAlign w:val="center"/>
          </w:tcPr>
          <w:p w14:paraId="523371B7">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本招标项目</w:t>
            </w:r>
            <w:r>
              <w:rPr>
                <w:rFonts w:hint="eastAsia" w:ascii="宋体" w:hAnsi="宋体" w:eastAsia="宋体" w:cs="宋体"/>
                <w:snapToGrid w:val="0"/>
                <w:color w:val="000000" w:themeColor="text1"/>
                <w:spacing w:val="0"/>
                <w:kern w:val="0"/>
                <w:sz w:val="21"/>
                <w:szCs w:val="21"/>
                <w:highlight w:val="none"/>
                <w:u w:val="single"/>
                <w:lang w:val="en-US" w:eastAsia="zh-CN"/>
                <w14:textFill>
                  <w14:solidFill>
                    <w14:schemeClr w14:val="tx1"/>
                  </w14:solidFill>
                </w14:textFill>
              </w:rPr>
              <w:t>不</w:t>
            </w: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纳入绿色建设实施范围。</w:t>
            </w:r>
          </w:p>
        </w:tc>
      </w:tr>
      <w:tr w14:paraId="44A5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CD2CF21">
            <w:pPr>
              <w:keepNext w:val="0"/>
              <w:keepLines w:val="0"/>
              <w:pageBreakBefore w:val="0"/>
              <w:wordWrap w:val="0"/>
              <w:overflowPunct/>
              <w:topLinePunct w:val="0"/>
              <w:bidi w:val="0"/>
              <w:spacing w:before="58" w:line="195" w:lineRule="auto"/>
              <w:jc w:val="center"/>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19. 1</w:t>
            </w:r>
          </w:p>
        </w:tc>
        <w:tc>
          <w:tcPr>
            <w:tcW w:w="1860" w:type="dxa"/>
            <w:vAlign w:val="center"/>
          </w:tcPr>
          <w:p w14:paraId="4D336BF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装配式建筑标准</w:t>
            </w:r>
          </w:p>
        </w:tc>
        <w:tc>
          <w:tcPr>
            <w:tcW w:w="7656" w:type="dxa"/>
            <w:vAlign w:val="center"/>
          </w:tcPr>
          <w:p w14:paraId="7FEA000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本招标项目</w:t>
            </w:r>
            <w:r>
              <w:rPr>
                <w:rFonts w:hint="eastAsia" w:ascii="宋体" w:hAnsi="宋体" w:eastAsia="宋体" w:cs="宋体"/>
                <w:snapToGrid w:val="0"/>
                <w:color w:val="000000" w:themeColor="text1"/>
                <w:spacing w:val="0"/>
                <w:kern w:val="0"/>
                <w:sz w:val="21"/>
                <w:szCs w:val="21"/>
                <w:highlight w:val="none"/>
                <w:u w:val="single"/>
                <w:lang w:val="en-US" w:eastAsia="zh-CN"/>
                <w14:textFill>
                  <w14:solidFill>
                    <w14:schemeClr w14:val="tx1"/>
                  </w14:solidFill>
                </w14:textFill>
              </w:rPr>
              <w:t>不</w:t>
            </w: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纳入装配式建造建设实施范围。</w:t>
            </w:r>
          </w:p>
        </w:tc>
      </w:tr>
      <w:tr w14:paraId="2E1C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4746E48">
            <w:pPr>
              <w:keepNext w:val="0"/>
              <w:keepLines w:val="0"/>
              <w:pageBreakBefore w:val="0"/>
              <w:wordWrap w:val="0"/>
              <w:overflowPunct/>
              <w:topLinePunct w:val="0"/>
              <w:bidi w:val="0"/>
              <w:spacing w:before="69" w:line="188" w:lineRule="auto"/>
              <w:jc w:val="center"/>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20</w:t>
            </w:r>
          </w:p>
        </w:tc>
        <w:tc>
          <w:tcPr>
            <w:tcW w:w="1860" w:type="dxa"/>
            <w:vAlign w:val="center"/>
          </w:tcPr>
          <w:p w14:paraId="649F4D0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发包人提供材料和工程设备</w:t>
            </w:r>
          </w:p>
        </w:tc>
        <w:tc>
          <w:tcPr>
            <w:tcW w:w="7656" w:type="dxa"/>
            <w:vAlign w:val="center"/>
          </w:tcPr>
          <w:p w14:paraId="77FB08D3">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宋体" w:hAnsi="宋体" w:eastAsia="宋体" w:cs="宋体"/>
                <w:snapToGrid w:val="0"/>
                <w:color w:val="000000" w:themeColor="text1"/>
                <w:spacing w:val="0"/>
                <w:kern w:val="0"/>
                <w:sz w:val="21"/>
                <w:szCs w:val="21"/>
                <w:highlight w:val="none"/>
                <w:u w:val="singl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发包人提供材料和工程设备： ☑无     □有：</w:t>
            </w:r>
            <w:r>
              <w:rPr>
                <w:rFonts w:hint="eastAsia" w:ascii="宋体" w:hAnsi="宋体" w:eastAsia="宋体" w:cs="宋体"/>
                <w:snapToGrid w:val="0"/>
                <w:color w:val="000000" w:themeColor="text1"/>
                <w:spacing w:val="0"/>
                <w:kern w:val="0"/>
                <w:sz w:val="21"/>
                <w:szCs w:val="21"/>
                <w:highlight w:val="none"/>
                <w:u w:val="single"/>
                <w:lang w:val="en-US" w:eastAsia="zh-CN"/>
                <w14:textFill>
                  <w14:solidFill>
                    <w14:schemeClr w14:val="tx1"/>
                  </w14:solidFill>
                </w14:textFill>
              </w:rPr>
              <w:t xml:space="preserve">     </w:t>
            </w:r>
          </w:p>
        </w:tc>
      </w:tr>
      <w:tr w14:paraId="119B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2622591F">
            <w:pPr>
              <w:keepNext w:val="0"/>
              <w:keepLines w:val="0"/>
              <w:pageBreakBefore w:val="0"/>
              <w:wordWrap w:val="0"/>
              <w:overflowPunct/>
              <w:topLinePunct w:val="0"/>
              <w:bidi w:val="0"/>
              <w:spacing w:before="69" w:line="188" w:lineRule="auto"/>
              <w:jc w:val="center"/>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21</w:t>
            </w:r>
          </w:p>
        </w:tc>
        <w:tc>
          <w:tcPr>
            <w:tcW w:w="1860" w:type="dxa"/>
            <w:vAlign w:val="center"/>
          </w:tcPr>
          <w:p w14:paraId="6A6F9E6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承包人提供材料和工程设备</w:t>
            </w:r>
          </w:p>
        </w:tc>
        <w:tc>
          <w:tcPr>
            <w:tcW w:w="7656" w:type="dxa"/>
            <w:vAlign w:val="top"/>
          </w:tcPr>
          <w:p w14:paraId="7329718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716D254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□其它说明：鼓励承包人积极采购环保产品进行施工。</w:t>
            </w:r>
          </w:p>
        </w:tc>
      </w:tr>
      <w:tr w14:paraId="3B0B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582" w:type="dxa"/>
            <w:vAlign w:val="center"/>
          </w:tcPr>
          <w:p w14:paraId="23CFF5B2">
            <w:pPr>
              <w:keepNext w:val="0"/>
              <w:keepLines w:val="0"/>
              <w:pageBreakBefore w:val="0"/>
              <w:wordWrap w:val="0"/>
              <w:overflowPunct/>
              <w:topLinePunct w:val="0"/>
              <w:bidi w:val="0"/>
              <w:spacing w:before="69" w:line="188" w:lineRule="auto"/>
              <w:jc w:val="center"/>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22</w:t>
            </w:r>
          </w:p>
        </w:tc>
        <w:tc>
          <w:tcPr>
            <w:tcW w:w="1860" w:type="dxa"/>
            <w:vAlign w:val="center"/>
          </w:tcPr>
          <w:p w14:paraId="08D2DAC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最高投标限价</w:t>
            </w:r>
          </w:p>
        </w:tc>
        <w:tc>
          <w:tcPr>
            <w:tcW w:w="7656" w:type="dxa"/>
            <w:vAlign w:val="center"/>
          </w:tcPr>
          <w:p w14:paraId="73FF3F4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本招标项目的</w:t>
            </w: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最高投标限价</w:t>
            </w: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、工程量清单、</w:t>
            </w: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施工图纸</w:t>
            </w: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在投标截止时间15天前以补充公告的形式在广东省招标投标监管网（http://zbtb.gd.gov.cn）、全国公共资源交易平台（广东省·韶关市）（https://ygp.gdzwfw.gov.cn/ggzy-portal/#/440200/index）网站公布。</w:t>
            </w:r>
          </w:p>
        </w:tc>
      </w:tr>
      <w:tr w14:paraId="0706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0" w:hRule="atLeast"/>
        </w:trPr>
        <w:tc>
          <w:tcPr>
            <w:tcW w:w="582" w:type="dxa"/>
            <w:vAlign w:val="center"/>
          </w:tcPr>
          <w:p w14:paraId="14D57F0A">
            <w:pPr>
              <w:keepNext w:val="0"/>
              <w:keepLines w:val="0"/>
              <w:pageBreakBefore w:val="0"/>
              <w:wordWrap w:val="0"/>
              <w:overflowPunct/>
              <w:topLinePunct w:val="0"/>
              <w:bidi w:val="0"/>
              <w:spacing w:before="69" w:line="188" w:lineRule="auto"/>
              <w:jc w:val="center"/>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23</w:t>
            </w:r>
          </w:p>
        </w:tc>
        <w:tc>
          <w:tcPr>
            <w:tcW w:w="1860" w:type="dxa"/>
            <w:vAlign w:val="center"/>
          </w:tcPr>
          <w:p w14:paraId="4EDFFAA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投标人的投标报价</w:t>
            </w:r>
          </w:p>
        </w:tc>
        <w:tc>
          <w:tcPr>
            <w:tcW w:w="7656" w:type="dxa"/>
            <w:vAlign w:val="center"/>
          </w:tcPr>
          <w:p w14:paraId="449D521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最高投标限价。</w:t>
            </w:r>
          </w:p>
          <w:p w14:paraId="270EDCA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投标报价方式： ☑工程量清单报</w:t>
            </w: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 xml:space="preserve">  □其他：</w:t>
            </w:r>
          </w:p>
          <w:p w14:paraId="134467A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投标报价时，应按《广东省建设工程计价依据（2018）》规定的费率报价，若招标工程量清单明确说明不计算预算包干费或另外确定预算包干费费率的，则按招标工程量清单报价。</w:t>
            </w:r>
          </w:p>
        </w:tc>
      </w:tr>
      <w:tr w14:paraId="3A26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2" w:type="dxa"/>
            <w:vAlign w:val="center"/>
          </w:tcPr>
          <w:p w14:paraId="78D804F4">
            <w:pPr>
              <w:keepNext w:val="0"/>
              <w:keepLines w:val="0"/>
              <w:pageBreakBefore w:val="0"/>
              <w:wordWrap w:val="0"/>
              <w:overflowPunct/>
              <w:topLinePunct w:val="0"/>
              <w:bidi w:val="0"/>
              <w:spacing w:before="69" w:line="188" w:lineRule="auto"/>
              <w:jc w:val="center"/>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24</w:t>
            </w:r>
          </w:p>
        </w:tc>
        <w:tc>
          <w:tcPr>
            <w:tcW w:w="1860" w:type="dxa"/>
            <w:vAlign w:val="center"/>
          </w:tcPr>
          <w:p w14:paraId="75D5610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投标报价风险</w:t>
            </w:r>
          </w:p>
        </w:tc>
        <w:tc>
          <w:tcPr>
            <w:tcW w:w="7656" w:type="dxa"/>
            <w:vAlign w:val="center"/>
          </w:tcPr>
          <w:p w14:paraId="09F1294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☑投标人依据招标文件约定自行考虑风险因素，一旦中标，投标报价（合同价）除合同另有约定外将不因市场变化而调整。</w:t>
            </w:r>
          </w:p>
          <w:p w14:paraId="4AE8FF5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☑投标报价中应包括工程量清单项目所发生的人工费、材料费、机具费、管理费、利润、措施项目费、其它项目费、税金、暂列金额、暂估价以及所有风险、责任等各项费用。</w:t>
            </w:r>
          </w:p>
          <w:p w14:paraId="0FDFC6A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☑人工费、材料费、机具费、管理费、利润、措施项目费（不含安全生产措施费）投标人漏报或不报，招标人视为有关费用 已包括在工程量清单项目的其它单价及合价中不予另外增加。</w:t>
            </w:r>
          </w:p>
          <w:p w14:paraId="1D4B24B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☑措施项目中的安全生产措施费，必须按国家、省级、市级（即工程所在地）行业建设主管部门的规定计算，不得作为竞争性费用。</w:t>
            </w:r>
          </w:p>
          <w:p w14:paraId="2BDA8BB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☑投标人应按照招标文件提供的工程量清单逐项填写单价和合价，投标人未填写的项目，招标人将视为此项费用已包括在工程量清单项目的其它单价及合价中不予另外增加。</w:t>
            </w:r>
          </w:p>
          <w:p w14:paraId="0598AA6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投标人应按《广东省建设工程计价依据（2018）》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042F334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☑招标人向投标人提供的有关施工现场资料及数据，是招标人现有的能使投标人利用的资料，招标人对投标人据此作出的推论及理解概不负责。</w:t>
            </w:r>
          </w:p>
          <w:p w14:paraId="12C0474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7883DF1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☑错漏项的认定。中标人已标价工程量清单中，任一清单项目未填报价格或价格为零的，招标人将视为此项费用已包括在工程量清单项目的其它单价及合价中不予另外增加。</w:t>
            </w:r>
          </w:p>
        </w:tc>
      </w:tr>
      <w:tr w14:paraId="4F80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582" w:type="dxa"/>
            <w:vAlign w:val="center"/>
          </w:tcPr>
          <w:p w14:paraId="2A703940">
            <w:pPr>
              <w:keepNext w:val="0"/>
              <w:keepLines w:val="0"/>
              <w:pageBreakBefore w:val="0"/>
              <w:wordWrap w:val="0"/>
              <w:overflowPunct/>
              <w:topLinePunct w:val="0"/>
              <w:bidi w:val="0"/>
              <w:spacing w:before="284" w:line="188" w:lineRule="auto"/>
              <w:jc w:val="center"/>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25</w:t>
            </w:r>
          </w:p>
        </w:tc>
        <w:tc>
          <w:tcPr>
            <w:tcW w:w="1860" w:type="dxa"/>
            <w:vAlign w:val="center"/>
          </w:tcPr>
          <w:p w14:paraId="169F8CD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投标费用</w:t>
            </w:r>
          </w:p>
        </w:tc>
        <w:tc>
          <w:tcPr>
            <w:tcW w:w="7656" w:type="dxa"/>
            <w:vAlign w:val="center"/>
          </w:tcPr>
          <w:p w14:paraId="6A66A49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投标人自行承担编制与递交投标文件的一切费用。</w:t>
            </w:r>
          </w:p>
        </w:tc>
      </w:tr>
      <w:tr w14:paraId="5958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vAlign w:val="center"/>
          </w:tcPr>
          <w:p w14:paraId="39B3D201">
            <w:pPr>
              <w:keepNext w:val="0"/>
              <w:keepLines w:val="0"/>
              <w:pageBreakBefore w:val="0"/>
              <w:wordWrap w:val="0"/>
              <w:overflowPunct/>
              <w:topLinePunct w:val="0"/>
              <w:bidi w:val="0"/>
              <w:spacing w:before="69" w:line="188" w:lineRule="auto"/>
              <w:jc w:val="center"/>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26</w:t>
            </w:r>
          </w:p>
        </w:tc>
        <w:tc>
          <w:tcPr>
            <w:tcW w:w="1860" w:type="dxa"/>
            <w:vAlign w:val="center"/>
          </w:tcPr>
          <w:p w14:paraId="728110B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投标人资格要求</w:t>
            </w:r>
          </w:p>
        </w:tc>
        <w:tc>
          <w:tcPr>
            <w:tcW w:w="7656" w:type="dxa"/>
            <w:vAlign w:val="center"/>
          </w:tcPr>
          <w:p w14:paraId="330937F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1.本次招标</w:t>
            </w:r>
            <w:r>
              <w:rPr>
                <w:rFonts w:hint="eastAsia" w:ascii="宋体" w:hAnsi="宋体" w:eastAsia="宋体" w:cs="宋体"/>
                <w:b/>
                <w:bCs/>
                <w:snapToGrid w:val="0"/>
                <w:color w:val="000000" w:themeColor="text1"/>
                <w:spacing w:val="0"/>
                <w:kern w:val="0"/>
                <w:sz w:val="21"/>
                <w:szCs w:val="21"/>
                <w:highlight w:val="none"/>
                <w:lang w:eastAsia="zh-CN"/>
                <w14:textFill>
                  <w14:solidFill>
                    <w14:schemeClr w14:val="tx1"/>
                  </w14:solidFill>
                </w14:textFill>
              </w:rPr>
              <w:t>接受</w:t>
            </w: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联合体投标，联合体以一个投标人的身份共同投标。</w:t>
            </w:r>
          </w:p>
          <w:p w14:paraId="7E40731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1.1 联合体成员数量不超过2个。</w:t>
            </w:r>
          </w:p>
          <w:p w14:paraId="204D798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1.2 联合体各方应按招标文件提供的格式签订联合体协议书，明确联合体牵头人和各方权利义务，并承诺就中标项目向招标人承担连带责任。《联合体协议书》作为投标文件的组成部分向招标人提交。</w:t>
            </w:r>
          </w:p>
          <w:p w14:paraId="6497A54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1.3 联合体成员单位均应具备拟承担的工作内容（以《联合体协议书》的约定为准）所规定的资格条件。若同一工作内容由两个或两个以上单位共同承担，该项工作内容按照资质等级较低的单位确定联合体资质等级。</w:t>
            </w:r>
          </w:p>
          <w:p w14:paraId="1B0027D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1.4 联合体各方不得再以自己名义单独或参加其他联合体在本招标项目中投标，否则各相关投标均无效。</w:t>
            </w:r>
          </w:p>
          <w:p w14:paraId="11991F2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2．资质要求</w:t>
            </w:r>
          </w:p>
          <w:p w14:paraId="48C60A8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2.1 投标人须具备独立法人资格，按国家法律经营。</w:t>
            </w:r>
          </w:p>
          <w:p w14:paraId="4048220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2.2 投标人（组成联合体时指联合体</w:t>
            </w: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双</w:t>
            </w: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方）须持有建设行政主管部门颁发的企业资质证书及安全生产许可证。</w:t>
            </w:r>
          </w:p>
          <w:p w14:paraId="4FBEBC6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2.3 投标人须具备以下资质：</w:t>
            </w:r>
            <w:r>
              <w:rPr>
                <w:rFonts w:hint="eastAsia" w:ascii="宋体" w:hAnsi="宋体" w:eastAsia="宋体" w:cs="宋体"/>
                <w:snapToGrid w:val="0"/>
                <w:color w:val="000000" w:themeColor="text1"/>
                <w:spacing w:val="0"/>
                <w:kern w:val="0"/>
                <w:sz w:val="21"/>
                <w:szCs w:val="21"/>
                <w:highlight w:val="none"/>
                <w:u w:val="single"/>
                <w:lang w:eastAsia="zh-CN"/>
                <w14:textFill>
                  <w14:solidFill>
                    <w14:schemeClr w14:val="tx1"/>
                  </w14:solidFill>
                </w14:textFill>
              </w:rPr>
              <w:t>参加投标的投标人可以是单一独立法人或由不超过两家独立法人组成的联合体，联合体双方不得再以自己的名义单独申请，也不得同时参加两个或两个以上的联合体进行本项目的投标。投标人（组成联合体投标的，指联合体双方）须具备建设行政主管部门颁发的市政公用工程施工总承包二级以上（含二级）资质。</w:t>
            </w:r>
          </w:p>
          <w:p w14:paraId="1E67CBD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2.4 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6E1B7DB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3．相关人员要求</w:t>
            </w:r>
          </w:p>
          <w:p w14:paraId="34B5145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3.1  拟派项目经理为</w:t>
            </w:r>
            <w:r>
              <w:rPr>
                <w:rFonts w:hint="eastAsia" w:ascii="宋体" w:hAnsi="宋体" w:eastAsia="宋体" w:cs="宋体"/>
                <w:snapToGrid w:val="0"/>
                <w:color w:val="000000" w:themeColor="text1"/>
                <w:spacing w:val="0"/>
                <w:kern w:val="0"/>
                <w:sz w:val="21"/>
                <w:szCs w:val="21"/>
                <w:highlight w:val="none"/>
                <w:u w:val="single"/>
                <w:lang w:eastAsia="zh-CN"/>
                <w14:textFill>
                  <w14:solidFill>
                    <w14:schemeClr w14:val="tx1"/>
                  </w14:solidFill>
                </w14:textFill>
              </w:rPr>
              <w:t>市政公用工程</w:t>
            </w: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w:t>
            </w:r>
          </w:p>
          <w:p w14:paraId="526D959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3.2 拟派项目技术负责人须具备</w:t>
            </w:r>
            <w:r>
              <w:rPr>
                <w:rFonts w:hint="eastAsia" w:ascii="宋体" w:hAnsi="宋体" w:eastAsia="宋体" w:cs="宋体"/>
                <w:snapToGrid w:val="0"/>
                <w:color w:val="000000" w:themeColor="text1"/>
                <w:spacing w:val="0"/>
                <w:kern w:val="0"/>
                <w:sz w:val="21"/>
                <w:szCs w:val="21"/>
                <w:highlight w:val="none"/>
                <w:u w:val="single"/>
                <w:lang w:eastAsia="zh-CN"/>
                <w14:textFill>
                  <w14:solidFill>
                    <w14:schemeClr w14:val="tx1"/>
                  </w14:solidFill>
                </w14:textFill>
              </w:rPr>
              <w:t>市政工程</w:t>
            </w: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相关专业</w:t>
            </w:r>
            <w:r>
              <w:rPr>
                <w:rFonts w:hint="eastAsia" w:ascii="宋体" w:hAnsi="宋体" w:eastAsia="宋体" w:cs="宋体"/>
                <w:snapToGrid w:val="0"/>
                <w:color w:val="000000" w:themeColor="text1"/>
                <w:spacing w:val="0"/>
                <w:kern w:val="0"/>
                <w:sz w:val="21"/>
                <w:szCs w:val="21"/>
                <w:highlight w:val="none"/>
                <w:u w:val="single"/>
                <w:lang w:eastAsia="zh-CN"/>
                <w14:textFill>
                  <w14:solidFill>
                    <w14:schemeClr w14:val="tx1"/>
                  </w14:solidFill>
                </w14:textFill>
              </w:rPr>
              <w:t>中</w:t>
            </w: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级以上（含</w:t>
            </w:r>
            <w:r>
              <w:rPr>
                <w:rFonts w:hint="eastAsia" w:ascii="宋体" w:hAnsi="宋体" w:eastAsia="宋体" w:cs="宋体"/>
                <w:snapToGrid w:val="0"/>
                <w:color w:val="000000" w:themeColor="text1"/>
                <w:spacing w:val="0"/>
                <w:kern w:val="0"/>
                <w:sz w:val="21"/>
                <w:szCs w:val="21"/>
                <w:highlight w:val="none"/>
                <w:u w:val="single"/>
                <w:lang w:eastAsia="zh-CN"/>
                <w14:textFill>
                  <w14:solidFill>
                    <w14:schemeClr w14:val="tx1"/>
                  </w14:solidFill>
                </w14:textFill>
              </w:rPr>
              <w:t>中</w:t>
            </w: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级）技术职称。</w:t>
            </w:r>
          </w:p>
          <w:p w14:paraId="7E279E0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3.3 投标人拟派专职安全生产管理人员须具备有效安全生产考核合格证明（C证，安全生产考核合格证书或“广东省建筑施工企业管理人员安全生产考核系统”考核合格信息打印页），且不少于</w:t>
            </w:r>
            <w:r>
              <w:rPr>
                <w:rFonts w:hint="eastAsia" w:ascii="宋体" w:hAnsi="宋体" w:eastAsia="宋体" w:cs="宋体"/>
                <w:snapToGrid w:val="0"/>
                <w:color w:val="000000" w:themeColor="text1"/>
                <w:spacing w:val="0"/>
                <w:kern w:val="0"/>
                <w:sz w:val="21"/>
                <w:szCs w:val="21"/>
                <w:highlight w:val="none"/>
                <w:u w:val="single"/>
                <w:lang w:eastAsia="zh-CN"/>
                <w14:textFill>
                  <w14:solidFill>
                    <w14:schemeClr w14:val="tx1"/>
                  </w14:solidFill>
                </w14:textFill>
              </w:rPr>
              <w:t xml:space="preserve"> 1 </w:t>
            </w: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人。</w:t>
            </w:r>
          </w:p>
          <w:p w14:paraId="4F35C3C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3.4 投标人（包括组成联合体的所有成员单位）与其拟派往本项目管理机构的所有人员之间必须具备合法、唯一的劳动聘用关系。拟派人员中具备注册执业资格的，其注册单位须与投标人保持一致。</w:t>
            </w:r>
          </w:p>
          <w:p w14:paraId="68CF7C1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4 ．禁止投标条款：</w:t>
            </w:r>
          </w:p>
          <w:p w14:paraId="756E14C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4.1  投标人不得存在下列情形之一：</w:t>
            </w:r>
          </w:p>
          <w:p w14:paraId="68C2B4A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（1）为招标人不具有独立法人资格的附属机构（单位）；</w:t>
            </w:r>
          </w:p>
          <w:p w14:paraId="44593C8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（2）为本招标项目前期准备提供设计或咨询服务的；</w:t>
            </w:r>
          </w:p>
          <w:p w14:paraId="59CFF19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（3）与本招标项目的其他投标人为同一个单位负责人；</w:t>
            </w:r>
          </w:p>
          <w:p w14:paraId="2AE6D68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（4）与本招标项目的其他投标人存在控股、管理关系；</w:t>
            </w:r>
          </w:p>
          <w:p w14:paraId="38CFB62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（5）为本招标项目的监理人；</w:t>
            </w:r>
          </w:p>
          <w:p w14:paraId="1419324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（6）为本招标项目的代建人；</w:t>
            </w:r>
          </w:p>
          <w:p w14:paraId="170099A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（7）为本招标项目的招标代理机构；</w:t>
            </w:r>
          </w:p>
          <w:p w14:paraId="062B5CB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（8）与本招标项目的监理人或代建人或招标代理机构同为一个 法定代表人；</w:t>
            </w:r>
          </w:p>
          <w:p w14:paraId="76338A8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（9）与本招标项目的监理人或代建人或招标代理机构存在控股或参股关系；</w:t>
            </w:r>
          </w:p>
          <w:p w14:paraId="2A915A3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（10）与本招标项目的监理人或代建人或招标代理机构存在相互任职或工作关系；</w:t>
            </w:r>
          </w:p>
          <w:p w14:paraId="2D49455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（11）被依法暂停或者取消投标资格；</w:t>
            </w:r>
          </w:p>
          <w:p w14:paraId="335907D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（12）被责令停产停业、暂扣或者吊销许可证、暂扣或者吊销执照；</w:t>
            </w:r>
          </w:p>
          <w:p w14:paraId="146AB41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（13）进入清算程序，或被宣告破产，或其他丧失履约能力的情形；</w:t>
            </w:r>
          </w:p>
          <w:p w14:paraId="730679D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（14）在最近三年内发生重大工程质量或安全问题（以相关行业主管部门的行政处罚决定或司法机关出具的有关法律文书为准）；</w:t>
            </w:r>
          </w:p>
          <w:p w14:paraId="4202D8C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（15）被“信用中国 ”网站（https://www.creditchina.gov.cn）发布的《法人和非法人组织公共信用信息报告》列为严重失信主体名单的。</w:t>
            </w:r>
          </w:p>
          <w:p w14:paraId="587EA45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4.2  招标人拒绝以下名单中的单位参加本次投标：</w:t>
            </w:r>
          </w:p>
          <w:tbl>
            <w:tblPr>
              <w:tblStyle w:val="14"/>
              <w:tblW w:w="7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3510"/>
              <w:gridCol w:w="3371"/>
            </w:tblGrid>
            <w:tr w14:paraId="526D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7" w:type="dxa"/>
                  <w:vAlign w:val="center"/>
                </w:tcPr>
                <w:p w14:paraId="60DBAAFB">
                  <w:pPr>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序号</w:t>
                  </w:r>
                </w:p>
              </w:tc>
              <w:tc>
                <w:tcPr>
                  <w:tcW w:w="3510" w:type="dxa"/>
                  <w:vAlign w:val="center"/>
                </w:tcPr>
                <w:p w14:paraId="7B05472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单位名称</w:t>
                  </w:r>
                </w:p>
              </w:tc>
              <w:tc>
                <w:tcPr>
                  <w:tcW w:w="3371" w:type="dxa"/>
                  <w:vAlign w:val="center"/>
                </w:tcPr>
                <w:p w14:paraId="4FE91A1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拒绝原因</w:t>
                  </w:r>
                </w:p>
              </w:tc>
            </w:tr>
            <w:tr w14:paraId="1DBB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77" w:type="dxa"/>
                  <w:vAlign w:val="center"/>
                </w:tcPr>
                <w:p w14:paraId="5735F3E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1</w:t>
                  </w:r>
                </w:p>
              </w:tc>
              <w:tc>
                <w:tcPr>
                  <w:tcW w:w="3510" w:type="dxa"/>
                  <w:vAlign w:val="center"/>
                </w:tcPr>
                <w:p w14:paraId="25D93D7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新丰县梅坑镇人民政府</w:t>
                  </w:r>
                </w:p>
              </w:tc>
              <w:tc>
                <w:tcPr>
                  <w:tcW w:w="3371" w:type="dxa"/>
                  <w:vAlign w:val="center"/>
                </w:tcPr>
                <w:p w14:paraId="42F41EC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为本招标项目的招标人</w:t>
                  </w:r>
                </w:p>
              </w:tc>
            </w:tr>
            <w:tr w14:paraId="625F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77" w:type="dxa"/>
                  <w:vAlign w:val="center"/>
                </w:tcPr>
                <w:p w14:paraId="27F653D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2</w:t>
                  </w:r>
                </w:p>
              </w:tc>
              <w:tc>
                <w:tcPr>
                  <w:tcW w:w="3510" w:type="dxa"/>
                  <w:vAlign w:val="center"/>
                </w:tcPr>
                <w:p w14:paraId="74BC464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新丰县市政工程公司</w:t>
                  </w:r>
                </w:p>
              </w:tc>
              <w:tc>
                <w:tcPr>
                  <w:tcW w:w="3371" w:type="dxa"/>
                  <w:vAlign w:val="center"/>
                </w:tcPr>
                <w:p w14:paraId="15ADD93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为本招标项目的招标代理机构</w:t>
                  </w:r>
                </w:p>
              </w:tc>
            </w:tr>
            <w:tr w14:paraId="0D97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77" w:type="dxa"/>
                  <w:vAlign w:val="center"/>
                </w:tcPr>
                <w:p w14:paraId="681D054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3</w:t>
                  </w:r>
                </w:p>
              </w:tc>
              <w:tc>
                <w:tcPr>
                  <w:tcW w:w="3510" w:type="dxa"/>
                  <w:vAlign w:val="center"/>
                </w:tcPr>
                <w:p w14:paraId="53846CB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广东粤康环保股份有限公司</w:t>
                  </w:r>
                </w:p>
              </w:tc>
              <w:tc>
                <w:tcPr>
                  <w:tcW w:w="3371" w:type="dxa"/>
                  <w:vAlign w:val="center"/>
                </w:tcPr>
                <w:p w14:paraId="0BBAABD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为本招标项目的可行性研究报告编制单位</w:t>
                  </w:r>
                </w:p>
              </w:tc>
            </w:tr>
            <w:tr w14:paraId="2DAD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77" w:type="dxa"/>
                  <w:vAlign w:val="center"/>
                </w:tcPr>
                <w:p w14:paraId="58ABAC6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4</w:t>
                  </w:r>
                </w:p>
              </w:tc>
              <w:tc>
                <w:tcPr>
                  <w:tcW w:w="3510" w:type="dxa"/>
                  <w:vAlign w:val="center"/>
                </w:tcPr>
                <w:p w14:paraId="5559883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新丰县益民测绘技术服务有限公司</w:t>
                  </w:r>
                </w:p>
              </w:tc>
              <w:tc>
                <w:tcPr>
                  <w:tcW w:w="3371" w:type="dxa"/>
                  <w:vAlign w:val="center"/>
                </w:tcPr>
                <w:p w14:paraId="58EF012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为本招标项目的</w:t>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fldChar w:fldCharType="begin"/>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instrText xml:space="preserve"> HYPERLINK "https://ygp.gdzwfw.gov.cn/zjfwcs/gd-zjcs-pub/bidResultNotice/view/440233MB2C068372408230742" </w:instrText>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fldChar w:fldCharType="separate"/>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测绘服务</w:t>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fldChar w:fldCharType="end"/>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单位</w:t>
                  </w:r>
                </w:p>
              </w:tc>
            </w:tr>
            <w:tr w14:paraId="40E4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77" w:type="dxa"/>
                  <w:vAlign w:val="center"/>
                </w:tcPr>
                <w:p w14:paraId="49FFB44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5</w:t>
                  </w:r>
                </w:p>
              </w:tc>
              <w:tc>
                <w:tcPr>
                  <w:tcW w:w="3510" w:type="dxa"/>
                  <w:vAlign w:val="center"/>
                </w:tcPr>
                <w:p w14:paraId="550C122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广东华水工程勘察设计有限公司</w:t>
                  </w:r>
                </w:p>
              </w:tc>
              <w:tc>
                <w:tcPr>
                  <w:tcW w:w="3371" w:type="dxa"/>
                  <w:vAlign w:val="center"/>
                </w:tcPr>
                <w:p w14:paraId="103548B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为本招标项目的勘察单位</w:t>
                  </w:r>
                </w:p>
              </w:tc>
            </w:tr>
            <w:tr w14:paraId="5D6F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77" w:type="dxa"/>
                  <w:vAlign w:val="center"/>
                </w:tcPr>
                <w:p w14:paraId="45B4406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6</w:t>
                  </w:r>
                </w:p>
              </w:tc>
              <w:tc>
                <w:tcPr>
                  <w:tcW w:w="3510" w:type="dxa"/>
                  <w:vAlign w:val="center"/>
                </w:tcPr>
                <w:p w14:paraId="1781C6B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居安勘测有限公司</w:t>
                  </w:r>
                </w:p>
              </w:tc>
              <w:tc>
                <w:tcPr>
                  <w:tcW w:w="3371" w:type="dxa"/>
                  <w:vAlign w:val="center"/>
                </w:tcPr>
                <w:p w14:paraId="5B07441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为本招标项目的勘察单位</w:t>
                  </w:r>
                </w:p>
              </w:tc>
            </w:tr>
            <w:tr w14:paraId="31CB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77" w:type="dxa"/>
                  <w:vAlign w:val="center"/>
                </w:tcPr>
                <w:p w14:paraId="3A11F44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7</w:t>
                  </w:r>
                </w:p>
              </w:tc>
              <w:tc>
                <w:tcPr>
                  <w:tcW w:w="3510" w:type="dxa"/>
                  <w:vAlign w:val="center"/>
                </w:tcPr>
                <w:p w14:paraId="034B772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贵州中垣设计有限公司</w:t>
                  </w:r>
                </w:p>
              </w:tc>
              <w:tc>
                <w:tcPr>
                  <w:tcW w:w="3371" w:type="dxa"/>
                  <w:vAlign w:val="center"/>
                </w:tcPr>
                <w:p w14:paraId="0B8C63A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为本招标项目的初步设计及概算编制单位</w:t>
                  </w:r>
                </w:p>
              </w:tc>
            </w:tr>
            <w:tr w14:paraId="2E63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77" w:type="dxa"/>
                  <w:vAlign w:val="center"/>
                </w:tcPr>
                <w:p w14:paraId="5DDBE29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8</w:t>
                  </w:r>
                </w:p>
              </w:tc>
              <w:tc>
                <w:tcPr>
                  <w:tcW w:w="3510" w:type="dxa"/>
                  <w:vAlign w:val="center"/>
                </w:tcPr>
                <w:p w14:paraId="69460C9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中撰工程设计有限公司</w:t>
                  </w:r>
                </w:p>
              </w:tc>
              <w:tc>
                <w:tcPr>
                  <w:tcW w:w="3371" w:type="dxa"/>
                  <w:vAlign w:val="center"/>
                </w:tcPr>
                <w:p w14:paraId="6BF7F2D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为本招标项目的工程设计单位</w:t>
                  </w:r>
                </w:p>
              </w:tc>
            </w:tr>
            <w:tr w14:paraId="2891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77" w:type="dxa"/>
                  <w:vAlign w:val="center"/>
                </w:tcPr>
                <w:p w14:paraId="6ECC2D7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9</w:t>
                  </w:r>
                </w:p>
              </w:tc>
              <w:tc>
                <w:tcPr>
                  <w:tcW w:w="3510" w:type="dxa"/>
                  <w:vAlign w:val="center"/>
                </w:tcPr>
                <w:p w14:paraId="1680F80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广东张大建信项目管理有限公司</w:t>
                  </w:r>
                </w:p>
              </w:tc>
              <w:tc>
                <w:tcPr>
                  <w:tcW w:w="3371" w:type="dxa"/>
                  <w:vAlign w:val="center"/>
                </w:tcPr>
                <w:p w14:paraId="0957CDC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为本招标项目的预算编制单位</w:t>
                  </w:r>
                </w:p>
              </w:tc>
            </w:tr>
            <w:tr w14:paraId="21F5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77" w:type="dxa"/>
                  <w:vAlign w:val="center"/>
                </w:tcPr>
                <w:p w14:paraId="0328AE9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10</w:t>
                  </w:r>
                </w:p>
              </w:tc>
              <w:tc>
                <w:tcPr>
                  <w:tcW w:w="3510" w:type="dxa"/>
                  <w:vAlign w:val="center"/>
                </w:tcPr>
                <w:p w14:paraId="64D235F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广东粤湾施工图审查有限公司</w:t>
                  </w:r>
                </w:p>
              </w:tc>
              <w:tc>
                <w:tcPr>
                  <w:tcW w:w="3371" w:type="dxa"/>
                  <w:vAlign w:val="center"/>
                </w:tcPr>
                <w:p w14:paraId="2EAA1BB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为本招标项目的施工图审查单位</w:t>
                  </w:r>
                </w:p>
              </w:tc>
            </w:tr>
          </w:tbl>
          <w:p w14:paraId="7E7C597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5 ．其他要求</w:t>
            </w:r>
          </w:p>
          <w:p w14:paraId="15FDD12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省外企业及其拟派往本项目管理机构的所有人员均须按照《广东省住房和城乡建设厅关于取消省外建筑企业和人员进粤信息备案有关工作的通知》（粤建市﹝2015﹞52 号）规定在“进粤企业和人员诚信信息登记平台 ”录入相关信息并通过数据规范检查。</w:t>
            </w:r>
          </w:p>
        </w:tc>
      </w:tr>
      <w:tr w14:paraId="67DD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582" w:type="dxa"/>
            <w:vAlign w:val="center"/>
          </w:tcPr>
          <w:p w14:paraId="703F9879">
            <w:pPr>
              <w:keepNext w:val="0"/>
              <w:keepLines w:val="0"/>
              <w:pageBreakBefore w:val="0"/>
              <w:wordWrap w:val="0"/>
              <w:overflowPunct/>
              <w:topLinePunct w:val="0"/>
              <w:bidi w:val="0"/>
              <w:spacing w:before="19"/>
              <w:jc w:val="center"/>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27</w:t>
            </w:r>
          </w:p>
        </w:tc>
        <w:tc>
          <w:tcPr>
            <w:tcW w:w="1860" w:type="dxa"/>
            <w:vAlign w:val="center"/>
          </w:tcPr>
          <w:p w14:paraId="4CB5E43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投标有效期</w:t>
            </w:r>
          </w:p>
        </w:tc>
        <w:tc>
          <w:tcPr>
            <w:tcW w:w="7656" w:type="dxa"/>
            <w:vAlign w:val="center"/>
          </w:tcPr>
          <w:p w14:paraId="3D83EF0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本次招标的投标有效期为</w:t>
            </w:r>
            <w:r>
              <w:rPr>
                <w:rFonts w:hint="eastAsia" w:ascii="宋体" w:hAnsi="宋体" w:eastAsia="宋体" w:cs="宋体"/>
                <w:snapToGrid w:val="0"/>
                <w:color w:val="000000" w:themeColor="text1"/>
                <w:spacing w:val="0"/>
                <w:kern w:val="0"/>
                <w:sz w:val="21"/>
                <w:szCs w:val="21"/>
                <w:highlight w:val="none"/>
                <w:u w:val="single"/>
                <w:lang w:eastAsia="zh-CN"/>
                <w14:textFill>
                  <w14:solidFill>
                    <w14:schemeClr w14:val="tx1"/>
                  </w14:solidFill>
                </w14:textFill>
              </w:rPr>
              <w:t>90</w:t>
            </w: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 xml:space="preserve"> 个日历天。</w:t>
            </w:r>
          </w:p>
        </w:tc>
      </w:tr>
      <w:tr w14:paraId="6150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582" w:type="dxa"/>
            <w:vAlign w:val="center"/>
          </w:tcPr>
          <w:p w14:paraId="75B295D4">
            <w:pPr>
              <w:keepNext w:val="0"/>
              <w:keepLines w:val="0"/>
              <w:pageBreakBefore w:val="0"/>
              <w:wordWrap w:val="0"/>
              <w:overflowPunct/>
              <w:topLinePunct w:val="0"/>
              <w:bidi w:val="0"/>
              <w:spacing w:before="69" w:line="188" w:lineRule="auto"/>
              <w:ind w:left="205"/>
              <w:jc w:val="both"/>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28</w:t>
            </w:r>
          </w:p>
        </w:tc>
        <w:tc>
          <w:tcPr>
            <w:tcW w:w="1860" w:type="dxa"/>
            <w:vAlign w:val="center"/>
          </w:tcPr>
          <w:p w14:paraId="4BFBD8C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投标文件组成</w:t>
            </w:r>
          </w:p>
        </w:tc>
        <w:tc>
          <w:tcPr>
            <w:tcW w:w="7656" w:type="dxa"/>
            <w:vAlign w:val="center"/>
          </w:tcPr>
          <w:p w14:paraId="142ADE0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投标文件包括商务标书、经济标书、施工组织设计三个分册。</w:t>
            </w:r>
          </w:p>
        </w:tc>
      </w:tr>
      <w:tr w14:paraId="5A82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30846F92">
            <w:pPr>
              <w:keepNext w:val="0"/>
              <w:keepLines w:val="0"/>
              <w:pageBreakBefore w:val="0"/>
              <w:wordWrap w:val="0"/>
              <w:overflowPunct/>
              <w:topLinePunct w:val="0"/>
              <w:bidi w:val="0"/>
              <w:spacing w:before="69" w:line="188" w:lineRule="auto"/>
              <w:ind w:left="205"/>
              <w:jc w:val="both"/>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29</w:t>
            </w:r>
          </w:p>
        </w:tc>
        <w:tc>
          <w:tcPr>
            <w:tcW w:w="1860" w:type="dxa"/>
            <w:vAlign w:val="center"/>
          </w:tcPr>
          <w:p w14:paraId="0FC3CC3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施工组织设计评审方式</w:t>
            </w:r>
          </w:p>
        </w:tc>
        <w:tc>
          <w:tcPr>
            <w:tcW w:w="7656" w:type="dxa"/>
            <w:vAlign w:val="center"/>
          </w:tcPr>
          <w:p w14:paraId="4C6491C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本次招标施工组织设计</w:t>
            </w:r>
            <w:r>
              <w:rPr>
                <w:rFonts w:hint="eastAsia" w:ascii="宋体" w:hAnsi="宋体" w:eastAsia="宋体" w:cs="宋体"/>
                <w:snapToGrid w:val="0"/>
                <w:color w:val="000000" w:themeColor="text1"/>
                <w:spacing w:val="0"/>
                <w:kern w:val="0"/>
                <w:sz w:val="21"/>
                <w:szCs w:val="21"/>
                <w:highlight w:val="none"/>
                <w:u w:val="single"/>
                <w:lang w:eastAsia="zh-CN"/>
                <w14:textFill>
                  <w14:solidFill>
                    <w14:schemeClr w14:val="tx1"/>
                  </w14:solidFill>
                </w14:textFill>
              </w:rPr>
              <w:t xml:space="preserve"> 不采用 </w:t>
            </w: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“暗标 ”方式进行评审。</w:t>
            </w:r>
          </w:p>
        </w:tc>
      </w:tr>
      <w:tr w14:paraId="253B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582" w:type="dxa"/>
            <w:vAlign w:val="center"/>
          </w:tcPr>
          <w:p w14:paraId="78D49806">
            <w:pPr>
              <w:keepNext w:val="0"/>
              <w:keepLines w:val="0"/>
              <w:pageBreakBefore w:val="0"/>
              <w:wordWrap w:val="0"/>
              <w:overflowPunct/>
              <w:topLinePunct w:val="0"/>
              <w:bidi w:val="0"/>
              <w:spacing w:before="69" w:line="188" w:lineRule="auto"/>
              <w:ind w:left="209"/>
              <w:jc w:val="both"/>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30</w:t>
            </w:r>
          </w:p>
        </w:tc>
        <w:tc>
          <w:tcPr>
            <w:tcW w:w="1860" w:type="dxa"/>
            <w:vAlign w:val="center"/>
          </w:tcPr>
          <w:p w14:paraId="65ACF68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评标委员会</w:t>
            </w:r>
          </w:p>
        </w:tc>
        <w:tc>
          <w:tcPr>
            <w:tcW w:w="7656" w:type="dxa"/>
            <w:vAlign w:val="top"/>
          </w:tcPr>
          <w:p w14:paraId="61B142C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评标委员会由 5 人组成，其中招标人代表 0 人，专家 5 人。专家从广东省综合评标评审专家库</w:t>
            </w:r>
            <w:r>
              <w:rPr>
                <w:rFonts w:hint="eastAsia" w:ascii="宋体" w:hAnsi="宋体" w:eastAsia="宋体" w:cs="宋体"/>
                <w:snapToGrid w:val="0"/>
                <w:color w:val="000000" w:themeColor="text1"/>
                <w:spacing w:val="0"/>
                <w:kern w:val="0"/>
                <w:sz w:val="21"/>
                <w:szCs w:val="21"/>
                <w:highlight w:val="none"/>
                <w:u w:val="single"/>
                <w:lang w:eastAsia="zh-CN"/>
                <w14:textFill>
                  <w14:solidFill>
                    <w14:schemeClr w14:val="tx1"/>
                  </w14:solidFill>
                </w14:textFill>
              </w:rPr>
              <w:t>（韶关区域）</w:t>
            </w: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中随机抽取，其中技术类专家 3 人，经济类专家 2 人。</w:t>
            </w:r>
          </w:p>
        </w:tc>
      </w:tr>
      <w:tr w14:paraId="4DBB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582" w:type="dxa"/>
            <w:vAlign w:val="center"/>
          </w:tcPr>
          <w:p w14:paraId="52927E18">
            <w:pPr>
              <w:keepNext w:val="0"/>
              <w:keepLines w:val="0"/>
              <w:pageBreakBefore w:val="0"/>
              <w:wordWrap w:val="0"/>
              <w:overflowPunct/>
              <w:topLinePunct w:val="0"/>
              <w:bidi w:val="0"/>
              <w:spacing w:before="258" w:line="188" w:lineRule="auto"/>
              <w:ind w:left="209"/>
              <w:jc w:val="both"/>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31</w:t>
            </w:r>
          </w:p>
        </w:tc>
        <w:tc>
          <w:tcPr>
            <w:tcW w:w="1860" w:type="dxa"/>
            <w:vAlign w:val="center"/>
          </w:tcPr>
          <w:p w14:paraId="3720AA4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评标方法</w:t>
            </w:r>
          </w:p>
        </w:tc>
        <w:tc>
          <w:tcPr>
            <w:tcW w:w="7656" w:type="dxa"/>
            <w:vAlign w:val="center"/>
          </w:tcPr>
          <w:p w14:paraId="3B1753D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 A＋B 值评标法  □经评审的最低投标价法   ☑综合评估法</w:t>
            </w:r>
          </w:p>
        </w:tc>
      </w:tr>
      <w:tr w14:paraId="4E70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5" w:hRule="atLeast"/>
        </w:trPr>
        <w:tc>
          <w:tcPr>
            <w:tcW w:w="582" w:type="dxa"/>
            <w:vAlign w:val="center"/>
          </w:tcPr>
          <w:p w14:paraId="56B959FD">
            <w:pPr>
              <w:keepNext w:val="0"/>
              <w:keepLines w:val="0"/>
              <w:pageBreakBefore w:val="0"/>
              <w:wordWrap w:val="0"/>
              <w:overflowPunct/>
              <w:topLinePunct w:val="0"/>
              <w:bidi w:val="0"/>
              <w:spacing w:before="57" w:line="195" w:lineRule="auto"/>
              <w:jc w:val="center"/>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32</w:t>
            </w:r>
          </w:p>
        </w:tc>
        <w:tc>
          <w:tcPr>
            <w:tcW w:w="1860" w:type="dxa"/>
            <w:vAlign w:val="center"/>
          </w:tcPr>
          <w:p w14:paraId="5FAEFFC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招标文件要求提交的用于评审的证书、证件、证明原件</w:t>
            </w:r>
          </w:p>
        </w:tc>
        <w:tc>
          <w:tcPr>
            <w:tcW w:w="7656" w:type="dxa"/>
            <w:vAlign w:val="top"/>
          </w:tcPr>
          <w:p w14:paraId="71660FC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投标人在提交用于评审的证书、证件、证明原件的，投标人应自行将所需原件密封于文件袋（箱）中，并自行准备两张“原件一览表 ”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2D98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582" w:type="dxa"/>
            <w:vAlign w:val="center"/>
          </w:tcPr>
          <w:p w14:paraId="0C69718A">
            <w:pPr>
              <w:keepNext w:val="0"/>
              <w:keepLines w:val="0"/>
              <w:pageBreakBefore w:val="0"/>
              <w:wordWrap w:val="0"/>
              <w:overflowPunct/>
              <w:topLinePunct w:val="0"/>
              <w:bidi w:val="0"/>
              <w:spacing w:before="69" w:line="188" w:lineRule="auto"/>
              <w:ind w:left="209"/>
              <w:rPr>
                <w:rFonts w:hint="eastAsia" w:ascii="宋体" w:hAnsi="宋体" w:eastAsia="宋体" w:cs="宋体"/>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sz w:val="21"/>
                <w:szCs w:val="21"/>
                <w:highlight w:val="none"/>
                <w:lang w:eastAsia="zh-CN"/>
                <w14:textFill>
                  <w14:solidFill>
                    <w14:schemeClr w14:val="tx1"/>
                  </w14:solidFill>
                </w14:textFill>
              </w:rPr>
              <w:t>33</w:t>
            </w:r>
          </w:p>
        </w:tc>
        <w:tc>
          <w:tcPr>
            <w:tcW w:w="1860" w:type="dxa"/>
            <w:vAlign w:val="center"/>
          </w:tcPr>
          <w:p w14:paraId="20A44A5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招标代理费</w:t>
            </w:r>
          </w:p>
        </w:tc>
        <w:tc>
          <w:tcPr>
            <w:tcW w:w="7656" w:type="dxa"/>
            <w:vAlign w:val="center"/>
          </w:tcPr>
          <w:p w14:paraId="0F863CA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根据招标代理收费标准计价，按新丰县服务类下浮10%签订合同，包含一切费用，招标代理服务费由中标人支付。</w:t>
            </w:r>
          </w:p>
        </w:tc>
      </w:tr>
      <w:tr w14:paraId="7AAB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9" w:hRule="atLeast"/>
        </w:trPr>
        <w:tc>
          <w:tcPr>
            <w:tcW w:w="582" w:type="dxa"/>
            <w:vAlign w:val="center"/>
          </w:tcPr>
          <w:p w14:paraId="75B13CC6">
            <w:pPr>
              <w:keepNext w:val="0"/>
              <w:keepLines w:val="0"/>
              <w:pageBreakBefore w:val="0"/>
              <w:wordWrap w:val="0"/>
              <w:overflowPunct/>
              <w:topLinePunct w:val="0"/>
              <w:bidi w:val="0"/>
              <w:spacing w:before="69" w:line="188" w:lineRule="auto"/>
              <w:jc w:val="center"/>
              <w:rPr>
                <w:rFonts w:hint="eastAsia" w:ascii="宋体" w:hAnsi="宋体" w:eastAsia="宋体" w:cs="宋体"/>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34</w:t>
            </w:r>
          </w:p>
        </w:tc>
        <w:tc>
          <w:tcPr>
            <w:tcW w:w="1860" w:type="dxa"/>
            <w:vAlign w:val="center"/>
          </w:tcPr>
          <w:p w14:paraId="198B1BD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招标人</w:t>
            </w:r>
          </w:p>
          <w:p w14:paraId="2C622AED">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联系方式</w:t>
            </w:r>
          </w:p>
        </w:tc>
        <w:tc>
          <w:tcPr>
            <w:tcW w:w="7656" w:type="dxa"/>
            <w:vAlign w:val="center"/>
          </w:tcPr>
          <w:p w14:paraId="6356A8B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highlight w:val="none"/>
                <w14:textFill>
                  <w14:solidFill>
                    <w14:schemeClr w14:val="tx1"/>
                  </w14:solidFill>
                </w14:textFill>
              </w:rPr>
              <w:t>单位名称：</w:t>
            </w:r>
            <w:r>
              <w:rPr>
                <w:rFonts w:hint="eastAsia" w:ascii="宋体" w:hAnsi="宋体" w:eastAsia="宋体" w:cs="宋体"/>
                <w:snapToGrid w:val="0"/>
                <w:color w:val="000000" w:themeColor="text1"/>
                <w:spacing w:val="0"/>
                <w:kern w:val="0"/>
                <w:sz w:val="21"/>
                <w:highlight w:val="none"/>
                <w:lang w:eastAsia="zh-CN"/>
                <w14:textFill>
                  <w14:solidFill>
                    <w14:schemeClr w14:val="tx1"/>
                  </w14:solidFill>
                </w14:textFill>
              </w:rPr>
              <w:t>新丰县梅坑镇人民政府</w:t>
            </w:r>
          </w:p>
          <w:p w14:paraId="3707E73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highlight w:val="none"/>
                <w14:textFill>
                  <w14:solidFill>
                    <w14:schemeClr w14:val="tx1"/>
                  </w14:solidFill>
                </w14:textFill>
              </w:rPr>
            </w:pPr>
            <w:r>
              <w:rPr>
                <w:rFonts w:hint="eastAsia" w:ascii="宋体" w:hAnsi="宋体" w:eastAsia="宋体" w:cs="宋体"/>
                <w:snapToGrid w:val="0"/>
                <w:color w:val="000000" w:themeColor="text1"/>
                <w:spacing w:val="0"/>
                <w:kern w:val="0"/>
                <w:sz w:val="21"/>
                <w:highlight w:val="none"/>
                <w14:textFill>
                  <w14:solidFill>
                    <w14:schemeClr w14:val="tx1"/>
                  </w14:solidFill>
                </w14:textFill>
              </w:rPr>
              <w:t xml:space="preserve">办公地址：韶关市新丰县梅坑镇梅北路3号 </w:t>
            </w:r>
          </w:p>
          <w:p w14:paraId="638E6D2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highlight w:val="none"/>
                <w14:textFill>
                  <w14:solidFill>
                    <w14:schemeClr w14:val="tx1"/>
                  </w14:solidFill>
                </w14:textFill>
              </w:rPr>
            </w:pPr>
            <w:r>
              <w:rPr>
                <w:rFonts w:hint="eastAsia" w:ascii="宋体" w:hAnsi="宋体" w:eastAsia="宋体" w:cs="宋体"/>
                <w:snapToGrid w:val="0"/>
                <w:color w:val="000000" w:themeColor="text1"/>
                <w:spacing w:val="0"/>
                <w:kern w:val="0"/>
                <w:sz w:val="21"/>
                <w:highlight w:val="none"/>
                <w14:textFill>
                  <w14:solidFill>
                    <w14:schemeClr w14:val="tx1"/>
                  </w14:solidFill>
                </w14:textFill>
              </w:rPr>
              <w:t>联系人（部门）：</w:t>
            </w:r>
            <w:r>
              <w:rPr>
                <w:rFonts w:hint="eastAsia" w:ascii="宋体" w:hAnsi="宋体" w:eastAsia="宋体" w:cs="宋体"/>
                <w:snapToGrid w:val="0"/>
                <w:color w:val="000000" w:themeColor="text1"/>
                <w:spacing w:val="0"/>
                <w:kern w:val="0"/>
                <w:sz w:val="21"/>
                <w:highlight w:val="none"/>
                <w:lang w:val="en-US" w:eastAsia="zh-CN"/>
                <w14:textFill>
                  <w14:solidFill>
                    <w14:schemeClr w14:val="tx1"/>
                  </w14:solidFill>
                </w14:textFill>
              </w:rPr>
              <w:t>黄工</w:t>
            </w:r>
            <w:r>
              <w:rPr>
                <w:rFonts w:hint="eastAsia" w:ascii="宋体" w:hAnsi="宋体" w:eastAsia="宋体" w:cs="宋体"/>
                <w:snapToGrid w:val="0"/>
                <w:color w:val="000000" w:themeColor="text1"/>
                <w:spacing w:val="0"/>
                <w:kern w:val="0"/>
                <w:sz w:val="21"/>
                <w:highlight w:val="none"/>
                <w14:textFill>
                  <w14:solidFill>
                    <w14:schemeClr w14:val="tx1"/>
                  </w14:solidFill>
                </w14:textFill>
              </w:rPr>
              <w:t xml:space="preserve"> </w:t>
            </w:r>
          </w:p>
          <w:p w14:paraId="7AE74A5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highlight w:val="none"/>
                <w14:textFill>
                  <w14:solidFill>
                    <w14:schemeClr w14:val="tx1"/>
                  </w14:solidFill>
                </w14:textFill>
              </w:rPr>
              <w:t xml:space="preserve">联系电话：0751-2383223 </w:t>
            </w:r>
          </w:p>
        </w:tc>
      </w:tr>
      <w:tr w14:paraId="1335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82" w:type="dxa"/>
            <w:vAlign w:val="center"/>
          </w:tcPr>
          <w:p w14:paraId="1022974A">
            <w:pPr>
              <w:keepNext w:val="0"/>
              <w:keepLines w:val="0"/>
              <w:pageBreakBefore w:val="0"/>
              <w:wordWrap w:val="0"/>
              <w:overflowPunct/>
              <w:topLinePunct w:val="0"/>
              <w:bidi w:val="0"/>
              <w:spacing w:before="69" w:line="188" w:lineRule="auto"/>
              <w:jc w:val="center"/>
              <w:rPr>
                <w:rFonts w:hint="eastAsia" w:ascii="宋体" w:hAnsi="宋体" w:eastAsia="宋体" w:cs="宋体"/>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sz w:val="21"/>
                <w:szCs w:val="21"/>
                <w:highlight w:val="none"/>
                <w:lang w:eastAsia="zh-CN"/>
                <w14:textFill>
                  <w14:solidFill>
                    <w14:schemeClr w14:val="tx1"/>
                  </w14:solidFill>
                </w14:textFill>
              </w:rPr>
              <w:t>35</w:t>
            </w:r>
          </w:p>
        </w:tc>
        <w:tc>
          <w:tcPr>
            <w:tcW w:w="1860" w:type="dxa"/>
            <w:vAlign w:val="center"/>
          </w:tcPr>
          <w:p w14:paraId="7F3AD70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招标代理机构</w:t>
            </w:r>
          </w:p>
          <w:p w14:paraId="0B65885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联系方式</w:t>
            </w:r>
          </w:p>
        </w:tc>
        <w:tc>
          <w:tcPr>
            <w:tcW w:w="7656" w:type="dxa"/>
            <w:vAlign w:val="center"/>
          </w:tcPr>
          <w:p w14:paraId="51194965">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b w:val="0"/>
                <w:bCs w:val="0"/>
                <w:color w:val="000000" w:themeColor="text1"/>
                <w:spacing w:val="0"/>
                <w:sz w:val="21"/>
                <w:szCs w:val="21"/>
                <w:highlight w:val="none"/>
                <w:u w:val="none"/>
                <w:lang w:eastAsia="zh-CN"/>
                <w14:textFill>
                  <w14:solidFill>
                    <w14:schemeClr w14:val="tx1"/>
                  </w14:solidFill>
                </w14:textFill>
              </w:rPr>
            </w:pPr>
            <w:r>
              <w:rPr>
                <w:rFonts w:hint="eastAsia" w:ascii="宋体" w:hAnsi="宋体" w:eastAsia="宋体" w:cs="宋体"/>
                <w:b w:val="0"/>
                <w:bCs w:val="0"/>
                <w:color w:val="000000" w:themeColor="text1"/>
                <w:spacing w:val="0"/>
                <w:sz w:val="21"/>
                <w:szCs w:val="21"/>
                <w:highlight w:val="none"/>
                <w:u w:val="none"/>
                <w14:textFill>
                  <w14:solidFill>
                    <w14:schemeClr w14:val="tx1"/>
                  </w14:solidFill>
                </w14:textFill>
              </w:rPr>
              <w:t>单位名称：</w:t>
            </w:r>
            <w:r>
              <w:rPr>
                <w:rFonts w:hint="eastAsia" w:ascii="宋体" w:hAnsi="宋体" w:eastAsia="宋体" w:cs="宋体"/>
                <w:b w:val="0"/>
                <w:bCs w:val="0"/>
                <w:color w:val="000000" w:themeColor="text1"/>
                <w:spacing w:val="0"/>
                <w:sz w:val="21"/>
                <w:szCs w:val="21"/>
                <w:highlight w:val="none"/>
                <w:u w:val="none"/>
                <w:lang w:eastAsia="zh-CN"/>
                <w14:textFill>
                  <w14:solidFill>
                    <w14:schemeClr w14:val="tx1"/>
                  </w14:solidFill>
                </w14:textFill>
              </w:rPr>
              <w:t>新丰县市政工程公司</w:t>
            </w:r>
          </w:p>
          <w:p w14:paraId="54B534DC">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b w:val="0"/>
                <w:bCs w:val="0"/>
                <w:color w:val="000000" w:themeColor="text1"/>
                <w:spacing w:val="0"/>
                <w:sz w:val="21"/>
                <w:szCs w:val="21"/>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1"/>
                <w:szCs w:val="21"/>
                <w:highlight w:val="none"/>
                <w:u w:val="none"/>
                <w14:textFill>
                  <w14:solidFill>
                    <w14:schemeClr w14:val="tx1"/>
                  </w14:solidFill>
                </w14:textFill>
              </w:rPr>
              <w:t>办公地址：</w:t>
            </w:r>
            <w:r>
              <w:rPr>
                <w:rFonts w:hint="eastAsia" w:ascii="宋体" w:hAnsi="宋体" w:eastAsia="宋体" w:cs="宋体"/>
                <w:b w:val="0"/>
                <w:bCs w:val="0"/>
                <w:color w:val="000000" w:themeColor="text1"/>
                <w:spacing w:val="0"/>
                <w:sz w:val="21"/>
                <w:szCs w:val="21"/>
                <w:highlight w:val="none"/>
                <w:u w:val="none"/>
                <w:lang w:val="en-US" w:eastAsia="zh-CN"/>
                <w14:textFill>
                  <w14:solidFill>
                    <w14:schemeClr w14:val="tx1"/>
                  </w14:solidFill>
                </w14:textFill>
              </w:rPr>
              <w:t>新丰县丰城街道群英路新城二街1号新丰县国有资产管理集团有限公司A栋2楼</w:t>
            </w:r>
          </w:p>
          <w:p w14:paraId="2F2375C9">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b w:val="0"/>
                <w:bCs w:val="0"/>
                <w:color w:val="000000" w:themeColor="text1"/>
                <w:spacing w:val="0"/>
                <w:sz w:val="21"/>
                <w:szCs w:val="21"/>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1"/>
                <w:szCs w:val="21"/>
                <w:highlight w:val="none"/>
                <w:u w:val="none"/>
                <w:lang w:val="en-US" w:eastAsia="zh-CN"/>
                <w14:textFill>
                  <w14:solidFill>
                    <w14:schemeClr w14:val="tx1"/>
                  </w14:solidFill>
                </w14:textFill>
              </w:rPr>
              <w:t>联系人(部门)：刘工</w:t>
            </w:r>
          </w:p>
          <w:p w14:paraId="2B97C99A">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1"/>
                <w:szCs w:val="21"/>
                <w:highlight w:val="none"/>
                <w:u w:val="none"/>
                <w:lang w:val="en-US" w:eastAsia="zh-CN"/>
                <w14:textFill>
                  <w14:solidFill>
                    <w14:schemeClr w14:val="tx1"/>
                  </w14:solidFill>
                </w14:textFill>
              </w:rPr>
              <w:t>联系电话：13570797877</w:t>
            </w:r>
          </w:p>
        </w:tc>
      </w:tr>
      <w:tr w14:paraId="4E2F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7AEA0C33">
            <w:pPr>
              <w:keepNext w:val="0"/>
              <w:keepLines w:val="0"/>
              <w:pageBreakBefore w:val="0"/>
              <w:wordWrap w:val="0"/>
              <w:overflowPunct/>
              <w:topLinePunct w:val="0"/>
              <w:bidi w:val="0"/>
              <w:spacing w:before="69" w:line="188" w:lineRule="auto"/>
              <w:jc w:val="center"/>
              <w:rPr>
                <w:rFonts w:hint="eastAsia" w:ascii="宋体" w:hAnsi="宋体" w:eastAsia="宋体" w:cs="宋体"/>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sz w:val="21"/>
                <w:szCs w:val="21"/>
                <w:highlight w:val="none"/>
                <w:lang w:eastAsia="zh-CN"/>
                <w14:textFill>
                  <w14:solidFill>
                    <w14:schemeClr w14:val="tx1"/>
                  </w14:solidFill>
                </w14:textFill>
              </w:rPr>
              <w:t>36</w:t>
            </w:r>
          </w:p>
        </w:tc>
        <w:tc>
          <w:tcPr>
            <w:tcW w:w="1860" w:type="dxa"/>
            <w:vAlign w:val="center"/>
          </w:tcPr>
          <w:p w14:paraId="7DFD452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交易场所联系方式</w:t>
            </w:r>
          </w:p>
        </w:tc>
        <w:tc>
          <w:tcPr>
            <w:tcW w:w="7656" w:type="dxa"/>
            <w:vAlign w:val="center"/>
          </w:tcPr>
          <w:p w14:paraId="26085BD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单位名称：韶关市公共资源交易中心新丰分中心</w:t>
            </w:r>
          </w:p>
          <w:p w14:paraId="7EAED40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办公地址：新丰县丰城街道金园路53号行政服务中心5楼（韶关市公共资源交易中心新丰分中心）</w:t>
            </w:r>
          </w:p>
          <w:p w14:paraId="63EC010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联系人（部门）：工程交易部</w:t>
            </w:r>
          </w:p>
          <w:p w14:paraId="66948D8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联系电话：0751-2198025</w:t>
            </w:r>
          </w:p>
        </w:tc>
      </w:tr>
      <w:tr w14:paraId="04B8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3E200AD1">
            <w:pPr>
              <w:keepNext w:val="0"/>
              <w:keepLines w:val="0"/>
              <w:pageBreakBefore w:val="0"/>
              <w:wordWrap w:val="0"/>
              <w:overflowPunct/>
              <w:topLinePunct w:val="0"/>
              <w:bidi w:val="0"/>
              <w:spacing w:before="69" w:line="188" w:lineRule="auto"/>
              <w:jc w:val="center"/>
              <w:rPr>
                <w:rFonts w:hint="eastAsia" w:ascii="宋体" w:hAnsi="宋体" w:eastAsia="宋体" w:cs="宋体"/>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sz w:val="21"/>
                <w:szCs w:val="21"/>
                <w:highlight w:val="none"/>
                <w:lang w:eastAsia="zh-CN"/>
                <w14:textFill>
                  <w14:solidFill>
                    <w14:schemeClr w14:val="tx1"/>
                  </w14:solidFill>
                </w14:textFill>
              </w:rPr>
              <w:t>37</w:t>
            </w:r>
          </w:p>
        </w:tc>
        <w:tc>
          <w:tcPr>
            <w:tcW w:w="1860" w:type="dxa"/>
            <w:vAlign w:val="center"/>
          </w:tcPr>
          <w:p w14:paraId="49D0B385">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行政监督部</w:t>
            </w:r>
          </w:p>
          <w:p w14:paraId="5F176A1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门联系方式</w:t>
            </w:r>
          </w:p>
        </w:tc>
        <w:tc>
          <w:tcPr>
            <w:tcW w:w="7656" w:type="dxa"/>
            <w:vAlign w:val="center"/>
          </w:tcPr>
          <w:p w14:paraId="3926D75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highlight w:val="none"/>
                <w:lang w:val="en-US" w:eastAsia="zh-CN"/>
                <w14:textFill>
                  <w14:solidFill>
                    <w14:schemeClr w14:val="tx1"/>
                  </w14:solidFill>
                </w14:textFill>
              </w:rPr>
              <w:t>单位名称：新丰县住房和城乡建设管理局</w:t>
            </w:r>
          </w:p>
          <w:p w14:paraId="5582D6D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highlight w:val="none"/>
                <w:lang w:val="en-US" w:eastAsia="zh-CN"/>
                <w14:textFill>
                  <w14:solidFill>
                    <w14:schemeClr w14:val="tx1"/>
                  </w14:solidFill>
                </w14:textFill>
              </w:rPr>
              <w:t>办公地址：新丰县丰城街道金园路53号行政服务中心6楼</w:t>
            </w:r>
          </w:p>
          <w:p w14:paraId="3BC916A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sz w:val="21"/>
                <w:highlight w:val="none"/>
                <w:lang w:val="en-US" w:eastAsia="zh-CN"/>
                <w14:textFill>
                  <w14:solidFill>
                    <w14:schemeClr w14:val="tx1"/>
                  </w14:solidFill>
                </w14:textFill>
              </w:rPr>
              <w:t>联系人（部门）：建管股</w:t>
            </w:r>
          </w:p>
          <w:p w14:paraId="5BF301B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kern w:val="0"/>
                <w:sz w:val="21"/>
                <w:highlight w:val="none"/>
                <w:lang w:val="en-US" w:eastAsia="zh-CN"/>
                <w14:textFill>
                  <w14:solidFill>
                    <w14:schemeClr w14:val="tx1"/>
                  </w14:solidFill>
                </w14:textFill>
              </w:rPr>
              <w:t>联系电话：0751-6921025</w:t>
            </w:r>
          </w:p>
        </w:tc>
      </w:tr>
    </w:tbl>
    <w:p w14:paraId="7235C323">
      <w:pPr>
        <w:keepNext w:val="0"/>
        <w:keepLines w:val="0"/>
        <w:pageBreakBefore w:val="0"/>
        <w:wordWrap w:val="0"/>
        <w:overflowPunct/>
        <w:topLinePunct w:val="0"/>
        <w:bidi w:val="0"/>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9" w:name="bookmark115"/>
      <w:bookmarkEnd w:id="9"/>
      <w:r>
        <w:rPr>
          <w:rFonts w:hint="eastAsia" w:ascii="宋体" w:hAnsi="宋体" w:eastAsia="宋体" w:cs="宋体"/>
          <w:b/>
          <w:bCs/>
          <w:color w:val="000000" w:themeColor="text1"/>
          <w:spacing w:val="0"/>
          <w:sz w:val="24"/>
          <w:szCs w:val="24"/>
          <w:highlight w:val="none"/>
          <w14:textFill>
            <w14:solidFill>
              <w14:schemeClr w14:val="tx1"/>
            </w14:solidFill>
          </w14:textFill>
        </w:rPr>
        <w:br w:type="page"/>
      </w:r>
    </w:p>
    <w:p w14:paraId="1789A482">
      <w:pPr>
        <w:keepNext w:val="0"/>
        <w:keepLines w:val="0"/>
        <w:pageBreakBefore w:val="0"/>
        <w:wordWrap w:val="0"/>
        <w:overflowPunct/>
        <w:topLinePunct w:val="0"/>
        <w:bidi w:val="0"/>
        <w:spacing w:before="156" w:line="219" w:lineRule="auto"/>
        <w:ind w:left="17"/>
        <w:jc w:val="left"/>
        <w:outlineLvl w:val="1"/>
        <w:rPr>
          <w:rFonts w:hint="eastAsia" w:ascii="宋体" w:hAnsi="宋体" w:eastAsia="宋体" w:cs="宋体"/>
          <w:color w:val="000000" w:themeColor="text1"/>
          <w:spacing w:val="0"/>
          <w:highlight w:val="none"/>
          <w14:textFill>
            <w14:solidFill>
              <w14:schemeClr w14:val="tx1"/>
            </w14:solidFill>
          </w14:textFill>
        </w:rPr>
      </w:pPr>
      <w:bookmarkStart w:id="10" w:name="_Toc22491"/>
      <w:r>
        <w:rPr>
          <w:rFonts w:hint="eastAsia" w:ascii="宋体" w:hAnsi="宋体" w:eastAsia="宋体" w:cs="宋体"/>
          <w:b/>
          <w:bCs/>
          <w:color w:val="000000" w:themeColor="text1"/>
          <w:spacing w:val="0"/>
          <w:sz w:val="24"/>
          <w:szCs w:val="24"/>
          <w:highlight w:val="none"/>
          <w14:textFill>
            <w14:solidFill>
              <w14:schemeClr w14:val="tx1"/>
            </w14:solidFill>
          </w14:textFill>
        </w:rPr>
        <w:t>第二节 重要事项时间地点一览表</w:t>
      </w:r>
      <w:bookmarkEnd w:id="10"/>
    </w:p>
    <w:p w14:paraId="44D452CF">
      <w:pPr>
        <w:pStyle w:val="5"/>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bl>
      <w:tblPr>
        <w:tblStyle w:val="14"/>
        <w:tblW w:w="9059"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1"/>
        <w:gridCol w:w="1300"/>
        <w:gridCol w:w="7338"/>
      </w:tblGrid>
      <w:tr w14:paraId="0517B1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34246031">
            <w:pPr>
              <w:pStyle w:val="28"/>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14:textFill>
                  <w14:solidFill>
                    <w14:schemeClr w14:val="tx1"/>
                  </w14:solidFill>
                </w14:textFill>
              </w:rPr>
              <w:t>1</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5CBBA90E">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招标公告</w:t>
            </w:r>
          </w:p>
          <w:p w14:paraId="666692D7">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 xml:space="preserve">发布时间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0C104DB8">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color w:val="000000" w:themeColor="text1"/>
                <w:spacing w:val="0"/>
                <w:kern w:val="0"/>
                <w:sz w:val="21"/>
                <w:szCs w:val="21"/>
                <w:highlight w:val="none"/>
                <w:u w:val="single"/>
                <w:lang w:val="en-US" w:eastAsia="zh-CN" w:bidi="ar-SA"/>
                <w14:textFill>
                  <w14:solidFill>
                    <w14:schemeClr w14:val="tx1"/>
                  </w14:solidFill>
                </w14:textFill>
              </w:rPr>
              <w:t xml:space="preserve"> 2025 </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年</w:t>
            </w:r>
            <w:r>
              <w:rPr>
                <w:rFonts w:hint="eastAsia" w:ascii="宋体" w:hAnsi="宋体" w:eastAsia="宋体" w:cs="宋体"/>
                <w:color w:val="000000" w:themeColor="text1"/>
                <w:spacing w:val="0"/>
                <w:kern w:val="0"/>
                <w:sz w:val="21"/>
                <w:szCs w:val="21"/>
                <w:highlight w:val="none"/>
                <w:u w:val="single"/>
                <w:lang w:val="en-US" w:eastAsia="zh-CN" w:bidi="ar-SA"/>
                <w14:textFill>
                  <w14:solidFill>
                    <w14:schemeClr w14:val="tx1"/>
                  </w14:solidFill>
                </w14:textFill>
              </w:rPr>
              <w:t>10</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月</w:t>
            </w:r>
            <w:r>
              <w:rPr>
                <w:rFonts w:hint="eastAsia" w:ascii="宋体" w:hAnsi="宋体" w:eastAsia="宋体" w:cs="宋体"/>
                <w:color w:val="000000" w:themeColor="text1"/>
                <w:spacing w:val="0"/>
                <w:kern w:val="0"/>
                <w:sz w:val="21"/>
                <w:szCs w:val="21"/>
                <w:highlight w:val="none"/>
                <w:u w:val="single"/>
                <w:lang w:val="en-US" w:eastAsia="zh-CN" w:bidi="ar-SA"/>
                <w14:textFill>
                  <w14:solidFill>
                    <w14:schemeClr w14:val="tx1"/>
                  </w14:solidFill>
                </w14:textFill>
              </w:rPr>
              <w:t>30</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日</w:t>
            </w:r>
            <w:r>
              <w:rPr>
                <w:rFonts w:hint="eastAsia" w:ascii="宋体" w:hAnsi="宋体" w:eastAsia="宋体" w:cs="宋体"/>
                <w:color w:val="000000" w:themeColor="text1"/>
                <w:spacing w:val="0"/>
                <w:kern w:val="0"/>
                <w:sz w:val="21"/>
                <w:szCs w:val="21"/>
                <w:highlight w:val="none"/>
                <w:u w:val="single"/>
                <w:lang w:val="en-US" w:eastAsia="zh-CN" w:bidi="ar-SA"/>
                <w14:textFill>
                  <w14:solidFill>
                    <w14:schemeClr w14:val="tx1"/>
                  </w14:solidFill>
                </w14:textFill>
              </w:rPr>
              <w:t>18</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时</w:t>
            </w:r>
            <w:r>
              <w:rPr>
                <w:rFonts w:hint="eastAsia" w:ascii="宋体" w:hAnsi="宋体" w:eastAsia="宋体" w:cs="宋体"/>
                <w:color w:val="000000" w:themeColor="text1"/>
                <w:spacing w:val="0"/>
                <w:kern w:val="0"/>
                <w:sz w:val="21"/>
                <w:szCs w:val="21"/>
                <w:highlight w:val="none"/>
                <w:u w:val="single"/>
                <w:lang w:val="en-US" w:eastAsia="zh-CN" w:bidi="ar-SA"/>
                <w14:textFill>
                  <w14:solidFill>
                    <w14:schemeClr w14:val="tx1"/>
                  </w14:solidFill>
                </w14:textFill>
              </w:rPr>
              <w:t>00</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分</w:t>
            </w:r>
          </w:p>
        </w:tc>
      </w:tr>
      <w:tr w14:paraId="7067E4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0"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1FE8C188">
            <w:pPr>
              <w:pStyle w:val="28"/>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14:textFill>
                  <w14:solidFill>
                    <w14:schemeClr w14:val="tx1"/>
                  </w14:solidFill>
                </w14:textFill>
              </w:rPr>
              <w:t>2</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1755E246">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 xml:space="preserve">获取招标文件截止时间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7400C243">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color w:val="000000" w:themeColor="text1"/>
                <w:spacing w:val="0"/>
                <w:kern w:val="0"/>
                <w:sz w:val="21"/>
                <w:szCs w:val="21"/>
                <w:highlight w:val="none"/>
                <w:u w:val="single"/>
                <w:lang w:val="en-US" w:eastAsia="zh-CN" w:bidi="ar-SA"/>
                <w14:textFill>
                  <w14:solidFill>
                    <w14:schemeClr w14:val="tx1"/>
                  </w14:solidFill>
                </w14:textFill>
              </w:rPr>
              <w:t xml:space="preserve"> 2025</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年</w:t>
            </w:r>
            <w:r>
              <w:rPr>
                <w:rFonts w:hint="eastAsia" w:ascii="宋体" w:hAnsi="宋体" w:eastAsia="宋体" w:cs="宋体"/>
                <w:snapToGrid w:val="0"/>
                <w:color w:val="000000" w:themeColor="text1"/>
                <w:spacing w:val="0"/>
                <w:kern w:val="0"/>
                <w:sz w:val="21"/>
                <w:szCs w:val="21"/>
                <w:highlight w:val="none"/>
                <w:u w:val="single"/>
                <w:lang w:val="en-US" w:eastAsia="zh-CN" w:bidi="ar-SA"/>
                <w14:textFill>
                  <w14:solidFill>
                    <w14:schemeClr w14:val="tx1"/>
                  </w14:solidFill>
                </w14:textFill>
              </w:rPr>
              <w:t>11</w:t>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月</w:t>
            </w:r>
            <w:r>
              <w:rPr>
                <w:rFonts w:hint="eastAsia" w:ascii="宋体" w:hAnsi="宋体" w:eastAsia="宋体" w:cs="宋体"/>
                <w:snapToGrid w:val="0"/>
                <w:color w:val="000000" w:themeColor="text1"/>
                <w:spacing w:val="0"/>
                <w:kern w:val="0"/>
                <w:sz w:val="21"/>
                <w:szCs w:val="21"/>
                <w:highlight w:val="none"/>
                <w:u w:val="single"/>
                <w:lang w:val="en-US" w:eastAsia="zh-CN" w:bidi="ar-SA"/>
                <w14:textFill>
                  <w14:solidFill>
                    <w14:schemeClr w14:val="tx1"/>
                  </w14:solidFill>
                </w14:textFill>
              </w:rPr>
              <w:t>21</w:t>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日</w:t>
            </w:r>
            <w:r>
              <w:rPr>
                <w:rFonts w:hint="eastAsia" w:ascii="宋体" w:hAnsi="宋体" w:eastAsia="宋体" w:cs="宋体"/>
                <w:snapToGrid w:val="0"/>
                <w:color w:val="000000" w:themeColor="text1"/>
                <w:spacing w:val="0"/>
                <w:kern w:val="0"/>
                <w:sz w:val="21"/>
                <w:szCs w:val="21"/>
                <w:highlight w:val="none"/>
                <w:u w:val="single"/>
                <w:lang w:val="en-US" w:eastAsia="zh-CN" w:bidi="ar-SA"/>
                <w14:textFill>
                  <w14:solidFill>
                    <w14:schemeClr w14:val="tx1"/>
                  </w14:solidFill>
                </w14:textFill>
              </w:rPr>
              <w:t>10</w:t>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时</w:t>
            </w:r>
            <w:r>
              <w:rPr>
                <w:rFonts w:hint="eastAsia" w:ascii="宋体" w:hAnsi="宋体" w:eastAsia="宋体" w:cs="宋体"/>
                <w:snapToGrid w:val="0"/>
                <w:color w:val="000000" w:themeColor="text1"/>
                <w:spacing w:val="0"/>
                <w:kern w:val="0"/>
                <w:sz w:val="21"/>
                <w:szCs w:val="21"/>
                <w:highlight w:val="none"/>
                <w:u w:val="single"/>
                <w:lang w:val="en-US" w:eastAsia="zh-CN" w:bidi="ar-SA"/>
                <w14:textFill>
                  <w14:solidFill>
                    <w14:schemeClr w14:val="tx1"/>
                  </w14:solidFill>
                </w14:textFill>
              </w:rPr>
              <w:t>30</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分</w:t>
            </w:r>
          </w:p>
        </w:tc>
      </w:tr>
      <w:tr w14:paraId="783654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7"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15ADE1F4">
            <w:pPr>
              <w:pStyle w:val="28"/>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14:textFill>
                  <w14:solidFill>
                    <w14:schemeClr w14:val="tx1"/>
                  </w14:solidFill>
                </w14:textFill>
              </w:rPr>
              <w:t>3</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62198D29">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网上提问</w:t>
            </w:r>
          </w:p>
          <w:p w14:paraId="455D8911">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 xml:space="preserve">截止时间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26BC3BAB">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color w:val="000000" w:themeColor="text1"/>
                <w:spacing w:val="0"/>
                <w:kern w:val="0"/>
                <w:sz w:val="21"/>
                <w:szCs w:val="21"/>
                <w:highlight w:val="none"/>
                <w:u w:val="single"/>
                <w:lang w:val="en-US" w:eastAsia="zh-CN" w:bidi="ar-SA"/>
                <w14:textFill>
                  <w14:solidFill>
                    <w14:schemeClr w14:val="tx1"/>
                  </w14:solidFill>
                </w14:textFill>
              </w:rPr>
              <w:t xml:space="preserve"> 2025 </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年</w:t>
            </w:r>
            <w:r>
              <w:rPr>
                <w:rFonts w:hint="eastAsia" w:ascii="宋体" w:hAnsi="宋体" w:eastAsia="宋体" w:cs="宋体"/>
                <w:color w:val="000000" w:themeColor="text1"/>
                <w:spacing w:val="0"/>
                <w:kern w:val="0"/>
                <w:sz w:val="21"/>
                <w:szCs w:val="21"/>
                <w:highlight w:val="none"/>
                <w:u w:val="single"/>
                <w:lang w:val="en-US" w:eastAsia="zh-CN" w:bidi="ar-SA"/>
                <w14:textFill>
                  <w14:solidFill>
                    <w14:schemeClr w14:val="tx1"/>
                  </w14:solidFill>
                </w14:textFill>
              </w:rPr>
              <w:t>11</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月</w:t>
            </w:r>
            <w:r>
              <w:rPr>
                <w:rFonts w:hint="eastAsia" w:ascii="宋体" w:hAnsi="宋体" w:eastAsia="宋体" w:cs="宋体"/>
                <w:color w:val="000000" w:themeColor="text1"/>
                <w:spacing w:val="0"/>
                <w:kern w:val="0"/>
                <w:sz w:val="21"/>
                <w:szCs w:val="21"/>
                <w:highlight w:val="none"/>
                <w:u w:val="single"/>
                <w:lang w:val="en-US" w:eastAsia="zh-CN" w:bidi="ar-SA"/>
                <w14:textFill>
                  <w14:solidFill>
                    <w14:schemeClr w14:val="tx1"/>
                  </w14:solidFill>
                </w14:textFill>
              </w:rPr>
              <w:t>11</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日</w:t>
            </w:r>
            <w:r>
              <w:rPr>
                <w:rFonts w:hint="eastAsia" w:ascii="宋体" w:hAnsi="宋体" w:eastAsia="宋体" w:cs="宋体"/>
                <w:color w:val="000000" w:themeColor="text1"/>
                <w:spacing w:val="0"/>
                <w:kern w:val="0"/>
                <w:sz w:val="21"/>
                <w:szCs w:val="21"/>
                <w:highlight w:val="none"/>
                <w:u w:val="single"/>
                <w:lang w:val="en-US" w:eastAsia="zh-CN" w:bidi="ar-SA"/>
                <w14:textFill>
                  <w14:solidFill>
                    <w14:schemeClr w14:val="tx1"/>
                  </w14:solidFill>
                </w14:textFill>
              </w:rPr>
              <w:t>16</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时</w:t>
            </w:r>
            <w:r>
              <w:rPr>
                <w:rFonts w:hint="eastAsia" w:ascii="宋体" w:hAnsi="宋体" w:eastAsia="宋体" w:cs="宋体"/>
                <w:color w:val="000000" w:themeColor="text1"/>
                <w:spacing w:val="0"/>
                <w:kern w:val="0"/>
                <w:sz w:val="21"/>
                <w:szCs w:val="21"/>
                <w:highlight w:val="none"/>
                <w:u w:val="single"/>
                <w:lang w:val="en-US" w:eastAsia="zh-CN" w:bidi="ar-SA"/>
                <w14:textFill>
                  <w14:solidFill>
                    <w14:schemeClr w14:val="tx1"/>
                  </w14:solidFill>
                </w14:textFill>
              </w:rPr>
              <w:t>00</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分</w:t>
            </w:r>
          </w:p>
        </w:tc>
      </w:tr>
      <w:tr w14:paraId="456405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3"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3B82443D">
            <w:pPr>
              <w:pStyle w:val="28"/>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14:textFill>
                  <w14:solidFill>
                    <w14:schemeClr w14:val="tx1"/>
                  </w14:solidFill>
                </w14:textFill>
              </w:rPr>
              <w:t>4</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2CE1AA03">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网上答疑</w:t>
            </w:r>
          </w:p>
          <w:p w14:paraId="0F5F46E0">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时间</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7B5EFA2E">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color w:val="000000" w:themeColor="text1"/>
                <w:spacing w:val="0"/>
                <w:kern w:val="0"/>
                <w:sz w:val="21"/>
                <w:szCs w:val="21"/>
                <w:highlight w:val="none"/>
                <w:u w:val="single"/>
                <w:lang w:val="en-US" w:eastAsia="zh-CN" w:bidi="ar-SA"/>
                <w14:textFill>
                  <w14:solidFill>
                    <w14:schemeClr w14:val="tx1"/>
                  </w14:solidFill>
                </w14:textFill>
              </w:rPr>
              <w:t xml:space="preserve"> 2025 </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年</w:t>
            </w:r>
            <w:r>
              <w:rPr>
                <w:rFonts w:hint="eastAsia" w:ascii="宋体" w:hAnsi="宋体" w:eastAsia="宋体" w:cs="宋体"/>
                <w:color w:val="000000" w:themeColor="text1"/>
                <w:spacing w:val="0"/>
                <w:kern w:val="0"/>
                <w:sz w:val="21"/>
                <w:szCs w:val="21"/>
                <w:highlight w:val="none"/>
                <w:u w:val="single"/>
                <w:lang w:val="en-US" w:eastAsia="zh-CN" w:bidi="ar-SA"/>
                <w14:textFill>
                  <w14:solidFill>
                    <w14:schemeClr w14:val="tx1"/>
                  </w14:solidFill>
                </w14:textFill>
              </w:rPr>
              <w:t>11</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月</w:t>
            </w:r>
            <w:r>
              <w:rPr>
                <w:rFonts w:hint="eastAsia" w:ascii="宋体" w:hAnsi="宋体" w:eastAsia="宋体" w:cs="宋体"/>
                <w:color w:val="000000" w:themeColor="text1"/>
                <w:spacing w:val="0"/>
                <w:kern w:val="0"/>
                <w:sz w:val="21"/>
                <w:szCs w:val="21"/>
                <w:highlight w:val="none"/>
                <w:u w:val="single"/>
                <w:lang w:val="en-US" w:eastAsia="zh-CN" w:bidi="ar-SA"/>
                <w14:textFill>
                  <w14:solidFill>
                    <w14:schemeClr w14:val="tx1"/>
                  </w14:solidFill>
                </w14:textFill>
              </w:rPr>
              <w:t>11</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日</w:t>
            </w:r>
            <w:r>
              <w:rPr>
                <w:rFonts w:hint="eastAsia" w:ascii="宋体" w:hAnsi="宋体" w:eastAsia="宋体" w:cs="宋体"/>
                <w:color w:val="000000" w:themeColor="text1"/>
                <w:spacing w:val="0"/>
                <w:kern w:val="0"/>
                <w:sz w:val="21"/>
                <w:szCs w:val="21"/>
                <w:highlight w:val="none"/>
                <w:u w:val="single"/>
                <w:lang w:val="en-US" w:eastAsia="zh-CN" w:bidi="ar-SA"/>
                <w14:textFill>
                  <w14:solidFill>
                    <w14:schemeClr w14:val="tx1"/>
                  </w14:solidFill>
                </w14:textFill>
              </w:rPr>
              <w:t>16</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时</w:t>
            </w:r>
            <w:r>
              <w:rPr>
                <w:rFonts w:hint="eastAsia" w:ascii="宋体" w:hAnsi="宋体" w:eastAsia="宋体" w:cs="宋体"/>
                <w:color w:val="000000" w:themeColor="text1"/>
                <w:spacing w:val="0"/>
                <w:kern w:val="0"/>
                <w:sz w:val="21"/>
                <w:szCs w:val="21"/>
                <w:highlight w:val="none"/>
                <w:u w:val="single"/>
                <w:lang w:val="en-US" w:eastAsia="zh-CN" w:bidi="ar-SA"/>
                <w14:textFill>
                  <w14:solidFill>
                    <w14:schemeClr w14:val="tx1"/>
                  </w14:solidFill>
                </w14:textFill>
              </w:rPr>
              <w:t>30</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分至</w:t>
            </w:r>
            <w:r>
              <w:rPr>
                <w:rFonts w:hint="eastAsia" w:ascii="宋体" w:hAnsi="宋体" w:eastAsia="宋体" w:cs="宋体"/>
                <w:color w:val="000000" w:themeColor="text1"/>
                <w:spacing w:val="0"/>
                <w:kern w:val="0"/>
                <w:sz w:val="21"/>
                <w:szCs w:val="21"/>
                <w:highlight w:val="none"/>
                <w:u w:val="single"/>
                <w:lang w:val="en-US" w:eastAsia="zh-CN" w:bidi="ar-SA"/>
                <w14:textFill>
                  <w14:solidFill>
                    <w14:schemeClr w14:val="tx1"/>
                  </w14:solidFill>
                </w14:textFill>
              </w:rPr>
              <w:t>2025</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年</w:t>
            </w:r>
            <w:r>
              <w:rPr>
                <w:rFonts w:hint="eastAsia" w:ascii="宋体" w:hAnsi="宋体" w:eastAsia="宋体" w:cs="宋体"/>
                <w:color w:val="000000" w:themeColor="text1"/>
                <w:spacing w:val="0"/>
                <w:kern w:val="0"/>
                <w:sz w:val="21"/>
                <w:szCs w:val="21"/>
                <w:highlight w:val="none"/>
                <w:u w:val="single"/>
                <w:lang w:val="en-US" w:eastAsia="zh-CN" w:bidi="ar-SA"/>
                <w14:textFill>
                  <w14:solidFill>
                    <w14:schemeClr w14:val="tx1"/>
                  </w14:solidFill>
                </w14:textFill>
              </w:rPr>
              <w:t>11</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月</w:t>
            </w:r>
            <w:r>
              <w:rPr>
                <w:rFonts w:hint="eastAsia" w:ascii="宋体" w:hAnsi="宋体" w:eastAsia="宋体" w:cs="宋体"/>
                <w:color w:val="000000" w:themeColor="text1"/>
                <w:spacing w:val="0"/>
                <w:kern w:val="0"/>
                <w:sz w:val="21"/>
                <w:szCs w:val="21"/>
                <w:highlight w:val="none"/>
                <w:u w:val="single"/>
                <w:lang w:val="en-US" w:eastAsia="zh-CN" w:bidi="ar-SA"/>
                <w14:textFill>
                  <w14:solidFill>
                    <w14:schemeClr w14:val="tx1"/>
                  </w14:solidFill>
                </w14:textFill>
              </w:rPr>
              <w:t>14</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日</w:t>
            </w:r>
            <w:r>
              <w:rPr>
                <w:rFonts w:hint="eastAsia" w:ascii="宋体" w:hAnsi="宋体" w:eastAsia="宋体" w:cs="宋体"/>
                <w:color w:val="000000" w:themeColor="text1"/>
                <w:spacing w:val="0"/>
                <w:kern w:val="0"/>
                <w:sz w:val="21"/>
                <w:szCs w:val="21"/>
                <w:highlight w:val="none"/>
                <w:u w:val="single"/>
                <w:lang w:val="en-US" w:eastAsia="zh-CN" w:bidi="ar-SA"/>
                <w14:textFill>
                  <w14:solidFill>
                    <w14:schemeClr w14:val="tx1"/>
                  </w14:solidFill>
                </w14:textFill>
              </w:rPr>
              <w:t>16</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时</w:t>
            </w:r>
            <w:r>
              <w:rPr>
                <w:rFonts w:hint="eastAsia" w:ascii="宋体" w:hAnsi="宋体" w:eastAsia="宋体" w:cs="宋体"/>
                <w:color w:val="000000" w:themeColor="text1"/>
                <w:spacing w:val="0"/>
                <w:kern w:val="0"/>
                <w:sz w:val="21"/>
                <w:szCs w:val="21"/>
                <w:highlight w:val="none"/>
                <w:u w:val="single"/>
                <w:lang w:val="en-US" w:eastAsia="zh-CN" w:bidi="ar-SA"/>
                <w14:textFill>
                  <w14:solidFill>
                    <w14:schemeClr w14:val="tx1"/>
                  </w14:solidFill>
                </w14:textFill>
              </w:rPr>
              <w:t>00</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分</w:t>
            </w:r>
          </w:p>
        </w:tc>
      </w:tr>
      <w:tr w14:paraId="26346D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64"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0B93C9CE">
            <w:pPr>
              <w:pStyle w:val="28"/>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14:textFill>
                  <w14:solidFill>
                    <w14:schemeClr w14:val="tx1"/>
                  </w14:solidFill>
                </w14:textFill>
              </w:rPr>
              <w:t>5</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082D687A">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投标保证缴</w:t>
            </w:r>
          </w:p>
          <w:p w14:paraId="2D149AA8">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纳截止时间</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62232350">
            <w:pPr>
              <w:keepNext w:val="0"/>
              <w:keepLines w:val="0"/>
              <w:pageBreakBefore w:val="0"/>
              <w:widowControl/>
              <w:suppressLineNumbers w:val="0"/>
              <w:wordWrap w:val="0"/>
              <w:overflowPunct/>
              <w:topLinePunct w:val="0"/>
              <w:bidi w:val="0"/>
              <w:snapToGrid w:val="0"/>
              <w:spacing w:before="0" w:beforeAutospacing="0" w:after="0" w:afterAutospacing="0" w:line="360" w:lineRule="auto"/>
              <w:ind w:left="0" w:right="0"/>
              <w:jc w:val="left"/>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投标保证金到账截止时间：</w:t>
            </w:r>
            <w:r>
              <w:rPr>
                <w:rFonts w:hint="eastAsia" w:ascii="宋体" w:hAnsi="宋体" w:eastAsia="宋体" w:cs="宋体"/>
                <w:color w:val="000000" w:themeColor="text1"/>
                <w:spacing w:val="0"/>
                <w:kern w:val="0"/>
                <w:sz w:val="21"/>
                <w:szCs w:val="21"/>
                <w:highlight w:val="none"/>
                <w:u w:val="single"/>
                <w:lang w:val="en-US" w:eastAsia="zh-CN" w:bidi="ar-SA"/>
                <w14:textFill>
                  <w14:solidFill>
                    <w14:schemeClr w14:val="tx1"/>
                  </w14:solidFill>
                </w14:textFill>
              </w:rPr>
              <w:t xml:space="preserve"> 2025 </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年</w:t>
            </w:r>
            <w:r>
              <w:rPr>
                <w:rFonts w:hint="eastAsia" w:ascii="宋体" w:hAnsi="宋体" w:eastAsia="宋体" w:cs="宋体"/>
                <w:snapToGrid w:val="0"/>
                <w:color w:val="000000" w:themeColor="text1"/>
                <w:spacing w:val="0"/>
                <w:kern w:val="0"/>
                <w:sz w:val="21"/>
                <w:szCs w:val="21"/>
                <w:highlight w:val="none"/>
                <w:u w:val="single"/>
                <w:lang w:val="en-US" w:eastAsia="zh-CN" w:bidi="ar-SA"/>
                <w14:textFill>
                  <w14:solidFill>
                    <w14:schemeClr w14:val="tx1"/>
                  </w14:solidFill>
                </w14:textFill>
              </w:rPr>
              <w:t>11</w:t>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月</w:t>
            </w:r>
            <w:r>
              <w:rPr>
                <w:rFonts w:hint="eastAsia" w:ascii="宋体" w:hAnsi="宋体" w:eastAsia="宋体" w:cs="宋体"/>
                <w:snapToGrid w:val="0"/>
                <w:color w:val="000000" w:themeColor="text1"/>
                <w:spacing w:val="0"/>
                <w:kern w:val="0"/>
                <w:sz w:val="21"/>
                <w:szCs w:val="21"/>
                <w:highlight w:val="none"/>
                <w:u w:val="single"/>
                <w:lang w:val="en-US" w:eastAsia="zh-CN" w:bidi="ar-SA"/>
                <w14:textFill>
                  <w14:solidFill>
                    <w14:schemeClr w14:val="tx1"/>
                  </w14:solidFill>
                </w14:textFill>
              </w:rPr>
              <w:t>20</w:t>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日</w:t>
            </w:r>
            <w:r>
              <w:rPr>
                <w:rFonts w:hint="eastAsia" w:ascii="宋体" w:hAnsi="宋体" w:eastAsia="宋体" w:cs="宋体"/>
                <w:snapToGrid w:val="0"/>
                <w:color w:val="000000" w:themeColor="text1"/>
                <w:spacing w:val="0"/>
                <w:kern w:val="0"/>
                <w:sz w:val="21"/>
                <w:szCs w:val="21"/>
                <w:highlight w:val="none"/>
                <w:u w:val="single"/>
                <w:lang w:val="en-US" w:eastAsia="zh-CN" w:bidi="ar-SA"/>
                <w14:textFill>
                  <w14:solidFill>
                    <w14:schemeClr w14:val="tx1"/>
                  </w14:solidFill>
                </w14:textFill>
              </w:rPr>
              <w:t>10</w:t>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时</w:t>
            </w:r>
            <w:r>
              <w:rPr>
                <w:rFonts w:hint="eastAsia" w:ascii="宋体" w:hAnsi="宋体" w:eastAsia="宋体" w:cs="宋体"/>
                <w:snapToGrid w:val="0"/>
                <w:color w:val="000000" w:themeColor="text1"/>
                <w:spacing w:val="0"/>
                <w:kern w:val="0"/>
                <w:sz w:val="21"/>
                <w:szCs w:val="21"/>
                <w:highlight w:val="none"/>
                <w:u w:val="single"/>
                <w:lang w:val="en-US" w:eastAsia="zh-CN" w:bidi="ar-SA"/>
                <w14:textFill>
                  <w14:solidFill>
                    <w14:schemeClr w14:val="tx1"/>
                  </w14:solidFill>
                </w14:textFill>
              </w:rPr>
              <w:t>30</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分；</w:t>
            </w:r>
          </w:p>
          <w:p w14:paraId="48469684">
            <w:pPr>
              <w:keepNext w:val="0"/>
              <w:keepLines w:val="0"/>
              <w:pageBreakBefore w:val="0"/>
              <w:widowControl/>
              <w:suppressLineNumbers w:val="0"/>
              <w:wordWrap w:val="0"/>
              <w:overflowPunct/>
              <w:topLinePunct w:val="0"/>
              <w:bidi w:val="0"/>
              <w:snapToGrid w:val="0"/>
              <w:spacing w:before="0" w:beforeAutospacing="0" w:after="0" w:afterAutospacing="0" w:line="360" w:lineRule="auto"/>
              <w:ind w:left="0" w:right="0"/>
              <w:jc w:val="left"/>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投标保证担保上传截止时间：</w:t>
            </w:r>
            <w:r>
              <w:rPr>
                <w:rFonts w:hint="eastAsia" w:ascii="宋体" w:hAnsi="宋体" w:eastAsia="宋体" w:cs="宋体"/>
                <w:color w:val="000000" w:themeColor="text1"/>
                <w:spacing w:val="0"/>
                <w:kern w:val="0"/>
                <w:sz w:val="21"/>
                <w:szCs w:val="21"/>
                <w:highlight w:val="none"/>
                <w:u w:val="single"/>
                <w:lang w:val="en-US" w:eastAsia="zh-CN" w:bidi="ar-SA"/>
                <w14:textFill>
                  <w14:solidFill>
                    <w14:schemeClr w14:val="tx1"/>
                  </w14:solidFill>
                </w14:textFill>
              </w:rPr>
              <w:t xml:space="preserve"> 2025 </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年</w:t>
            </w:r>
            <w:r>
              <w:rPr>
                <w:rFonts w:hint="eastAsia" w:ascii="宋体" w:hAnsi="宋体" w:eastAsia="宋体" w:cs="宋体"/>
                <w:snapToGrid w:val="0"/>
                <w:color w:val="000000" w:themeColor="text1"/>
                <w:spacing w:val="0"/>
                <w:kern w:val="0"/>
                <w:sz w:val="21"/>
                <w:szCs w:val="21"/>
                <w:highlight w:val="none"/>
                <w:u w:val="single"/>
                <w:lang w:val="en-US" w:eastAsia="zh-CN" w:bidi="ar-SA"/>
                <w14:textFill>
                  <w14:solidFill>
                    <w14:schemeClr w14:val="tx1"/>
                  </w14:solidFill>
                </w14:textFill>
              </w:rPr>
              <w:t>11</w:t>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月</w:t>
            </w:r>
            <w:r>
              <w:rPr>
                <w:rFonts w:hint="eastAsia" w:ascii="宋体" w:hAnsi="宋体" w:eastAsia="宋体" w:cs="宋体"/>
                <w:snapToGrid w:val="0"/>
                <w:color w:val="000000" w:themeColor="text1"/>
                <w:spacing w:val="0"/>
                <w:kern w:val="0"/>
                <w:sz w:val="21"/>
                <w:szCs w:val="21"/>
                <w:highlight w:val="none"/>
                <w:u w:val="single"/>
                <w:lang w:val="en-US" w:eastAsia="zh-CN" w:bidi="ar-SA"/>
                <w14:textFill>
                  <w14:solidFill>
                    <w14:schemeClr w14:val="tx1"/>
                  </w14:solidFill>
                </w14:textFill>
              </w:rPr>
              <w:t>20</w:t>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日</w:t>
            </w:r>
            <w:r>
              <w:rPr>
                <w:rFonts w:hint="eastAsia" w:ascii="宋体" w:hAnsi="宋体" w:eastAsia="宋体" w:cs="宋体"/>
                <w:snapToGrid w:val="0"/>
                <w:color w:val="000000" w:themeColor="text1"/>
                <w:spacing w:val="0"/>
                <w:kern w:val="0"/>
                <w:sz w:val="21"/>
                <w:szCs w:val="21"/>
                <w:highlight w:val="none"/>
                <w:u w:val="single"/>
                <w:lang w:val="en-US" w:eastAsia="zh-CN" w:bidi="ar-SA"/>
                <w14:textFill>
                  <w14:solidFill>
                    <w14:schemeClr w14:val="tx1"/>
                  </w14:solidFill>
                </w14:textFill>
              </w:rPr>
              <w:t>10</w:t>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时</w:t>
            </w:r>
            <w:r>
              <w:rPr>
                <w:rFonts w:hint="eastAsia" w:ascii="宋体" w:hAnsi="宋体" w:eastAsia="宋体" w:cs="宋体"/>
                <w:snapToGrid w:val="0"/>
                <w:color w:val="000000" w:themeColor="text1"/>
                <w:spacing w:val="0"/>
                <w:kern w:val="0"/>
                <w:sz w:val="21"/>
                <w:szCs w:val="21"/>
                <w:highlight w:val="none"/>
                <w:u w:val="single"/>
                <w:lang w:val="en-US" w:eastAsia="zh-CN" w:bidi="ar-SA"/>
                <w14:textFill>
                  <w14:solidFill>
                    <w14:schemeClr w14:val="tx1"/>
                  </w14:solidFill>
                </w14:textFill>
              </w:rPr>
              <w:t>30</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分；</w:t>
            </w:r>
          </w:p>
          <w:p w14:paraId="4B354B21">
            <w:pPr>
              <w:keepNext w:val="0"/>
              <w:keepLines w:val="0"/>
              <w:pageBreakBefore w:val="0"/>
              <w:widowControl/>
              <w:suppressLineNumbers w:val="0"/>
              <w:wordWrap w:val="0"/>
              <w:overflowPunct/>
              <w:topLinePunct w:val="0"/>
              <w:bidi w:val="0"/>
              <w:snapToGrid w:val="0"/>
              <w:spacing w:before="0" w:beforeAutospacing="0" w:after="0" w:afterAutospacing="0" w:line="360" w:lineRule="auto"/>
              <w:ind w:left="0" w:right="0"/>
              <w:jc w:val="left"/>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投标保证保险投保截止时间：</w:t>
            </w:r>
            <w:r>
              <w:rPr>
                <w:rFonts w:hint="eastAsia" w:ascii="宋体" w:hAnsi="宋体" w:eastAsia="宋体" w:cs="宋体"/>
                <w:color w:val="000000" w:themeColor="text1"/>
                <w:spacing w:val="0"/>
                <w:kern w:val="0"/>
                <w:sz w:val="21"/>
                <w:szCs w:val="21"/>
                <w:highlight w:val="none"/>
                <w:u w:val="single"/>
                <w:lang w:val="en-US" w:eastAsia="zh-CN" w:bidi="ar-SA"/>
                <w14:textFill>
                  <w14:solidFill>
                    <w14:schemeClr w14:val="tx1"/>
                  </w14:solidFill>
                </w14:textFill>
              </w:rPr>
              <w:t xml:space="preserve"> 2025 </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年</w:t>
            </w:r>
            <w:r>
              <w:rPr>
                <w:rFonts w:hint="eastAsia" w:ascii="宋体" w:hAnsi="宋体" w:eastAsia="宋体" w:cs="宋体"/>
                <w:snapToGrid w:val="0"/>
                <w:color w:val="000000" w:themeColor="text1"/>
                <w:spacing w:val="0"/>
                <w:kern w:val="0"/>
                <w:sz w:val="21"/>
                <w:szCs w:val="21"/>
                <w:highlight w:val="none"/>
                <w:u w:val="single"/>
                <w:lang w:val="en-US" w:eastAsia="zh-CN" w:bidi="ar-SA"/>
                <w14:textFill>
                  <w14:solidFill>
                    <w14:schemeClr w14:val="tx1"/>
                  </w14:solidFill>
                </w14:textFill>
              </w:rPr>
              <w:t>11</w:t>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月</w:t>
            </w:r>
            <w:r>
              <w:rPr>
                <w:rFonts w:hint="eastAsia" w:ascii="宋体" w:hAnsi="宋体" w:eastAsia="宋体" w:cs="宋体"/>
                <w:snapToGrid w:val="0"/>
                <w:color w:val="000000" w:themeColor="text1"/>
                <w:spacing w:val="0"/>
                <w:kern w:val="0"/>
                <w:sz w:val="21"/>
                <w:szCs w:val="21"/>
                <w:highlight w:val="none"/>
                <w:u w:val="single"/>
                <w:lang w:val="en-US" w:eastAsia="zh-CN" w:bidi="ar-SA"/>
                <w14:textFill>
                  <w14:solidFill>
                    <w14:schemeClr w14:val="tx1"/>
                  </w14:solidFill>
                </w14:textFill>
              </w:rPr>
              <w:t>20</w:t>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日</w:t>
            </w:r>
            <w:r>
              <w:rPr>
                <w:rFonts w:hint="eastAsia" w:ascii="宋体" w:hAnsi="宋体" w:eastAsia="宋体" w:cs="宋体"/>
                <w:snapToGrid w:val="0"/>
                <w:color w:val="000000" w:themeColor="text1"/>
                <w:spacing w:val="0"/>
                <w:kern w:val="0"/>
                <w:sz w:val="21"/>
                <w:szCs w:val="21"/>
                <w:highlight w:val="none"/>
                <w:u w:val="single"/>
                <w:lang w:val="en-US" w:eastAsia="zh-CN" w:bidi="ar-SA"/>
                <w14:textFill>
                  <w14:solidFill>
                    <w14:schemeClr w14:val="tx1"/>
                  </w14:solidFill>
                </w14:textFill>
              </w:rPr>
              <w:t>10</w:t>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时</w:t>
            </w:r>
            <w:r>
              <w:rPr>
                <w:rFonts w:hint="eastAsia" w:ascii="宋体" w:hAnsi="宋体" w:eastAsia="宋体" w:cs="宋体"/>
                <w:snapToGrid w:val="0"/>
                <w:color w:val="000000" w:themeColor="text1"/>
                <w:spacing w:val="0"/>
                <w:kern w:val="0"/>
                <w:sz w:val="21"/>
                <w:szCs w:val="21"/>
                <w:highlight w:val="none"/>
                <w:u w:val="single"/>
                <w:lang w:val="en-US" w:eastAsia="zh-CN" w:bidi="ar-SA"/>
                <w14:textFill>
                  <w14:solidFill>
                    <w14:schemeClr w14:val="tx1"/>
                  </w14:solidFill>
                </w14:textFill>
              </w:rPr>
              <w:t>30</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分。</w:t>
            </w:r>
          </w:p>
        </w:tc>
      </w:tr>
      <w:tr w14:paraId="1D384F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2"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066C4A5C">
            <w:pPr>
              <w:pStyle w:val="28"/>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14:textFill>
                  <w14:solidFill>
                    <w14:schemeClr w14:val="tx1"/>
                  </w14:solidFill>
                </w14:textFill>
              </w:rPr>
              <w:t>6</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76A2BAA3">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电子投标</w:t>
            </w:r>
          </w:p>
          <w:p w14:paraId="2FA17C4F">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 xml:space="preserve">截止时间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0DB12431">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color w:val="000000" w:themeColor="text1"/>
                <w:spacing w:val="0"/>
                <w:kern w:val="0"/>
                <w:sz w:val="21"/>
                <w:szCs w:val="21"/>
                <w:highlight w:val="none"/>
                <w:u w:val="single"/>
                <w:lang w:val="en-US" w:eastAsia="zh-CN" w:bidi="ar-SA"/>
                <w14:textFill>
                  <w14:solidFill>
                    <w14:schemeClr w14:val="tx1"/>
                  </w14:solidFill>
                </w14:textFill>
              </w:rPr>
              <w:t xml:space="preserve"> 2025 </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年</w:t>
            </w:r>
            <w:r>
              <w:rPr>
                <w:rFonts w:hint="eastAsia" w:ascii="宋体" w:hAnsi="宋体" w:eastAsia="宋体" w:cs="宋体"/>
                <w:snapToGrid w:val="0"/>
                <w:color w:val="000000" w:themeColor="text1"/>
                <w:spacing w:val="0"/>
                <w:kern w:val="0"/>
                <w:sz w:val="21"/>
                <w:szCs w:val="21"/>
                <w:highlight w:val="none"/>
                <w:u w:val="single"/>
                <w:lang w:val="en-US" w:eastAsia="zh-CN" w:bidi="ar-SA"/>
                <w14:textFill>
                  <w14:solidFill>
                    <w14:schemeClr w14:val="tx1"/>
                  </w14:solidFill>
                </w14:textFill>
              </w:rPr>
              <w:t>11</w:t>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月</w:t>
            </w:r>
            <w:r>
              <w:rPr>
                <w:rFonts w:hint="eastAsia" w:ascii="宋体" w:hAnsi="宋体" w:eastAsia="宋体" w:cs="宋体"/>
                <w:snapToGrid w:val="0"/>
                <w:color w:val="000000" w:themeColor="text1"/>
                <w:spacing w:val="0"/>
                <w:kern w:val="0"/>
                <w:sz w:val="21"/>
                <w:szCs w:val="21"/>
                <w:highlight w:val="none"/>
                <w:u w:val="single"/>
                <w:lang w:val="en-US" w:eastAsia="zh-CN" w:bidi="ar-SA"/>
                <w14:textFill>
                  <w14:solidFill>
                    <w14:schemeClr w14:val="tx1"/>
                  </w14:solidFill>
                </w14:textFill>
              </w:rPr>
              <w:t>21</w:t>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日</w:t>
            </w:r>
            <w:r>
              <w:rPr>
                <w:rFonts w:hint="eastAsia" w:ascii="宋体" w:hAnsi="宋体" w:eastAsia="宋体" w:cs="宋体"/>
                <w:snapToGrid w:val="0"/>
                <w:color w:val="000000" w:themeColor="text1"/>
                <w:spacing w:val="0"/>
                <w:kern w:val="0"/>
                <w:sz w:val="21"/>
                <w:szCs w:val="21"/>
                <w:highlight w:val="none"/>
                <w:u w:val="single"/>
                <w:lang w:val="en-US" w:eastAsia="zh-CN" w:bidi="ar-SA"/>
                <w14:textFill>
                  <w14:solidFill>
                    <w14:schemeClr w14:val="tx1"/>
                  </w14:solidFill>
                </w14:textFill>
              </w:rPr>
              <w:t>10</w:t>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时</w:t>
            </w:r>
            <w:r>
              <w:rPr>
                <w:rFonts w:hint="eastAsia" w:ascii="宋体" w:hAnsi="宋体" w:eastAsia="宋体" w:cs="宋体"/>
                <w:snapToGrid w:val="0"/>
                <w:color w:val="000000" w:themeColor="text1"/>
                <w:spacing w:val="0"/>
                <w:kern w:val="0"/>
                <w:sz w:val="21"/>
                <w:szCs w:val="21"/>
                <w:highlight w:val="none"/>
                <w:u w:val="single"/>
                <w:lang w:val="en-US" w:eastAsia="zh-CN" w:bidi="ar-SA"/>
                <w14:textFill>
                  <w14:solidFill>
                    <w14:schemeClr w14:val="tx1"/>
                  </w14:solidFill>
                </w14:textFill>
              </w:rPr>
              <w:t>30</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分</w:t>
            </w:r>
          </w:p>
        </w:tc>
      </w:tr>
      <w:tr w14:paraId="30E0E0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9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2E2714AB">
            <w:pPr>
              <w:pStyle w:val="28"/>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14:textFill>
                  <w14:solidFill>
                    <w14:schemeClr w14:val="tx1"/>
                  </w14:solidFill>
                </w14:textFill>
              </w:rPr>
              <w:t>7</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121AF192">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投标相关资料（如有）</w:t>
            </w:r>
          </w:p>
          <w:p w14:paraId="5083F832">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递交时间</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38D1657B">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color w:val="000000" w:themeColor="text1"/>
                <w:spacing w:val="0"/>
                <w:kern w:val="0"/>
                <w:sz w:val="21"/>
                <w:szCs w:val="21"/>
                <w:highlight w:val="none"/>
                <w:u w:val="single"/>
                <w:lang w:val="en-US" w:eastAsia="zh-CN" w:bidi="ar-SA"/>
                <w14:textFill>
                  <w14:solidFill>
                    <w14:schemeClr w14:val="tx1"/>
                  </w14:solidFill>
                </w14:textFill>
              </w:rPr>
              <w:t xml:space="preserve"> 2025 </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年</w:t>
            </w:r>
            <w:r>
              <w:rPr>
                <w:rFonts w:hint="eastAsia" w:ascii="宋体" w:hAnsi="宋体" w:eastAsia="宋体" w:cs="宋体"/>
                <w:snapToGrid w:val="0"/>
                <w:color w:val="000000" w:themeColor="text1"/>
                <w:spacing w:val="0"/>
                <w:kern w:val="0"/>
                <w:sz w:val="21"/>
                <w:szCs w:val="21"/>
                <w:highlight w:val="none"/>
                <w:u w:val="single"/>
                <w:lang w:val="en-US" w:eastAsia="zh-CN" w:bidi="ar-SA"/>
                <w14:textFill>
                  <w14:solidFill>
                    <w14:schemeClr w14:val="tx1"/>
                  </w14:solidFill>
                </w14:textFill>
              </w:rPr>
              <w:t>11</w:t>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月</w:t>
            </w:r>
            <w:r>
              <w:rPr>
                <w:rFonts w:hint="eastAsia" w:ascii="宋体" w:hAnsi="宋体" w:eastAsia="宋体" w:cs="宋体"/>
                <w:snapToGrid w:val="0"/>
                <w:color w:val="000000" w:themeColor="text1"/>
                <w:spacing w:val="0"/>
                <w:kern w:val="0"/>
                <w:sz w:val="21"/>
                <w:szCs w:val="21"/>
                <w:highlight w:val="none"/>
                <w:u w:val="single"/>
                <w:lang w:val="en-US" w:eastAsia="zh-CN" w:bidi="ar-SA"/>
                <w14:textFill>
                  <w14:solidFill>
                    <w14:schemeClr w14:val="tx1"/>
                  </w14:solidFill>
                </w14:textFill>
              </w:rPr>
              <w:t>21</w:t>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日</w:t>
            </w:r>
            <w:r>
              <w:rPr>
                <w:rFonts w:hint="eastAsia" w:ascii="宋体" w:hAnsi="宋体" w:eastAsia="宋体" w:cs="宋体"/>
                <w:snapToGrid w:val="0"/>
                <w:color w:val="000000" w:themeColor="text1"/>
                <w:spacing w:val="0"/>
                <w:kern w:val="0"/>
                <w:sz w:val="21"/>
                <w:szCs w:val="21"/>
                <w:highlight w:val="none"/>
                <w:u w:val="single"/>
                <w:lang w:val="en-US" w:eastAsia="zh-CN" w:bidi="ar-SA"/>
                <w14:textFill>
                  <w14:solidFill>
                    <w14:schemeClr w14:val="tx1"/>
                  </w14:solidFill>
                </w14:textFill>
              </w:rPr>
              <w:t>10</w:t>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时</w:t>
            </w:r>
            <w:r>
              <w:rPr>
                <w:rFonts w:hint="eastAsia" w:ascii="宋体" w:hAnsi="宋体" w:eastAsia="宋体" w:cs="宋体"/>
                <w:snapToGrid w:val="0"/>
                <w:color w:val="000000" w:themeColor="text1"/>
                <w:spacing w:val="0"/>
                <w:kern w:val="0"/>
                <w:sz w:val="21"/>
                <w:szCs w:val="21"/>
                <w:highlight w:val="none"/>
                <w:u w:val="single"/>
                <w:lang w:val="en-US" w:eastAsia="zh-CN" w:bidi="ar-SA"/>
                <w14:textFill>
                  <w14:solidFill>
                    <w14:schemeClr w14:val="tx1"/>
                  </w14:solidFill>
                </w14:textFill>
              </w:rPr>
              <w:t>00</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分至</w:t>
            </w:r>
            <w:r>
              <w:rPr>
                <w:rFonts w:hint="eastAsia" w:ascii="宋体" w:hAnsi="宋体" w:eastAsia="宋体" w:cs="宋体"/>
                <w:color w:val="000000" w:themeColor="text1"/>
                <w:spacing w:val="0"/>
                <w:kern w:val="0"/>
                <w:sz w:val="21"/>
                <w:szCs w:val="21"/>
                <w:highlight w:val="none"/>
                <w:u w:val="single"/>
                <w:lang w:val="en-US" w:eastAsia="zh-CN" w:bidi="ar-SA"/>
                <w14:textFill>
                  <w14:solidFill>
                    <w14:schemeClr w14:val="tx1"/>
                  </w14:solidFill>
                </w14:textFill>
              </w:rPr>
              <w:t xml:space="preserve"> 2025 </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年</w:t>
            </w:r>
            <w:r>
              <w:rPr>
                <w:rFonts w:hint="eastAsia" w:ascii="宋体" w:hAnsi="宋体" w:eastAsia="宋体" w:cs="宋体"/>
                <w:snapToGrid w:val="0"/>
                <w:color w:val="000000" w:themeColor="text1"/>
                <w:spacing w:val="0"/>
                <w:kern w:val="0"/>
                <w:sz w:val="21"/>
                <w:szCs w:val="21"/>
                <w:highlight w:val="none"/>
                <w:u w:val="single"/>
                <w:lang w:val="en-US" w:eastAsia="zh-CN" w:bidi="ar-SA"/>
                <w14:textFill>
                  <w14:solidFill>
                    <w14:schemeClr w14:val="tx1"/>
                  </w14:solidFill>
                </w14:textFill>
              </w:rPr>
              <w:t>11</w:t>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月</w:t>
            </w:r>
            <w:r>
              <w:rPr>
                <w:rFonts w:hint="eastAsia" w:ascii="宋体" w:hAnsi="宋体" w:eastAsia="宋体" w:cs="宋体"/>
                <w:snapToGrid w:val="0"/>
                <w:color w:val="000000" w:themeColor="text1"/>
                <w:spacing w:val="0"/>
                <w:kern w:val="0"/>
                <w:sz w:val="21"/>
                <w:szCs w:val="21"/>
                <w:highlight w:val="none"/>
                <w:u w:val="single"/>
                <w:lang w:val="en-US" w:eastAsia="zh-CN" w:bidi="ar-SA"/>
                <w14:textFill>
                  <w14:solidFill>
                    <w14:schemeClr w14:val="tx1"/>
                  </w14:solidFill>
                </w14:textFill>
              </w:rPr>
              <w:t>21</w:t>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日</w:t>
            </w:r>
            <w:r>
              <w:rPr>
                <w:rFonts w:hint="eastAsia" w:ascii="宋体" w:hAnsi="宋体" w:eastAsia="宋体" w:cs="宋体"/>
                <w:snapToGrid w:val="0"/>
                <w:color w:val="000000" w:themeColor="text1"/>
                <w:spacing w:val="0"/>
                <w:kern w:val="0"/>
                <w:sz w:val="21"/>
                <w:szCs w:val="21"/>
                <w:highlight w:val="none"/>
                <w:u w:val="single"/>
                <w:lang w:val="en-US" w:eastAsia="zh-CN" w:bidi="ar-SA"/>
                <w14:textFill>
                  <w14:solidFill>
                    <w14:schemeClr w14:val="tx1"/>
                  </w14:solidFill>
                </w14:textFill>
              </w:rPr>
              <w:t>10</w:t>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时</w:t>
            </w:r>
            <w:r>
              <w:rPr>
                <w:rFonts w:hint="eastAsia" w:ascii="宋体" w:hAnsi="宋体" w:eastAsia="宋体" w:cs="宋体"/>
                <w:snapToGrid w:val="0"/>
                <w:color w:val="000000" w:themeColor="text1"/>
                <w:spacing w:val="0"/>
                <w:kern w:val="0"/>
                <w:sz w:val="21"/>
                <w:szCs w:val="21"/>
                <w:highlight w:val="none"/>
                <w:u w:val="single"/>
                <w:lang w:val="en-US" w:eastAsia="zh-CN" w:bidi="ar-SA"/>
                <w14:textFill>
                  <w14:solidFill>
                    <w14:schemeClr w14:val="tx1"/>
                  </w14:solidFill>
                </w14:textFill>
              </w:rPr>
              <w:t>30</w:t>
            </w:r>
            <w:r>
              <w:rPr>
                <w:rFonts w:hint="eastAsia" w:ascii="宋体" w:hAnsi="宋体" w:eastAsia="宋体" w:cs="宋体"/>
                <w:color w:val="000000" w:themeColor="text1"/>
                <w:spacing w:val="0"/>
                <w:kern w:val="0"/>
                <w:sz w:val="21"/>
                <w:szCs w:val="21"/>
                <w:highlight w:val="none"/>
                <w:lang w:val="en-US" w:eastAsia="zh-CN" w:bidi="ar-SA"/>
                <w14:textFill>
                  <w14:solidFill>
                    <w14:schemeClr w14:val="tx1"/>
                  </w14:solidFill>
                </w14:textFill>
              </w:rPr>
              <w:t>分</w:t>
            </w:r>
          </w:p>
        </w:tc>
      </w:tr>
      <w:tr w14:paraId="3F934C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9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4265D800">
            <w:pPr>
              <w:pStyle w:val="28"/>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14:textFill>
                  <w14:solidFill>
                    <w14:schemeClr w14:val="tx1"/>
                  </w14:solidFill>
                </w14:textFill>
              </w:rPr>
              <w:t>8</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298C8B7C">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投标相关资料（如有）</w:t>
            </w:r>
          </w:p>
          <w:p w14:paraId="170BD88B">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递交地点</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6D84EE42">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firstLine="210" w:firstLineChars="100"/>
              <w:jc w:val="left"/>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递交场所：新丰县丰城街道金园路53号行政服务中心5楼（韶关市公共资源交易中心新丰分中心），具体递交场所以当日现场通知为准。</w:t>
            </w:r>
          </w:p>
        </w:tc>
      </w:tr>
      <w:tr w14:paraId="529A5D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2C00C926">
            <w:pPr>
              <w:pStyle w:val="28"/>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14:textFill>
                  <w14:solidFill>
                    <w14:schemeClr w14:val="tx1"/>
                  </w14:solidFill>
                </w14:textFill>
              </w:rPr>
              <w:t>9</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257504FA">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 xml:space="preserve">开标时间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4F4A041C">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spacing w:val="0"/>
                <w:kern w:val="0"/>
                <w:sz w:val="21"/>
                <w:szCs w:val="21"/>
                <w:highlight w:val="none"/>
                <w:u w:val="single"/>
                <w:lang w:val="en-US" w:eastAsia="zh-CN" w:bidi="ar-SA"/>
                <w14:textFill>
                  <w14:solidFill>
                    <w14:schemeClr w14:val="tx1"/>
                  </w14:solidFill>
                </w14:textFill>
              </w:rPr>
              <w:t xml:space="preserve">2025 </w:t>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年</w:t>
            </w:r>
            <w:r>
              <w:rPr>
                <w:rFonts w:hint="eastAsia" w:ascii="宋体" w:hAnsi="宋体" w:eastAsia="宋体" w:cs="宋体"/>
                <w:snapToGrid w:val="0"/>
                <w:color w:val="000000" w:themeColor="text1"/>
                <w:spacing w:val="0"/>
                <w:kern w:val="0"/>
                <w:sz w:val="21"/>
                <w:szCs w:val="21"/>
                <w:highlight w:val="none"/>
                <w:u w:val="single"/>
                <w:lang w:val="en-US" w:eastAsia="zh-CN" w:bidi="ar-SA"/>
                <w14:textFill>
                  <w14:solidFill>
                    <w14:schemeClr w14:val="tx1"/>
                  </w14:solidFill>
                </w14:textFill>
              </w:rPr>
              <w:t>11</w:t>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月</w:t>
            </w:r>
            <w:r>
              <w:rPr>
                <w:rFonts w:hint="eastAsia" w:ascii="宋体" w:hAnsi="宋体" w:eastAsia="宋体" w:cs="宋体"/>
                <w:snapToGrid w:val="0"/>
                <w:color w:val="000000" w:themeColor="text1"/>
                <w:spacing w:val="0"/>
                <w:kern w:val="0"/>
                <w:sz w:val="21"/>
                <w:szCs w:val="21"/>
                <w:highlight w:val="none"/>
                <w:u w:val="single"/>
                <w:lang w:val="en-US" w:eastAsia="zh-CN" w:bidi="ar-SA"/>
                <w14:textFill>
                  <w14:solidFill>
                    <w14:schemeClr w14:val="tx1"/>
                  </w14:solidFill>
                </w14:textFill>
              </w:rPr>
              <w:t>21</w:t>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日</w:t>
            </w:r>
            <w:r>
              <w:rPr>
                <w:rFonts w:hint="eastAsia" w:ascii="宋体" w:hAnsi="宋体" w:eastAsia="宋体" w:cs="宋体"/>
                <w:snapToGrid w:val="0"/>
                <w:color w:val="000000" w:themeColor="text1"/>
                <w:spacing w:val="0"/>
                <w:kern w:val="0"/>
                <w:sz w:val="21"/>
                <w:szCs w:val="21"/>
                <w:highlight w:val="none"/>
                <w:u w:val="single"/>
                <w:lang w:val="en-US" w:eastAsia="zh-CN" w:bidi="ar-SA"/>
                <w14:textFill>
                  <w14:solidFill>
                    <w14:schemeClr w14:val="tx1"/>
                  </w14:solidFill>
                </w14:textFill>
              </w:rPr>
              <w:t>10</w:t>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时</w:t>
            </w:r>
            <w:r>
              <w:rPr>
                <w:rFonts w:hint="eastAsia" w:ascii="宋体" w:hAnsi="宋体" w:eastAsia="宋体" w:cs="宋体"/>
                <w:snapToGrid w:val="0"/>
                <w:color w:val="000000" w:themeColor="text1"/>
                <w:spacing w:val="0"/>
                <w:kern w:val="0"/>
                <w:sz w:val="21"/>
                <w:szCs w:val="21"/>
                <w:highlight w:val="none"/>
                <w:u w:val="single"/>
                <w:lang w:val="en-US" w:eastAsia="zh-CN" w:bidi="ar-SA"/>
                <w14:textFill>
                  <w14:solidFill>
                    <w14:schemeClr w14:val="tx1"/>
                  </w14:solidFill>
                </w14:textFill>
              </w:rPr>
              <w:t>30</w:t>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分</w:t>
            </w:r>
          </w:p>
        </w:tc>
      </w:tr>
      <w:tr w14:paraId="27C90E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7"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1D049F48">
            <w:pPr>
              <w:pStyle w:val="28"/>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14:textFill>
                  <w14:solidFill>
                    <w14:schemeClr w14:val="tx1"/>
                  </w14:solidFill>
                </w14:textFill>
              </w:rPr>
              <w:t>10</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555B6A36">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 xml:space="preserve">开标地点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37078B09">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firstLine="210" w:firstLineChars="100"/>
              <w:jc w:val="left"/>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开标地点：新丰县丰城街道金园路53号行政服务中心5楼（韶关市公共资源交易中心新丰分中心），具体开标室以当日现场通知为准。</w:t>
            </w:r>
          </w:p>
        </w:tc>
      </w:tr>
      <w:tr w14:paraId="28D28B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6" w:hRule="exact"/>
        </w:trPr>
        <w:tc>
          <w:tcPr>
            <w:tcW w:w="1721" w:type="dxa"/>
            <w:gridSpan w:val="2"/>
            <w:tcBorders>
              <w:top w:val="single" w:color="080000" w:sz="4" w:space="0"/>
              <w:left w:val="single" w:color="080000" w:sz="4" w:space="0"/>
              <w:bottom w:val="single" w:color="080000" w:sz="4" w:space="0"/>
              <w:right w:val="single" w:color="080000" w:sz="4" w:space="0"/>
            </w:tcBorders>
            <w:noWrap w:val="0"/>
            <w:vAlign w:val="center"/>
          </w:tcPr>
          <w:p w14:paraId="084E8E9B">
            <w:pPr>
              <w:pStyle w:val="28"/>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备注</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123A471A">
            <w:pPr>
              <w:pStyle w:val="28"/>
              <w:keepNext w:val="0"/>
              <w:keepLines w:val="0"/>
              <w:pageBreakBefore w:val="0"/>
              <w:suppressLineNumbers w:val="0"/>
              <w:wordWrap w:val="0"/>
              <w:overflowPunct/>
              <w:topLinePunct w:val="0"/>
              <w:bidi w:val="0"/>
              <w:adjustRightInd w:val="0"/>
              <w:snapToGrid w:val="0"/>
              <w:spacing w:before="0" w:beforeAutospacing="0" w:after="0" w:afterAutospacing="0" w:line="400" w:lineRule="exact"/>
              <w:ind w:left="0" w:right="0" w:firstLine="210" w:firstLineChars="100"/>
              <w:jc w:val="left"/>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14:textFill>
                  <w14:solidFill>
                    <w14:schemeClr w14:val="tx1"/>
                  </w14:solidFill>
                </w14:textFill>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7BAA81FE">
      <w:pPr>
        <w:keepNext w:val="0"/>
        <w:keepLines w:val="0"/>
        <w:pageBreakBefore w:val="0"/>
        <w:tabs>
          <w:tab w:val="left" w:pos="8820"/>
        </w:tabs>
        <w:wordWrap w:val="0"/>
        <w:overflowPunct/>
        <w:topLinePunct w:val="0"/>
        <w:bidi w:val="0"/>
        <w:rPr>
          <w:rFonts w:hint="eastAsia" w:ascii="宋体" w:hAnsi="宋体" w:eastAsia="宋体" w:cs="宋体"/>
          <w:b w:val="0"/>
          <w:bCs w:val="0"/>
          <w:color w:val="000000" w:themeColor="text1"/>
          <w:spacing w:val="0"/>
          <w:sz w:val="24"/>
          <w:szCs w:val="24"/>
          <w:highlight w:val="none"/>
          <w14:textFill>
            <w14:solidFill>
              <w14:schemeClr w14:val="tx1"/>
            </w14:solidFill>
          </w14:textFill>
        </w:rPr>
        <w:sectPr>
          <w:headerReference r:id="rId7" w:type="default"/>
          <w:footerReference r:id="rId8" w:type="default"/>
          <w:pgSz w:w="11906" w:h="16839"/>
          <w:pgMar w:top="1440" w:right="1080" w:bottom="1440" w:left="1080" w:header="0" w:footer="1085" w:gutter="0"/>
          <w:pgBorders>
            <w:top w:val="none" w:sz="0" w:space="0"/>
            <w:left w:val="none" w:sz="0" w:space="0"/>
            <w:bottom w:val="none" w:sz="0" w:space="0"/>
            <w:right w:val="none" w:sz="0" w:space="0"/>
          </w:pgBorders>
          <w:pgNumType w:fmt="decimal"/>
          <w:cols w:space="720" w:num="1"/>
        </w:sectPr>
      </w:pPr>
    </w:p>
    <w:p w14:paraId="4035F05F">
      <w:pPr>
        <w:keepNext w:val="0"/>
        <w:keepLines w:val="0"/>
        <w:pageBreakBefore w:val="0"/>
        <w:wordWrap w:val="0"/>
        <w:overflowPunct/>
        <w:topLinePunct w:val="0"/>
        <w:bidi w:val="0"/>
        <w:jc w:val="center"/>
        <w:outlineLvl w:val="1"/>
        <w:rPr>
          <w:rFonts w:hint="eastAsia" w:ascii="宋体" w:hAnsi="宋体" w:eastAsia="宋体" w:cs="宋体"/>
          <w:color w:val="000000" w:themeColor="text1"/>
          <w:spacing w:val="0"/>
          <w:sz w:val="24"/>
          <w:szCs w:val="24"/>
          <w:highlight w:val="none"/>
          <w14:textFill>
            <w14:solidFill>
              <w14:schemeClr w14:val="tx1"/>
            </w14:solidFill>
          </w14:textFill>
        </w:rPr>
      </w:pPr>
      <w:bookmarkStart w:id="11" w:name="_Toc24376"/>
      <w:r>
        <w:rPr>
          <w:rFonts w:hint="eastAsia" w:ascii="宋体" w:hAnsi="宋体" w:eastAsia="宋体" w:cs="宋体"/>
          <w:b/>
          <w:bCs/>
          <w:color w:val="000000" w:themeColor="text1"/>
          <w:spacing w:val="0"/>
          <w:sz w:val="24"/>
          <w:szCs w:val="24"/>
          <w:highlight w:val="none"/>
          <w14:textFill>
            <w14:solidFill>
              <w14:schemeClr w14:val="tx1"/>
            </w14:solidFill>
          </w14:textFill>
        </w:rPr>
        <w:t>第三节</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投标人须知正文</w:t>
      </w:r>
      <w:bookmarkEnd w:id="11"/>
    </w:p>
    <w:p w14:paraId="5DD28753">
      <w:pPr>
        <w:pStyle w:val="5"/>
        <w:keepNext w:val="0"/>
        <w:keepLines w:val="0"/>
        <w:pageBreakBefore w:val="0"/>
        <w:wordWrap w:val="0"/>
        <w:overflowPunct/>
        <w:topLinePunct w:val="0"/>
        <w:bidi w:val="0"/>
        <w:spacing w:line="256" w:lineRule="auto"/>
        <w:rPr>
          <w:rFonts w:hint="eastAsia" w:ascii="宋体" w:hAnsi="宋体" w:eastAsia="宋体" w:cs="宋体"/>
          <w:color w:val="000000" w:themeColor="text1"/>
          <w:spacing w:val="0"/>
          <w:highlight w:val="none"/>
          <w14:textFill>
            <w14:solidFill>
              <w14:schemeClr w14:val="tx1"/>
            </w14:solidFill>
          </w14:textFill>
        </w:rPr>
      </w:pPr>
    </w:p>
    <w:p w14:paraId="217B4480">
      <w:pPr>
        <w:pStyle w:val="5"/>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0AF44FDE">
      <w:pPr>
        <w:keepNext w:val="0"/>
        <w:keepLines w:val="0"/>
        <w:pageBreakBefore w:val="0"/>
        <w:widowControl/>
        <w:suppressLineNumbers w:val="0"/>
        <w:wordWrap w:val="0"/>
        <w:overflowPunct/>
        <w:topLinePunct w:val="0"/>
        <w:bidi w:val="0"/>
        <w:spacing w:line="360" w:lineRule="auto"/>
        <w:ind w:right="-258" w:rightChars="-123" w:firstLine="480" w:firstLineChars="200"/>
        <w:jc w:val="lef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新丰县梅坑河水质保障项目</w:t>
      </w:r>
      <w:r>
        <w:rPr>
          <w:rFonts w:hint="eastAsia" w:ascii="宋体" w:hAnsi="宋体" w:eastAsia="宋体" w:cs="宋体"/>
          <w:color w:val="000000" w:themeColor="text1"/>
          <w:spacing w:val="0"/>
          <w:sz w:val="24"/>
          <w:szCs w:val="24"/>
          <w:highlight w:val="none"/>
          <w:u w:val="none"/>
          <w:lang w:val="en-US" w:eastAsia="zh-CN"/>
          <w14:textFill>
            <w14:solidFill>
              <w14:schemeClr w14:val="tx1"/>
            </w14:solidFill>
          </w14:textFill>
        </w:rPr>
        <w:t>业</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经</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新丰县发展和改革局</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以</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pacing w:val="0"/>
          <w:kern w:val="0"/>
          <w:sz w:val="24"/>
          <w:szCs w:val="24"/>
          <w:highlight w:val="none"/>
          <w:u w:val="single"/>
          <w:lang w:val="en-US" w:eastAsia="zh-CN"/>
          <w14:textFill>
            <w14:solidFill>
              <w14:schemeClr w14:val="tx1"/>
            </w14:solidFill>
          </w14:textFill>
        </w:rPr>
        <w:t>新丰县发展和改革局关于新丰县梅坑河水质保障项目可行性研究报告的批复</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pacing w:val="0"/>
          <w:kern w:val="0"/>
          <w:sz w:val="24"/>
          <w:szCs w:val="24"/>
          <w:highlight w:val="none"/>
          <w:u w:val="single"/>
          <w:lang w:val="en-US" w:eastAsia="zh-CN"/>
          <w14:textFill>
            <w14:solidFill>
              <w14:schemeClr w14:val="tx1"/>
            </w14:solidFill>
          </w14:textFill>
        </w:rPr>
        <w:t>新丰发改投审〔2024〕154号</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pacing w:val="0"/>
          <w:kern w:val="0"/>
          <w:sz w:val="24"/>
          <w:szCs w:val="24"/>
          <w:highlight w:val="none"/>
          <w:u w:val="single"/>
          <w:lang w:eastAsia="zh-CN"/>
          <w14:textFill>
            <w14:solidFill>
              <w14:schemeClr w14:val="tx1"/>
            </w14:solidFill>
          </w14:textFill>
        </w:rPr>
        <w:t>、</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pacing w:val="0"/>
          <w:kern w:val="0"/>
          <w:sz w:val="24"/>
          <w:szCs w:val="24"/>
          <w:highlight w:val="none"/>
          <w:u w:val="single"/>
          <w:lang w:eastAsia="zh-CN"/>
          <w14:textFill>
            <w14:solidFill>
              <w14:schemeClr w14:val="tx1"/>
            </w14:solidFill>
          </w14:textFill>
        </w:rPr>
        <w:t>新丰县发展和改革局关于新丰县梅坑河水质保障项目初步设计概算的批复</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pacing w:val="0"/>
          <w:kern w:val="0"/>
          <w:sz w:val="24"/>
          <w:szCs w:val="24"/>
          <w:highlight w:val="none"/>
          <w:u w:val="single"/>
          <w:lang w:eastAsia="zh-CN"/>
          <w14:textFill>
            <w14:solidFill>
              <w14:schemeClr w14:val="tx1"/>
            </w14:solidFill>
          </w14:textFill>
        </w:rPr>
        <w:t>（新丰发改投审〔2025〕124号）</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批准建设，项目代码为</w:t>
      </w:r>
      <w:r>
        <w:rPr>
          <w:rFonts w:hint="eastAsia" w:ascii="宋体" w:hAnsi="宋体" w:eastAsia="宋体" w:cs="宋体"/>
          <w:snapToGrid w:val="0"/>
          <w:color w:val="000000" w:themeColor="text1"/>
          <w:spacing w:val="0"/>
          <w:kern w:val="0"/>
          <w:sz w:val="24"/>
          <w:szCs w:val="24"/>
          <w:highlight w:val="none"/>
          <w:u w:val="single"/>
          <w:lang w:val="en-US" w:eastAsia="zh-CN"/>
          <w14:textFill>
            <w14:solidFill>
              <w14:schemeClr w14:val="tx1"/>
            </w14:solidFill>
          </w14:textFill>
        </w:rPr>
        <w:t>2308-440233-16-01-617646</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。本项目业主为</w:t>
      </w:r>
      <w:r>
        <w:rPr>
          <w:rFonts w:hint="eastAsia" w:ascii="宋体" w:hAnsi="宋体" w:eastAsia="宋体" w:cs="宋体"/>
          <w:snapToGrid w:val="0"/>
          <w:color w:val="000000" w:themeColor="text1"/>
          <w:spacing w:val="0"/>
          <w:kern w:val="0"/>
          <w:sz w:val="24"/>
          <w:szCs w:val="24"/>
          <w:highlight w:val="none"/>
          <w:u w:val="single"/>
          <w:lang w:eastAsia="zh-CN"/>
          <w14:textFill>
            <w14:solidFill>
              <w14:schemeClr w14:val="tx1"/>
            </w14:solidFill>
          </w14:textFill>
        </w:rPr>
        <w:t>新丰县梅坑镇人民政府</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，建设资金来自</w:t>
      </w:r>
      <w:r>
        <w:rPr>
          <w:rFonts w:hint="eastAsia" w:ascii="宋体" w:hAnsi="宋体" w:eastAsia="宋体" w:cs="宋体"/>
          <w:snapToGrid w:val="0"/>
          <w:color w:val="000000" w:themeColor="text1"/>
          <w:spacing w:val="0"/>
          <w:kern w:val="0"/>
          <w:sz w:val="24"/>
          <w:szCs w:val="24"/>
          <w:highlight w:val="none"/>
          <w:u w:val="single"/>
          <w:lang w:val="en-US" w:eastAsia="zh-CN"/>
          <w14:textFill>
            <w14:solidFill>
              <w14:schemeClr w14:val="tx1"/>
            </w14:solidFill>
          </w14:textFill>
        </w:rPr>
        <w:t>上级资金和县统筹安排解决</w:t>
      </w:r>
      <w:r>
        <w:rPr>
          <w:rFonts w:hint="eastAsia" w:ascii="宋体" w:hAnsi="宋体" w:eastAsia="宋体" w:cs="宋体"/>
          <w:snapToGrid w:val="0"/>
          <w:color w:val="000000" w:themeColor="text1"/>
          <w:spacing w:val="0"/>
          <w:kern w:val="0"/>
          <w:sz w:val="24"/>
          <w:szCs w:val="24"/>
          <w:highlight w:val="none"/>
          <w:u w:val="none"/>
          <w:lang w:eastAsia="zh-CN"/>
          <w14:textFill>
            <w14:solidFill>
              <w14:schemeClr w14:val="tx1"/>
            </w14:solidFill>
          </w14:textFill>
        </w:rPr>
        <w:t>，</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出资比例为</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100%</w:t>
      </w:r>
      <w:r>
        <w:rPr>
          <w:rFonts w:hint="eastAsia" w:ascii="宋体" w:hAnsi="宋体" w:eastAsia="宋体" w:cs="宋体"/>
          <w:snapToGrid w:val="0"/>
          <w:color w:val="000000" w:themeColor="text1"/>
          <w:spacing w:val="0"/>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招标人为</w:t>
      </w:r>
      <w:r>
        <w:rPr>
          <w:rFonts w:hint="eastAsia" w:ascii="宋体" w:hAnsi="宋体" w:eastAsia="宋体" w:cs="宋体"/>
          <w:snapToGrid w:val="0"/>
          <w:color w:val="000000" w:themeColor="text1"/>
          <w:spacing w:val="0"/>
          <w:kern w:val="0"/>
          <w:sz w:val="24"/>
          <w:szCs w:val="24"/>
          <w:highlight w:val="none"/>
          <w:u w:val="single"/>
          <w:lang w:eastAsia="zh-CN"/>
          <w14:textFill>
            <w14:solidFill>
              <w14:schemeClr w14:val="tx1"/>
            </w14:solidFill>
          </w14:textFill>
        </w:rPr>
        <w:t>新丰县梅坑镇人民政府</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，招标代理机构为</w:t>
      </w:r>
      <w:r>
        <w:rPr>
          <w:rFonts w:hint="eastAsia" w:ascii="宋体" w:hAnsi="宋体" w:eastAsia="宋体" w:cs="宋体"/>
          <w:color w:val="000000" w:themeColor="text1"/>
          <w:spacing w:val="0"/>
          <w:sz w:val="24"/>
          <w:szCs w:val="24"/>
          <w:highlight w:val="none"/>
          <w:u w:val="single"/>
          <w:lang w:eastAsia="zh-CN"/>
          <w14:textFill>
            <w14:solidFill>
              <w14:schemeClr w14:val="tx1"/>
            </w14:solidFill>
          </w14:textFill>
        </w:rPr>
        <w:t>新丰县市政工程公司</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。项目已具备招标条件，现对该项目的</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施工</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进行公开招标。</w:t>
      </w:r>
    </w:p>
    <w:p w14:paraId="238EB322">
      <w:pPr>
        <w:keepNext w:val="0"/>
        <w:keepLines w:val="0"/>
        <w:pageBreakBefore w:val="0"/>
        <w:widowControl/>
        <w:kinsoku w:val="0"/>
        <w:wordWrap w:val="0"/>
        <w:overflowPunct/>
        <w:topLinePunct w:val="0"/>
        <w:autoSpaceDE w:val="0"/>
        <w:autoSpaceDN w:val="0"/>
        <w:bidi w:val="0"/>
        <w:adjustRightInd w:val="0"/>
        <w:snapToGrid w:val="0"/>
        <w:spacing w:line="220" w:lineRule="auto"/>
        <w:ind w:left="496"/>
        <w:textAlignment w:val="baseline"/>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12" w:name="bookmark52"/>
      <w:bookmarkEnd w:id="12"/>
      <w:bookmarkStart w:id="13" w:name="bookmark59"/>
      <w:bookmarkEnd w:id="13"/>
      <w:bookmarkStart w:id="14" w:name="bookmark73"/>
      <w:bookmarkEnd w:id="14"/>
      <w:bookmarkStart w:id="15" w:name="_Toc15993"/>
      <w:r>
        <w:rPr>
          <w:rFonts w:hint="eastAsia" w:ascii="宋体" w:hAnsi="宋体" w:eastAsia="宋体" w:cs="宋体"/>
          <w:b/>
          <w:bCs/>
          <w:color w:val="000000" w:themeColor="text1"/>
          <w:spacing w:val="0"/>
          <w:sz w:val="24"/>
          <w:szCs w:val="24"/>
          <w:highlight w:val="none"/>
          <w14:textFill>
            <w14:solidFill>
              <w14:schemeClr w14:val="tx1"/>
            </w14:solidFill>
          </w14:textFill>
        </w:rPr>
        <w:t>1 ．项目概况、招标范围和标段划分、投标费用等</w:t>
      </w:r>
      <w:bookmarkEnd w:id="15"/>
    </w:p>
    <w:p w14:paraId="26BED16D">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  </w:t>
      </w:r>
      <w:r>
        <w:rPr>
          <w:rFonts w:hint="eastAsia" w:ascii="宋体" w:hAnsi="宋体" w:eastAsia="宋体" w:cs="宋体"/>
          <w:color w:val="000000" w:themeColor="text1"/>
          <w:spacing w:val="0"/>
          <w:sz w:val="24"/>
          <w:szCs w:val="24"/>
          <w:highlight w:val="none"/>
          <w14:textFill>
            <w14:solidFill>
              <w14:schemeClr w14:val="tx1"/>
            </w14:solidFill>
          </w14:textFill>
        </w:rPr>
        <w:t>项目概况</w:t>
      </w:r>
    </w:p>
    <w:p w14:paraId="33A0C0A8">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1.1.1  </w:t>
      </w:r>
      <w:r>
        <w:rPr>
          <w:rFonts w:hint="eastAsia" w:ascii="宋体" w:hAnsi="宋体" w:eastAsia="宋体" w:cs="宋体"/>
          <w:color w:val="000000" w:themeColor="text1"/>
          <w:spacing w:val="0"/>
          <w:sz w:val="24"/>
          <w:szCs w:val="24"/>
          <w:highlight w:val="none"/>
          <w14:textFill>
            <w14:solidFill>
              <w14:schemeClr w14:val="tx1"/>
            </w14:solidFill>
          </w14:textFill>
        </w:rPr>
        <w:t>建设地点：</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韶关市新丰县梅坑镇长江分水路段和G105国道徐坑尾路段，新坪村、长坪村、梅东村、梅西村、梅南村、梅中村、梅坑村、张田村部分建设区域。</w:t>
      </w:r>
    </w:p>
    <w:p w14:paraId="3B072489">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1.1.2  </w:t>
      </w:r>
      <w:r>
        <w:rPr>
          <w:rFonts w:hint="eastAsia" w:ascii="宋体" w:hAnsi="宋体" w:eastAsia="宋体" w:cs="宋体"/>
          <w:color w:val="000000" w:themeColor="text1"/>
          <w:spacing w:val="0"/>
          <w:sz w:val="24"/>
          <w:szCs w:val="24"/>
          <w:highlight w:val="none"/>
          <w14:textFill>
            <w14:solidFill>
              <w14:schemeClr w14:val="tx1"/>
            </w14:solidFill>
          </w14:textFill>
        </w:rPr>
        <w:t>建设内容和规模：</w:t>
      </w:r>
    </w:p>
    <w:p w14:paraId="71C4E934">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1、梅坑河风险源应急防护工程：建设事故导流槽1168米，5座事故应急池，5套应急池附属设备；</w:t>
      </w:r>
    </w:p>
    <w:p w14:paraId="089DB89F">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2、新建一套尾水人工湿地净化及尾水农用设施，处理规模为4000立方米/天；</w:t>
      </w:r>
    </w:p>
    <w:p w14:paraId="45FC19FB">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3、完善五梅一张污水管网：新建DN300污水主管8720m，DN150污水支管17440m，Φ700毫米污水检查井291个，入户井1163个；</w:t>
      </w:r>
    </w:p>
    <w:p w14:paraId="3C1299B2">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4、梅坑镇圩镇污水改造：新建 DN300污水主管4372m，DN200污水支管4154m，DN150污水入户管6200m，Φ700污水检查井308个，入户井413个，新建DN500主管809m，DN300支管832m，Φ1000检查井55个，400x400篦子28个，DN500混凝土排口8个。</w:t>
      </w:r>
    </w:p>
    <w:p w14:paraId="582D5F1D">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1.1.3  </w:t>
      </w:r>
      <w:r>
        <w:rPr>
          <w:rFonts w:hint="eastAsia" w:ascii="宋体" w:hAnsi="宋体" w:eastAsia="宋体" w:cs="宋体"/>
          <w:color w:val="000000" w:themeColor="text1"/>
          <w:spacing w:val="0"/>
          <w:sz w:val="24"/>
          <w:szCs w:val="24"/>
          <w:highlight w:val="none"/>
          <w14:textFill>
            <w14:solidFill>
              <w14:schemeClr w14:val="tx1"/>
            </w14:solidFill>
          </w14:textFill>
        </w:rPr>
        <w:t>项目总投资</w:t>
      </w:r>
      <w:r>
        <w:rPr>
          <w:rStyle w:val="26"/>
          <w:rFonts w:hint="eastAsia" w:ascii="宋体" w:hAnsi="宋体" w:eastAsia="宋体" w:cs="宋体"/>
          <w:color w:val="000000" w:themeColor="text1"/>
          <w:spacing w:val="0"/>
          <w:kern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项目概算总投资3762.72万元，其中工程费用2953.68万元，工程建设其他费用532.54万元，预备费用276.50万元。</w:t>
      </w:r>
    </w:p>
    <w:p w14:paraId="16BD1157">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pacing w:val="0"/>
          <w:sz w:val="24"/>
          <w:szCs w:val="24"/>
          <w:highlight w:val="none"/>
          <w:u w:val="none"/>
          <w:lang w:val="en-US" w:eastAsia="zh-CN"/>
          <w14:textFill>
            <w14:solidFill>
              <w14:schemeClr w14:val="tx1"/>
            </w14:solidFill>
          </w14:textFill>
        </w:rPr>
        <w:t xml:space="preserve">1.2 </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招标范围和标段划分</w:t>
      </w:r>
    </w:p>
    <w:p w14:paraId="03788986">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1.2.1  </w:t>
      </w:r>
      <w:r>
        <w:rPr>
          <w:rFonts w:hint="eastAsia" w:ascii="宋体" w:hAnsi="宋体" w:eastAsia="宋体" w:cs="宋体"/>
          <w:color w:val="000000" w:themeColor="text1"/>
          <w:spacing w:val="0"/>
          <w:sz w:val="24"/>
          <w:szCs w:val="24"/>
          <w:highlight w:val="none"/>
          <w14:textFill>
            <w14:solidFill>
              <w14:schemeClr w14:val="tx1"/>
            </w14:solidFill>
          </w14:textFill>
        </w:rPr>
        <w:t>招标范围：</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按审查合格的施工图纸及工程量清单内容施工。</w:t>
      </w:r>
    </w:p>
    <w:p w14:paraId="0DFB5F34">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16" w:name="_Toc24593"/>
      <w:bookmarkStart w:id="17" w:name="_Toc28202"/>
      <w:bookmarkStart w:id="18" w:name="_Toc20855"/>
      <w:bookmarkStart w:id="19" w:name="_Toc14190"/>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1.2.2  </w:t>
      </w:r>
      <w:r>
        <w:rPr>
          <w:rFonts w:hint="eastAsia" w:ascii="宋体" w:hAnsi="宋体" w:eastAsia="宋体" w:cs="宋体"/>
          <w:color w:val="000000" w:themeColor="text1"/>
          <w:spacing w:val="0"/>
          <w:sz w:val="24"/>
          <w:szCs w:val="24"/>
          <w:highlight w:val="none"/>
          <w14:textFill>
            <w14:solidFill>
              <w14:schemeClr w14:val="tx1"/>
            </w14:solidFill>
          </w14:textFill>
        </w:rPr>
        <w:t>标段划分：本招标项目不划分标段。</w:t>
      </w:r>
      <w:bookmarkEnd w:id="16"/>
      <w:bookmarkEnd w:id="17"/>
      <w:bookmarkEnd w:id="18"/>
      <w:bookmarkEnd w:id="19"/>
    </w:p>
    <w:p w14:paraId="3BE6141C">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1.3  </w:t>
      </w:r>
      <w:r>
        <w:rPr>
          <w:rFonts w:hint="eastAsia" w:ascii="宋体" w:hAnsi="宋体" w:eastAsia="宋体" w:cs="宋体"/>
          <w:color w:val="000000" w:themeColor="text1"/>
          <w:spacing w:val="0"/>
          <w:sz w:val="24"/>
          <w:szCs w:val="24"/>
          <w:highlight w:val="none"/>
          <w14:textFill>
            <w14:solidFill>
              <w14:schemeClr w14:val="tx1"/>
            </w14:solidFill>
          </w14:textFill>
        </w:rPr>
        <w:t>投标费用：投标人应承担所有准备和参加投标的相关费用，不论投标结果如何，招标人均无义务和责任承担这些费用。</w:t>
      </w:r>
    </w:p>
    <w:p w14:paraId="6DC29DD6">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1.4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招标代理费用：  </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shd w:val="clear" w:color="auto" w:fill="FFFFFF"/>
          <w14:textFill>
            <w14:solidFill>
              <w14:schemeClr w14:val="tx1"/>
            </w14:solidFill>
          </w14:textFill>
        </w:rPr>
        <w:t xml:space="preserve"> 由</w:t>
      </w:r>
      <w:r>
        <w:rPr>
          <w:rFonts w:hint="eastAsia" w:ascii="宋体" w:hAnsi="宋体" w:eastAsia="宋体" w:cs="宋体"/>
          <w:color w:val="000000" w:themeColor="text1"/>
          <w:spacing w:val="0"/>
          <w:sz w:val="24"/>
          <w:szCs w:val="24"/>
          <w:highlight w:val="none"/>
          <w14:textFill>
            <w14:solidFill>
              <w14:schemeClr w14:val="tx1"/>
            </w14:solidFill>
          </w14:textFill>
        </w:rPr>
        <w:t>项目业主</w:t>
      </w:r>
      <w:r>
        <w:rPr>
          <w:rFonts w:hint="eastAsia" w:ascii="宋体" w:hAnsi="宋体" w:eastAsia="宋体" w:cs="宋体"/>
          <w:color w:val="000000" w:themeColor="text1"/>
          <w:spacing w:val="0"/>
          <w:sz w:val="24"/>
          <w:szCs w:val="24"/>
          <w:highlight w:val="none"/>
          <w:shd w:val="clear" w:color="auto" w:fill="FFFFFF"/>
          <w14:textFill>
            <w14:solidFill>
              <w14:schemeClr w14:val="tx1"/>
            </w14:solidFill>
          </w14:textFill>
        </w:rPr>
        <w:t>支</w:t>
      </w:r>
      <w:r>
        <w:rPr>
          <w:rFonts w:hint="eastAsia" w:ascii="宋体" w:hAnsi="宋体" w:eastAsia="宋体" w:cs="宋体"/>
          <w:color w:val="000000" w:themeColor="text1"/>
          <w:spacing w:val="0"/>
          <w:sz w:val="24"/>
          <w:szCs w:val="24"/>
          <w:highlight w:val="none"/>
          <w14:textFill>
            <w14:solidFill>
              <w14:schemeClr w14:val="tx1"/>
            </w14:solidFill>
          </w14:textFill>
        </w:rPr>
        <w:t>付</w:t>
      </w:r>
      <w:r>
        <w:rPr>
          <w:rFonts w:hint="eastAsia" w:ascii="宋体" w:hAnsi="宋体" w:eastAsia="宋体" w:cs="宋体"/>
          <w:color w:val="000000" w:themeColor="text1"/>
          <w:spacing w:val="0"/>
          <w:position w:val="-6"/>
          <w:sz w:val="24"/>
          <w:szCs w:val="24"/>
          <w:highlight w:val="none"/>
          <w:shd w:val="clear" w:color="auto" w:fill="FFFFFF"/>
          <w:lang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shd w:val="clear" w:color="auto" w:fill="FFFFFF"/>
          <w14:textFill>
            <w14:solidFill>
              <w14:schemeClr w14:val="tx1"/>
            </w14:solidFill>
          </w14:textFill>
        </w:rPr>
        <w:t xml:space="preserve"> 由中标人支付。</w:t>
      </w:r>
    </w:p>
    <w:p w14:paraId="3514024E">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jc w:val="left"/>
        <w:textAlignment w:val="baseline"/>
        <w:outlineLvl w:val="9"/>
        <w:rPr>
          <w:rFonts w:hint="eastAsia" w:ascii="宋体" w:hAnsi="宋体" w:eastAsia="宋体" w:cs="宋体"/>
          <w:b w:val="0"/>
          <w:bCs w:val="0"/>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2．</w:t>
      </w:r>
      <w:r>
        <w:rPr>
          <w:rFonts w:hint="eastAsia" w:ascii="宋体" w:hAnsi="宋体" w:eastAsia="宋体" w:cs="宋体"/>
          <w:b w:val="0"/>
          <w:bCs w:val="0"/>
          <w:color w:val="000000" w:themeColor="text1"/>
          <w:spacing w:val="0"/>
          <w:sz w:val="24"/>
          <w:szCs w:val="24"/>
          <w:highlight w:val="none"/>
          <w:lang w:eastAsia="zh-CN"/>
          <w14:textFill>
            <w14:solidFill>
              <w14:schemeClr w14:val="tx1"/>
            </w14:solidFill>
          </w14:textFill>
        </w:rPr>
        <w:t>投标人</w:t>
      </w:r>
      <w:r>
        <w:rPr>
          <w:rFonts w:hint="eastAsia" w:ascii="宋体" w:hAnsi="宋体" w:eastAsia="宋体" w:cs="宋体"/>
          <w:b w:val="0"/>
          <w:bCs w:val="0"/>
          <w:color w:val="000000" w:themeColor="text1"/>
          <w:spacing w:val="0"/>
          <w:sz w:val="24"/>
          <w:szCs w:val="24"/>
          <w:highlight w:val="none"/>
          <w14:textFill>
            <w14:solidFill>
              <w14:schemeClr w14:val="tx1"/>
            </w14:solidFill>
          </w14:textFill>
        </w:rPr>
        <w:t>资质要求</w:t>
      </w:r>
    </w:p>
    <w:p w14:paraId="5F354E72">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6"/>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2.1</w:t>
      </w:r>
      <w:r>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 本次招标</w:t>
      </w:r>
      <w:r>
        <w:rPr>
          <w:rStyle w:val="26"/>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接受</w:t>
      </w:r>
      <w:r>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联合体投标，联合体以一个投标人的身份共同投标。</w:t>
      </w:r>
    </w:p>
    <w:p w14:paraId="07B67B3E">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6"/>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2.1.1</w:t>
      </w:r>
      <w:r>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 联合体成员数量不超过2个。</w:t>
      </w:r>
    </w:p>
    <w:p w14:paraId="73CA71B9">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6"/>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2.1.2</w:t>
      </w:r>
      <w:r>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 联合体各方应按招标文件提供的格式签订联合体协议书，明确联合体牵头人和各方权利义务，并承诺就中标项目向招标人承担连带责任。《联合体协议书》作为投标文件的组成部分向招标人提交。</w:t>
      </w:r>
    </w:p>
    <w:p w14:paraId="1E355253">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6"/>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2.1.3</w:t>
      </w:r>
      <w:r>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 联合体成员单位均应具备拟承担的工作内容（以《联合体协议书》的约定为准）所规定的资格条件。若同一工作内容由两个或两个以上单位共同承担，该项工作内容按照资质等级较低的单位确定联合体资质等级。</w:t>
      </w:r>
    </w:p>
    <w:p w14:paraId="6FD4EB24">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6"/>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2.1.4</w:t>
      </w:r>
      <w:r>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 联合体各方不得再以自己名义单独或参加其他联合体在本招标项目中投标，否则各相关投标均无效。</w:t>
      </w:r>
    </w:p>
    <w:p w14:paraId="34B9A513">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6"/>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2.2</w:t>
      </w:r>
      <w:r>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 资格资质要求</w:t>
      </w:r>
    </w:p>
    <w:p w14:paraId="6CD280F2">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6"/>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2.2.1</w:t>
      </w:r>
      <w:r>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 投标人须具备独立法人资格，按国家法律经营。</w:t>
      </w:r>
    </w:p>
    <w:p w14:paraId="55AC02AD">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6"/>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2.2.2</w:t>
      </w:r>
      <w:r>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 投标人（组成联合体时指联合体双方）须持有建设行政主管部门颁发的企业资质证书及安全生产许可证。</w:t>
      </w:r>
    </w:p>
    <w:p w14:paraId="22415752">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6"/>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 xml:space="preserve">2.2.3 </w:t>
      </w:r>
      <w:r>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投标人须具备以下资质：</w:t>
      </w:r>
      <w:r>
        <w:rPr>
          <w:rStyle w:val="26"/>
          <w:rFonts w:hint="eastAsia" w:ascii="宋体" w:hAnsi="宋体" w:eastAsia="宋体" w:cs="宋体"/>
          <w:b w:val="0"/>
          <w:bCs w:val="0"/>
          <w:color w:val="000000" w:themeColor="text1"/>
          <w:spacing w:val="0"/>
          <w:kern w:val="0"/>
          <w:sz w:val="24"/>
          <w:szCs w:val="24"/>
          <w:highlight w:val="none"/>
          <w:u w:val="single"/>
          <w:lang w:val="en-US" w:eastAsia="zh-CN"/>
          <w14:textFill>
            <w14:solidFill>
              <w14:schemeClr w14:val="tx1"/>
            </w14:solidFill>
          </w14:textFill>
        </w:rPr>
        <w:t>参加投标的投标人可以是单一独立法人或由不超过两家独立法人组成的联合体，联合体双方不得再以自己的名义单独申请，也不得同时参加两个或两个以上的联合体进行本项目的投标。投标人（组成联合体投标的，指联合体双方）须具备建设行政主管部门颁发的市政公用工程施工总承包二级以上（含二级）资质。</w:t>
      </w:r>
    </w:p>
    <w:p w14:paraId="7FA9A21A">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6"/>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2.2.4</w:t>
      </w:r>
      <w:r>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 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2F9CF9A1">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6"/>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2.3</w:t>
      </w:r>
      <w:r>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 相关人员要求</w:t>
      </w:r>
    </w:p>
    <w:p w14:paraId="49155701">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6"/>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 xml:space="preserve">2.3.1 </w:t>
      </w:r>
      <w:r>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拟派项目经理为</w:t>
      </w:r>
      <w:r>
        <w:rPr>
          <w:rStyle w:val="26"/>
          <w:rFonts w:hint="eastAsia" w:ascii="宋体" w:hAnsi="宋体" w:eastAsia="宋体" w:cs="宋体"/>
          <w:b w:val="0"/>
          <w:bCs w:val="0"/>
          <w:color w:val="000000" w:themeColor="text1"/>
          <w:spacing w:val="0"/>
          <w:kern w:val="0"/>
          <w:sz w:val="24"/>
          <w:szCs w:val="24"/>
          <w:highlight w:val="none"/>
          <w:u w:val="single"/>
          <w:lang w:val="en-US" w:eastAsia="zh-CN"/>
          <w14:textFill>
            <w14:solidFill>
              <w14:schemeClr w14:val="tx1"/>
            </w14:solidFill>
          </w14:textFill>
        </w:rPr>
        <w:t>市政公用工程</w:t>
      </w:r>
      <w:r>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  </w:t>
      </w:r>
    </w:p>
    <w:p w14:paraId="5F0FE099">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6"/>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2.3.2</w:t>
      </w:r>
      <w:r>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 拟派项目技术负责人须具备</w:t>
      </w:r>
      <w:r>
        <w:rPr>
          <w:rStyle w:val="26"/>
          <w:rFonts w:hint="eastAsia" w:ascii="宋体" w:hAnsi="宋体" w:eastAsia="宋体" w:cs="宋体"/>
          <w:b w:val="0"/>
          <w:bCs w:val="0"/>
          <w:color w:val="000000" w:themeColor="text1"/>
          <w:spacing w:val="0"/>
          <w:kern w:val="0"/>
          <w:sz w:val="24"/>
          <w:szCs w:val="24"/>
          <w:highlight w:val="none"/>
          <w:u w:val="single"/>
          <w:lang w:val="en-US" w:eastAsia="zh-CN"/>
          <w14:textFill>
            <w14:solidFill>
              <w14:schemeClr w14:val="tx1"/>
            </w14:solidFill>
          </w14:textFill>
        </w:rPr>
        <w:t>市政工程</w:t>
      </w:r>
      <w:r>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相关专业</w:t>
      </w:r>
      <w:r>
        <w:rPr>
          <w:rStyle w:val="26"/>
          <w:rFonts w:hint="eastAsia" w:ascii="宋体" w:hAnsi="宋体" w:eastAsia="宋体" w:cs="宋体"/>
          <w:b w:val="0"/>
          <w:bCs w:val="0"/>
          <w:color w:val="000000" w:themeColor="text1"/>
          <w:spacing w:val="0"/>
          <w:kern w:val="0"/>
          <w:sz w:val="24"/>
          <w:szCs w:val="24"/>
          <w:highlight w:val="none"/>
          <w:u w:val="single"/>
          <w:lang w:val="en-US" w:eastAsia="zh-CN"/>
          <w14:textFill>
            <w14:solidFill>
              <w14:schemeClr w14:val="tx1"/>
            </w14:solidFill>
          </w14:textFill>
        </w:rPr>
        <w:t>中</w:t>
      </w:r>
      <w:r>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级以上（含</w:t>
      </w:r>
      <w:r>
        <w:rPr>
          <w:rStyle w:val="26"/>
          <w:rFonts w:hint="eastAsia" w:ascii="宋体" w:hAnsi="宋体" w:eastAsia="宋体" w:cs="宋体"/>
          <w:b w:val="0"/>
          <w:bCs w:val="0"/>
          <w:color w:val="000000" w:themeColor="text1"/>
          <w:spacing w:val="0"/>
          <w:kern w:val="0"/>
          <w:sz w:val="24"/>
          <w:szCs w:val="24"/>
          <w:highlight w:val="none"/>
          <w:u w:val="single"/>
          <w:lang w:val="en-US" w:eastAsia="zh-CN"/>
          <w14:textFill>
            <w14:solidFill>
              <w14:schemeClr w14:val="tx1"/>
            </w14:solidFill>
          </w14:textFill>
        </w:rPr>
        <w:t>中</w:t>
      </w:r>
      <w:r>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级）技术职称。</w:t>
      </w:r>
    </w:p>
    <w:p w14:paraId="4A2C1918">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6"/>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 xml:space="preserve">2.3.3 </w:t>
      </w:r>
      <w:r>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投标人拟派专职安全生产管理人员须具备有效安全生产考核合格证明（C证，安全生产考核合格证书或“广东省建筑施工企业管理人员安全生产考核系统”考核合格信息打印页），且不少于</w:t>
      </w:r>
      <w:r>
        <w:rPr>
          <w:rStyle w:val="26"/>
          <w:rFonts w:hint="eastAsia" w:ascii="宋体" w:hAnsi="宋体" w:eastAsia="宋体" w:cs="宋体"/>
          <w:b w:val="0"/>
          <w:bCs w:val="0"/>
          <w:color w:val="000000" w:themeColor="text1"/>
          <w:spacing w:val="0"/>
          <w:kern w:val="0"/>
          <w:sz w:val="24"/>
          <w:szCs w:val="24"/>
          <w:highlight w:val="none"/>
          <w:u w:val="single"/>
          <w:lang w:val="en-US" w:eastAsia="zh-CN"/>
          <w14:textFill>
            <w14:solidFill>
              <w14:schemeClr w14:val="tx1"/>
            </w14:solidFill>
          </w14:textFill>
        </w:rPr>
        <w:t xml:space="preserve"> 1 </w:t>
      </w:r>
      <w:r>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人。 </w:t>
      </w:r>
    </w:p>
    <w:p w14:paraId="4F82BDFF">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6"/>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2.3.4</w:t>
      </w:r>
      <w:r>
        <w:rPr>
          <w:rStyle w:val="26"/>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 投标人（包括组成联合体的所有成员单位）与其拟派往本项目管理机构的所有人员之间必须具备合法、唯一的劳动聘用关系。拟派人员中具备注册执业资格的，其注册单位须与投标人保持一致。</w:t>
      </w:r>
    </w:p>
    <w:p w14:paraId="6B5D9824">
      <w:pPr>
        <w:keepNext w:val="0"/>
        <w:keepLines w:val="0"/>
        <w:pageBreakBefore w:val="0"/>
        <w:wordWrap w:val="0"/>
        <w:overflowPunct/>
        <w:topLinePunct w:val="0"/>
        <w:bidi w:val="0"/>
        <w:spacing w:before="78" w:line="220" w:lineRule="auto"/>
        <w:ind w:left="48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2.4  </w:t>
      </w:r>
      <w:r>
        <w:rPr>
          <w:rFonts w:hint="eastAsia" w:ascii="宋体" w:hAnsi="宋体" w:eastAsia="宋体" w:cs="宋体"/>
          <w:color w:val="000000" w:themeColor="text1"/>
          <w:spacing w:val="0"/>
          <w:sz w:val="24"/>
          <w:szCs w:val="24"/>
          <w:highlight w:val="none"/>
          <w14:textFill>
            <w14:solidFill>
              <w14:schemeClr w14:val="tx1"/>
            </w14:solidFill>
          </w14:textFill>
        </w:rPr>
        <w:t>禁止投标条款</w:t>
      </w:r>
    </w:p>
    <w:p w14:paraId="4F43481F">
      <w:pPr>
        <w:keepNext w:val="0"/>
        <w:keepLines w:val="0"/>
        <w:pageBreakBefore w:val="0"/>
        <w:wordWrap w:val="0"/>
        <w:overflowPunct/>
        <w:topLinePunct w:val="0"/>
        <w:bidi w:val="0"/>
        <w:spacing w:before="153" w:line="220" w:lineRule="auto"/>
        <w:ind w:left="48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2.4.1  </w:t>
      </w:r>
      <w:r>
        <w:rPr>
          <w:rFonts w:hint="eastAsia" w:ascii="宋体" w:hAnsi="宋体" w:eastAsia="宋体" w:cs="宋体"/>
          <w:color w:val="000000" w:themeColor="text1"/>
          <w:spacing w:val="0"/>
          <w:sz w:val="24"/>
          <w:szCs w:val="24"/>
          <w:highlight w:val="none"/>
          <w14:textFill>
            <w14:solidFill>
              <w14:schemeClr w14:val="tx1"/>
            </w14:solidFill>
          </w14:textFill>
        </w:rPr>
        <w:t>投标人不得存在下列情形之一：</w:t>
      </w:r>
    </w:p>
    <w:p w14:paraId="5ECD680F">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（1）为招标人不具有独立法人资格的附属机构（单位）；</w:t>
      </w:r>
    </w:p>
    <w:p w14:paraId="7BE80EB7">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（2）为本招标项目前期准备提供设计或咨询服务的；</w:t>
      </w:r>
    </w:p>
    <w:p w14:paraId="0466C218">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（3）与本招标项目的其他投标人为同一个单位负责人；</w:t>
      </w:r>
    </w:p>
    <w:p w14:paraId="51978EC7">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（4）与本招标项目的其他投标人存在控股、管理关系；</w:t>
      </w:r>
    </w:p>
    <w:p w14:paraId="27DE5D51">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（5）为本招标项目的监理人；</w:t>
      </w:r>
    </w:p>
    <w:p w14:paraId="01E2A759">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（6）为本招标项目的代建人；</w:t>
      </w:r>
    </w:p>
    <w:p w14:paraId="3F4CE4E0">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（7）为本招标项目的招标代理机构；</w:t>
      </w:r>
    </w:p>
    <w:p w14:paraId="32DC1C8C">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（8）与本招标项目的监理人或代建人或招标代理机构同为一个 法定代表人；</w:t>
      </w:r>
    </w:p>
    <w:p w14:paraId="356D5091">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（9）与本招标项目的监理人或代建人或招标代理机构存在控股或参股关系；</w:t>
      </w:r>
    </w:p>
    <w:p w14:paraId="1F6F6AFF">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（10）与本招标项目的监理人或代建人或招标代理机构存在相互任职或工作关系；</w:t>
      </w:r>
    </w:p>
    <w:p w14:paraId="62615967">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（11）被依法暂停或者取消投标资格；</w:t>
      </w:r>
    </w:p>
    <w:p w14:paraId="51CC66B8">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（12）被责令停产停业、暂扣或者吊销许可证、暂扣或者吊销执照；</w:t>
      </w:r>
    </w:p>
    <w:p w14:paraId="4D4EA795">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（13）进入清算程序，或被宣告破产，或其他丧失履约能力的情形；</w:t>
      </w:r>
    </w:p>
    <w:p w14:paraId="742CE9C2">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（14）在最近三年内发生重大工程质量或安全问题（以相关行业主管部门的行政处罚决定或司法机关出具的有关法律文书为准）；</w:t>
      </w:r>
    </w:p>
    <w:p w14:paraId="5FDD5BCF">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（15）被“信用中国 ”网站（https://www.creditchina.gov.cn）发布的《法人和非法人组织公共信用信息报告》列为严重失信主体名单的。</w:t>
      </w:r>
    </w:p>
    <w:p w14:paraId="28B49AD7">
      <w:pPr>
        <w:keepNext w:val="0"/>
        <w:keepLines w:val="0"/>
        <w:pageBreakBefore w:val="0"/>
        <w:wordWrap w:val="0"/>
        <w:overflowPunct/>
        <w:topLinePunct w:val="0"/>
        <w:bidi w:val="0"/>
        <w:spacing w:before="155" w:line="219" w:lineRule="auto"/>
        <w:ind w:left="70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2.4.2  </w:t>
      </w:r>
      <w:r>
        <w:rPr>
          <w:rFonts w:hint="eastAsia" w:ascii="宋体" w:hAnsi="宋体" w:eastAsia="宋体" w:cs="宋体"/>
          <w:color w:val="000000" w:themeColor="text1"/>
          <w:spacing w:val="0"/>
          <w:sz w:val="24"/>
          <w:szCs w:val="24"/>
          <w:highlight w:val="none"/>
          <w14:textFill>
            <w14:solidFill>
              <w14:schemeClr w14:val="tx1"/>
            </w14:solidFill>
          </w14:textFill>
        </w:rPr>
        <w:t>招标人拒绝以下名单中的单位参加本次投标：</w:t>
      </w:r>
    </w:p>
    <w:tbl>
      <w:tblPr>
        <w:tblStyle w:val="14"/>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3772"/>
        <w:gridCol w:w="5338"/>
      </w:tblGrid>
      <w:tr w14:paraId="2635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8" w:type="dxa"/>
            <w:vAlign w:val="center"/>
          </w:tcPr>
          <w:p w14:paraId="2E257EED">
            <w:pPr>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序号</w:t>
            </w:r>
          </w:p>
        </w:tc>
        <w:tc>
          <w:tcPr>
            <w:tcW w:w="3772" w:type="dxa"/>
            <w:vAlign w:val="center"/>
          </w:tcPr>
          <w:p w14:paraId="3BE59F6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单位名称</w:t>
            </w:r>
          </w:p>
        </w:tc>
        <w:tc>
          <w:tcPr>
            <w:tcW w:w="5338" w:type="dxa"/>
            <w:vAlign w:val="center"/>
          </w:tcPr>
          <w:p w14:paraId="08E046A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拒绝原因</w:t>
            </w:r>
          </w:p>
        </w:tc>
      </w:tr>
      <w:tr w14:paraId="4BD3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88" w:type="dxa"/>
            <w:vAlign w:val="center"/>
          </w:tcPr>
          <w:p w14:paraId="28B9B72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1</w:t>
            </w:r>
          </w:p>
        </w:tc>
        <w:tc>
          <w:tcPr>
            <w:tcW w:w="3772" w:type="dxa"/>
            <w:vAlign w:val="center"/>
          </w:tcPr>
          <w:p w14:paraId="377447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新丰县梅坑镇人民政府</w:t>
            </w:r>
          </w:p>
        </w:tc>
        <w:tc>
          <w:tcPr>
            <w:tcW w:w="5338" w:type="dxa"/>
            <w:vAlign w:val="center"/>
          </w:tcPr>
          <w:p w14:paraId="4D06AD7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为本招标项目的招标人</w:t>
            </w:r>
          </w:p>
        </w:tc>
      </w:tr>
      <w:tr w14:paraId="7138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88" w:type="dxa"/>
            <w:vAlign w:val="center"/>
          </w:tcPr>
          <w:p w14:paraId="0337EE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2</w:t>
            </w:r>
          </w:p>
        </w:tc>
        <w:tc>
          <w:tcPr>
            <w:tcW w:w="3772" w:type="dxa"/>
            <w:vAlign w:val="center"/>
          </w:tcPr>
          <w:p w14:paraId="0BD57B5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新丰县市政工程公司</w:t>
            </w:r>
          </w:p>
        </w:tc>
        <w:tc>
          <w:tcPr>
            <w:tcW w:w="5338" w:type="dxa"/>
            <w:vAlign w:val="center"/>
          </w:tcPr>
          <w:p w14:paraId="0820A20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为本招标项目的招标代理机构</w:t>
            </w:r>
          </w:p>
        </w:tc>
      </w:tr>
      <w:tr w14:paraId="5FC8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8" w:type="dxa"/>
            <w:vAlign w:val="center"/>
          </w:tcPr>
          <w:p w14:paraId="3E51A30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3</w:t>
            </w:r>
          </w:p>
        </w:tc>
        <w:tc>
          <w:tcPr>
            <w:tcW w:w="3772" w:type="dxa"/>
            <w:vAlign w:val="center"/>
          </w:tcPr>
          <w:p w14:paraId="72D7100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广东粤康环保股份有限公司</w:t>
            </w:r>
          </w:p>
        </w:tc>
        <w:tc>
          <w:tcPr>
            <w:tcW w:w="5338" w:type="dxa"/>
            <w:vAlign w:val="center"/>
          </w:tcPr>
          <w:p w14:paraId="08D67BA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为本招标项目的可行性研究报告编制单位</w:t>
            </w:r>
          </w:p>
        </w:tc>
      </w:tr>
      <w:tr w14:paraId="424A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8" w:type="dxa"/>
            <w:vAlign w:val="center"/>
          </w:tcPr>
          <w:p w14:paraId="3C00839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4</w:t>
            </w:r>
          </w:p>
        </w:tc>
        <w:tc>
          <w:tcPr>
            <w:tcW w:w="3772" w:type="dxa"/>
            <w:vAlign w:val="center"/>
          </w:tcPr>
          <w:p w14:paraId="090E5EA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新丰县益民测绘技术服务有限公司</w:t>
            </w:r>
          </w:p>
        </w:tc>
        <w:tc>
          <w:tcPr>
            <w:tcW w:w="5338" w:type="dxa"/>
            <w:vAlign w:val="center"/>
          </w:tcPr>
          <w:p w14:paraId="6754F47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为本招标项目的</w:t>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fldChar w:fldCharType="begin"/>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instrText xml:space="preserve"> HYPERLINK "https://ygp.gdzwfw.gov.cn/zjfwcs/gd-zjcs-pub/bidResultNotice/view/440233MB2C068372408230742" </w:instrText>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fldChar w:fldCharType="separate"/>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测绘服务</w:t>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fldChar w:fldCharType="end"/>
            </w: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单位</w:t>
            </w:r>
          </w:p>
        </w:tc>
      </w:tr>
      <w:tr w14:paraId="59F0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88" w:type="dxa"/>
            <w:vAlign w:val="center"/>
          </w:tcPr>
          <w:p w14:paraId="59ED6C9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5</w:t>
            </w:r>
          </w:p>
        </w:tc>
        <w:tc>
          <w:tcPr>
            <w:tcW w:w="3772" w:type="dxa"/>
            <w:vAlign w:val="center"/>
          </w:tcPr>
          <w:p w14:paraId="48B5BCD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广东华水工程勘察设计有限公司</w:t>
            </w:r>
          </w:p>
        </w:tc>
        <w:tc>
          <w:tcPr>
            <w:tcW w:w="5338" w:type="dxa"/>
            <w:vAlign w:val="center"/>
          </w:tcPr>
          <w:p w14:paraId="7D7EDDC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为本招标项目的勘察单位</w:t>
            </w:r>
          </w:p>
        </w:tc>
      </w:tr>
      <w:tr w14:paraId="0AB3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88" w:type="dxa"/>
            <w:vAlign w:val="center"/>
          </w:tcPr>
          <w:p w14:paraId="6B38E2B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6</w:t>
            </w:r>
          </w:p>
        </w:tc>
        <w:tc>
          <w:tcPr>
            <w:tcW w:w="3772" w:type="dxa"/>
            <w:vAlign w:val="center"/>
          </w:tcPr>
          <w:p w14:paraId="38EC161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居安勘测有限公司</w:t>
            </w:r>
          </w:p>
        </w:tc>
        <w:tc>
          <w:tcPr>
            <w:tcW w:w="5338" w:type="dxa"/>
            <w:vAlign w:val="center"/>
          </w:tcPr>
          <w:p w14:paraId="0EEB4B3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为本招标项目的勘察单位</w:t>
            </w:r>
          </w:p>
        </w:tc>
      </w:tr>
      <w:tr w14:paraId="1665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8" w:type="dxa"/>
            <w:vAlign w:val="center"/>
          </w:tcPr>
          <w:p w14:paraId="56A32EA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7</w:t>
            </w:r>
          </w:p>
        </w:tc>
        <w:tc>
          <w:tcPr>
            <w:tcW w:w="3772" w:type="dxa"/>
            <w:vAlign w:val="center"/>
          </w:tcPr>
          <w:p w14:paraId="4813BD9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贵州中垣设计有限公司</w:t>
            </w:r>
          </w:p>
        </w:tc>
        <w:tc>
          <w:tcPr>
            <w:tcW w:w="5338" w:type="dxa"/>
            <w:vAlign w:val="center"/>
          </w:tcPr>
          <w:p w14:paraId="3693A72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为本招标项目的初步设计及概算编制单位</w:t>
            </w:r>
          </w:p>
        </w:tc>
      </w:tr>
      <w:tr w14:paraId="2447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88" w:type="dxa"/>
            <w:vAlign w:val="center"/>
          </w:tcPr>
          <w:p w14:paraId="609A5CA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8</w:t>
            </w:r>
          </w:p>
        </w:tc>
        <w:tc>
          <w:tcPr>
            <w:tcW w:w="3772" w:type="dxa"/>
            <w:vAlign w:val="center"/>
          </w:tcPr>
          <w:p w14:paraId="5CAAAE3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中撰工程设计有限公司</w:t>
            </w:r>
          </w:p>
        </w:tc>
        <w:tc>
          <w:tcPr>
            <w:tcW w:w="5338" w:type="dxa"/>
            <w:vAlign w:val="center"/>
          </w:tcPr>
          <w:p w14:paraId="39A5AC4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为本招标项目的工程设计单位</w:t>
            </w:r>
          </w:p>
        </w:tc>
      </w:tr>
      <w:tr w14:paraId="13EF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88" w:type="dxa"/>
            <w:vAlign w:val="center"/>
          </w:tcPr>
          <w:p w14:paraId="6C3F67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9</w:t>
            </w:r>
          </w:p>
        </w:tc>
        <w:tc>
          <w:tcPr>
            <w:tcW w:w="3772" w:type="dxa"/>
            <w:vAlign w:val="center"/>
          </w:tcPr>
          <w:p w14:paraId="053D024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广东张大建信项目管理有限公司</w:t>
            </w:r>
          </w:p>
        </w:tc>
        <w:tc>
          <w:tcPr>
            <w:tcW w:w="5338" w:type="dxa"/>
            <w:vAlign w:val="center"/>
          </w:tcPr>
          <w:p w14:paraId="77E6F37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为本招标项目的预算编制单位</w:t>
            </w:r>
          </w:p>
        </w:tc>
      </w:tr>
      <w:tr w14:paraId="1942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88" w:type="dxa"/>
            <w:vAlign w:val="center"/>
          </w:tcPr>
          <w:p w14:paraId="49453AF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10</w:t>
            </w:r>
          </w:p>
        </w:tc>
        <w:tc>
          <w:tcPr>
            <w:tcW w:w="3772" w:type="dxa"/>
            <w:vAlign w:val="center"/>
          </w:tcPr>
          <w:p w14:paraId="0194224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广东粤湾施工图审查有限公司</w:t>
            </w:r>
          </w:p>
        </w:tc>
        <w:tc>
          <w:tcPr>
            <w:tcW w:w="5338" w:type="dxa"/>
            <w:vAlign w:val="center"/>
          </w:tcPr>
          <w:p w14:paraId="68F024F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bidi="ar-SA"/>
                <w14:textFill>
                  <w14:solidFill>
                    <w14:schemeClr w14:val="tx1"/>
                  </w14:solidFill>
                </w14:textFill>
              </w:rPr>
              <w:t>为本招标项目的施工图审查单位</w:t>
            </w:r>
          </w:p>
        </w:tc>
      </w:tr>
    </w:tbl>
    <w:p w14:paraId="4CF40067">
      <w:pPr>
        <w:keepNext w:val="0"/>
        <w:keepLines w:val="0"/>
        <w:pageBreakBefore w:val="0"/>
        <w:wordWrap w:val="0"/>
        <w:overflowPunct/>
        <w:topLinePunct w:val="0"/>
        <w:bidi w:val="0"/>
        <w:spacing w:line="93" w:lineRule="auto"/>
        <w:rPr>
          <w:rFonts w:hint="eastAsia" w:ascii="宋体" w:hAnsi="宋体" w:eastAsia="宋体" w:cs="宋体"/>
          <w:color w:val="000000" w:themeColor="text1"/>
          <w:spacing w:val="0"/>
          <w:sz w:val="2"/>
          <w:highlight w:val="none"/>
          <w14:textFill>
            <w14:solidFill>
              <w14:schemeClr w14:val="tx1"/>
            </w14:solidFill>
          </w14:textFill>
        </w:rPr>
      </w:pPr>
    </w:p>
    <w:p w14:paraId="103B6326">
      <w:pPr>
        <w:keepNext w:val="0"/>
        <w:keepLines w:val="0"/>
        <w:pageBreakBefore w:val="0"/>
        <w:wordWrap w:val="0"/>
        <w:overflowPunct/>
        <w:topLinePunct w:val="0"/>
        <w:bidi w:val="0"/>
        <w:spacing w:before="153" w:line="221" w:lineRule="auto"/>
        <w:ind w:left="70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2.5  </w:t>
      </w:r>
      <w:r>
        <w:rPr>
          <w:rFonts w:hint="eastAsia" w:ascii="宋体" w:hAnsi="宋体" w:eastAsia="宋体" w:cs="宋体"/>
          <w:color w:val="000000" w:themeColor="text1"/>
          <w:spacing w:val="0"/>
          <w:sz w:val="24"/>
          <w:szCs w:val="24"/>
          <w:highlight w:val="none"/>
          <w14:textFill>
            <w14:solidFill>
              <w14:schemeClr w14:val="tx1"/>
            </w14:solidFill>
          </w14:textFill>
        </w:rPr>
        <w:t>其他要求</w:t>
      </w:r>
    </w:p>
    <w:p w14:paraId="495DD04A">
      <w:pPr>
        <w:keepNext w:val="0"/>
        <w:keepLines w:val="0"/>
        <w:pageBreakBefore w:val="0"/>
        <w:wordWrap w:val="0"/>
        <w:overflowPunct/>
        <w:topLinePunct w:val="0"/>
        <w:bidi w:val="0"/>
        <w:spacing w:before="150" w:line="334" w:lineRule="auto"/>
        <w:ind w:left="232" w:right="99" w:firstLine="481"/>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省外企业及其拟派往本项目管理机构的所有人员均须按照《广东省住房和城乡建设厅关于取消省外建筑企业和人员进粤信息备案有关工作的通知》（粤建市﹝2015﹞52 号）规定在“进粤企业和人员诚信信息登记平台 ”录入相关信息并通过数据规范检查。</w:t>
      </w:r>
    </w:p>
    <w:p w14:paraId="1FE05A34">
      <w:pPr>
        <w:keepNext w:val="0"/>
        <w:keepLines w:val="0"/>
        <w:pageBreakBefore w:val="0"/>
        <w:wordWrap w:val="0"/>
        <w:overflowPunct/>
        <w:topLinePunct w:val="0"/>
        <w:bidi w:val="0"/>
        <w:spacing w:before="79" w:line="220" w:lineRule="auto"/>
        <w:ind w:left="715"/>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20" w:name="_Toc25829"/>
      <w:bookmarkStart w:id="21" w:name="_Toc23243"/>
      <w:r>
        <w:rPr>
          <w:rFonts w:hint="eastAsia" w:ascii="宋体" w:hAnsi="宋体" w:eastAsia="宋体" w:cs="宋体"/>
          <w:b/>
          <w:bCs/>
          <w:color w:val="000000" w:themeColor="text1"/>
          <w:spacing w:val="0"/>
          <w:sz w:val="24"/>
          <w:szCs w:val="24"/>
          <w:highlight w:val="none"/>
          <w14:textFill>
            <w14:solidFill>
              <w14:schemeClr w14:val="tx1"/>
            </w14:solidFill>
          </w14:textFill>
        </w:rPr>
        <w:t>3．招标文件的获取</w:t>
      </w:r>
      <w:bookmarkEnd w:id="20"/>
      <w:bookmarkEnd w:id="21"/>
    </w:p>
    <w:p w14:paraId="58025C1D">
      <w:pPr>
        <w:keepNext w:val="0"/>
        <w:keepLines w:val="0"/>
        <w:pageBreakBefore w:val="0"/>
        <w:wordWrap w:val="0"/>
        <w:overflowPunct/>
        <w:topLinePunct w:val="0"/>
        <w:bidi w:val="0"/>
        <w:spacing w:before="182" w:line="219" w:lineRule="auto"/>
        <w:ind w:left="70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3.1  </w:t>
      </w:r>
      <w:r>
        <w:rPr>
          <w:rFonts w:hint="eastAsia" w:ascii="宋体" w:hAnsi="宋体" w:eastAsia="宋体" w:cs="宋体"/>
          <w:color w:val="000000" w:themeColor="text1"/>
          <w:spacing w:val="0"/>
          <w:sz w:val="24"/>
          <w:szCs w:val="24"/>
          <w:highlight w:val="none"/>
          <w14:textFill>
            <w14:solidFill>
              <w14:schemeClr w14:val="tx1"/>
            </w14:solidFill>
          </w14:textFill>
        </w:rPr>
        <w:t>本次招标实行电子投标。</w:t>
      </w:r>
    </w:p>
    <w:p w14:paraId="29156863">
      <w:pPr>
        <w:keepNext w:val="0"/>
        <w:keepLines w:val="0"/>
        <w:pageBreakBefore w:val="0"/>
        <w:wordWrap w:val="0"/>
        <w:overflowPunct/>
        <w:topLinePunct w:val="0"/>
        <w:bidi w:val="0"/>
        <w:spacing w:before="178" w:line="355" w:lineRule="auto"/>
        <w:ind w:left="0" w:leftChars="0" w:firstLine="481" w:firstLineChars="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本次招标实行电子投标。本项目招标文件随招标公告一并在全国公共资源交易平台（广东省 ·韶关市）（https://ygp.gdzwfw.gov.cn/ggzy-portal/#/440200/index）网站发布。招标文件一经发布，视为发送投标人，招标文件及相关附件由投标人自行在全国公共资源交易平台（广东省 ·韶关市）网站下载。请于招标文件获取期间,（见本章第二节“重要事项时间地点一览表 ”）招标文件获取期间与招标公告发布时间一致，投标人须登录全国公共资源交易平台（广东省 ·韶关市）（https://ygp.gdzwfw.gov.cn/ggzy-portal/#/440200/index），使用新建设工程交易系统进行下载招标文件及相关附件，并于电子投标截止时间（见本章第二节“重要事项时间地点一览表 ”）前完成电子投标。投标人可登录全国公共资源交易平台（广东省 ·韶关市）（https://ygp.gdzwfw.gov.cn/ggzy-portal/#/440200/index），在【服务指南】栏目中建设工程交易中下载《韶关市公共资源建设工程交易系统-投标人操作指南（电子评标）》（附件 2），了解网上获取招标文件操作流程。技术咨询电话：0751-8379671 伍先生，业务咨询电话：0751-8633211、8633071。</w:t>
      </w:r>
    </w:p>
    <w:p w14:paraId="039A8FB6">
      <w:pPr>
        <w:keepNext w:val="0"/>
        <w:keepLines w:val="0"/>
        <w:pageBreakBefore w:val="0"/>
        <w:wordWrap w:val="0"/>
        <w:overflowPunct/>
        <w:topLinePunct w:val="0"/>
        <w:bidi w:val="0"/>
        <w:spacing w:before="142" w:line="330" w:lineRule="auto"/>
        <w:ind w:left="11" w:right="105" w:firstLine="473"/>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3.2  </w:t>
      </w:r>
      <w:r>
        <w:rPr>
          <w:rFonts w:hint="eastAsia" w:ascii="宋体" w:hAnsi="宋体" w:eastAsia="宋体" w:cs="宋体"/>
          <w:color w:val="000000" w:themeColor="text1"/>
          <w:spacing w:val="0"/>
          <w:sz w:val="24"/>
          <w:szCs w:val="24"/>
          <w:highlight w:val="none"/>
          <w14:textFill>
            <w14:solidFill>
              <w14:schemeClr w14:val="tx1"/>
            </w14:solidFill>
          </w14:textFill>
        </w:rPr>
        <w:t>只有申领了数字证书（CA）、“粤企签 ”或 GDCA/SZCA/NETCA 等符合法律法规规定的电子印章，并在交易系统中完成企业信息数据入库的投标人，方可使用建设工程交易系统进行招标文件及附件获取和电子投标。</w:t>
      </w:r>
    </w:p>
    <w:p w14:paraId="2FE752CB">
      <w:pPr>
        <w:keepNext w:val="0"/>
        <w:keepLines w:val="0"/>
        <w:pageBreakBefore w:val="0"/>
        <w:wordWrap w:val="0"/>
        <w:overflowPunct/>
        <w:topLinePunct w:val="0"/>
        <w:bidi w:val="0"/>
        <w:spacing w:before="32" w:line="332" w:lineRule="auto"/>
        <w:ind w:left="10" w:right="90" w:firstLine="483"/>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首次在韶关市参与建设工程招标投标活动的投标人，必须在平台系统上传企业相关资料办理企业入库事宜。投标人可登录全国公共资源交易平台（广东省 ·韶关市）（</w:t>
      </w: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"https://ygp.gdzwfw.gov.cn/ggzy-portal/#/440200/index"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color w:val="000000" w:themeColor="text1"/>
          <w:spacing w:val="0"/>
          <w:sz w:val="24"/>
          <w:szCs w:val="24"/>
          <w:highlight w:val="none"/>
          <w14:textFill>
            <w14:solidFill>
              <w14:schemeClr w14:val="tx1"/>
            </w14:solidFill>
          </w14:textFill>
        </w:rPr>
        <w:t>https://ygp.gdzwfw.gov.cn/ggzy-portal/#/440200/index</w:t>
      </w:r>
      <w:r>
        <w:rPr>
          <w:rFonts w:hint="eastAsia" w:ascii="宋体" w:hAnsi="宋体" w:eastAsia="宋体" w:cs="宋体"/>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0"/>
          <w:sz w:val="24"/>
          <w:szCs w:val="24"/>
          <w:highlight w:val="none"/>
          <w14:textFill>
            <w14:solidFill>
              <w14:schemeClr w14:val="tx1"/>
            </w14:solidFill>
          </w14:textFill>
        </w:rPr>
        <w:t>）办理企业入库、数字证书及电子印章事宜，具体请在平台查阅相应的交易指引。</w:t>
      </w:r>
    </w:p>
    <w:p w14:paraId="6F360068">
      <w:pPr>
        <w:keepNext w:val="0"/>
        <w:keepLines w:val="0"/>
        <w:pageBreakBefore w:val="0"/>
        <w:wordWrap w:val="0"/>
        <w:overflowPunct/>
        <w:topLinePunct w:val="0"/>
        <w:bidi w:val="0"/>
        <w:spacing w:before="37" w:line="329" w:lineRule="auto"/>
        <w:ind w:left="9" w:right="105" w:firstLine="507"/>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已入库企业有关信息（如单位名称、基本账号、资质、人员等）发生变化的，须及时在交易系统进行相应变更。投标人未及时变更信息而造成的损失和后果，由投标人自行承担。</w:t>
      </w:r>
    </w:p>
    <w:p w14:paraId="1BE8084A">
      <w:pPr>
        <w:keepNext w:val="0"/>
        <w:keepLines w:val="0"/>
        <w:pageBreakBefore w:val="0"/>
        <w:wordWrap w:val="0"/>
        <w:overflowPunct/>
        <w:topLinePunct w:val="0"/>
        <w:bidi w:val="0"/>
        <w:spacing w:before="33" w:line="335" w:lineRule="auto"/>
        <w:ind w:left="10" w:right="105" w:firstLine="508"/>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 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40CA127C">
      <w:pPr>
        <w:keepNext w:val="0"/>
        <w:keepLines w:val="0"/>
        <w:pageBreakBefore w:val="0"/>
        <w:wordWrap w:val="0"/>
        <w:overflowPunct/>
        <w:topLinePunct w:val="0"/>
        <w:bidi w:val="0"/>
        <w:spacing w:before="33" w:line="221" w:lineRule="auto"/>
        <w:ind w:left="48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3.3  </w:t>
      </w:r>
      <w:r>
        <w:rPr>
          <w:rFonts w:hint="eastAsia" w:ascii="宋体" w:hAnsi="宋体" w:eastAsia="宋体" w:cs="宋体"/>
          <w:color w:val="000000" w:themeColor="text1"/>
          <w:spacing w:val="0"/>
          <w:sz w:val="24"/>
          <w:szCs w:val="24"/>
          <w:highlight w:val="none"/>
          <w14:textFill>
            <w14:solidFill>
              <w14:schemeClr w14:val="tx1"/>
            </w14:solidFill>
          </w14:textFill>
        </w:rPr>
        <w:t>投标保证</w:t>
      </w:r>
    </w:p>
    <w:p w14:paraId="734994B7">
      <w:pPr>
        <w:keepNext w:val="0"/>
        <w:keepLines w:val="0"/>
        <w:pageBreakBefore w:val="0"/>
        <w:wordWrap w:val="0"/>
        <w:overflowPunct/>
        <w:topLinePunct w:val="0"/>
        <w:bidi w:val="0"/>
        <w:spacing w:before="152" w:line="280" w:lineRule="auto"/>
        <w:ind w:left="8" w:right="105"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3.3.1  </w:t>
      </w:r>
      <w:r>
        <w:rPr>
          <w:rFonts w:hint="eastAsia" w:ascii="宋体" w:hAnsi="宋体" w:eastAsia="宋体" w:cs="宋体"/>
          <w:color w:val="000000" w:themeColor="text1"/>
          <w:spacing w:val="0"/>
          <w:sz w:val="24"/>
          <w:szCs w:val="24"/>
          <w:highlight w:val="none"/>
          <w14:textFill>
            <w14:solidFill>
              <w14:schemeClr w14:val="tx1"/>
            </w14:solidFill>
          </w14:textFill>
        </w:rPr>
        <w:t>投标人须缴纳金额为</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200000.00</w:t>
      </w:r>
      <w:r>
        <w:rPr>
          <w:rFonts w:hint="eastAsia" w:ascii="宋体" w:hAnsi="宋体" w:eastAsia="宋体" w:cs="宋体"/>
          <w:color w:val="000000" w:themeColor="text1"/>
          <w:spacing w:val="0"/>
          <w:sz w:val="24"/>
          <w:szCs w:val="24"/>
          <w:highlight w:val="none"/>
          <w:u w:val="none"/>
          <w:lang w:val="en-US" w:eastAsia="zh-CN"/>
          <w14:textFill>
            <w14:solidFill>
              <w14:schemeClr w14:val="tx1"/>
            </w14:solidFill>
          </w14:textFill>
        </w:rPr>
        <w:t>元</w:t>
      </w:r>
      <w:r>
        <w:rPr>
          <w:rFonts w:hint="eastAsia" w:ascii="宋体" w:hAnsi="宋体" w:eastAsia="宋体" w:cs="宋体"/>
          <w:color w:val="000000" w:themeColor="text1"/>
          <w:spacing w:val="0"/>
          <w:sz w:val="24"/>
          <w:szCs w:val="24"/>
          <w:highlight w:val="none"/>
          <w14:textFill>
            <w14:solidFill>
              <w14:schemeClr w14:val="tx1"/>
            </w14:solidFill>
          </w14:textFill>
        </w:rPr>
        <w:t>人民币的投标保证。联合体投标的，由联合体牵头人缴纳。</w:t>
      </w:r>
    </w:p>
    <w:p w14:paraId="5595FFDA">
      <w:pPr>
        <w:keepNext w:val="0"/>
        <w:keepLines w:val="0"/>
        <w:pageBreakBefore w:val="0"/>
        <w:wordWrap w:val="0"/>
        <w:overflowPunct/>
        <w:topLinePunct w:val="0"/>
        <w:bidi w:val="0"/>
        <w:spacing w:before="35" w:line="325" w:lineRule="auto"/>
        <w:ind w:left="12" w:right="108" w:firstLine="471"/>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3.3.2  </w:t>
      </w:r>
      <w:r>
        <w:rPr>
          <w:rFonts w:hint="eastAsia" w:ascii="宋体" w:hAnsi="宋体" w:eastAsia="宋体" w:cs="宋体"/>
          <w:color w:val="000000" w:themeColor="text1"/>
          <w:spacing w:val="0"/>
          <w:sz w:val="24"/>
          <w:szCs w:val="24"/>
          <w:highlight w:val="none"/>
          <w14:textFill>
            <w14:solidFill>
              <w14:schemeClr w14:val="tx1"/>
            </w14:solidFill>
          </w14:textFill>
        </w:rPr>
        <w:t>投标保证的形式包括投标保证金、投标保证担保、投标保证保险三种，由投标人自主选择。</w:t>
      </w:r>
    </w:p>
    <w:p w14:paraId="52BC198A">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000000" w:themeColor="text1"/>
          <w:spacing w:val="0"/>
          <w:sz w:val="24"/>
          <w:szCs w:val="24"/>
          <w:highlight w:val="none"/>
          <w14:textFill>
            <w14:solidFill>
              <w14:schemeClr w14:val="tx1"/>
            </w14:solidFill>
          </w14:textFill>
        </w:rPr>
      </w:pPr>
      <w:bookmarkStart w:id="22" w:name="bookmark117"/>
      <w:bookmarkEnd w:id="22"/>
      <w:r>
        <w:rPr>
          <w:rFonts w:hint="eastAsia" w:ascii="宋体" w:hAnsi="宋体" w:eastAsia="宋体" w:cs="宋体"/>
          <w:color w:val="000000" w:themeColor="text1"/>
          <w:spacing w:val="0"/>
          <w:sz w:val="24"/>
          <w:szCs w:val="24"/>
          <w:highlight w:val="none"/>
          <w14:textFill>
            <w14:solidFill>
              <w14:schemeClr w14:val="tx1"/>
            </w14:solidFill>
          </w14:textFill>
        </w:rPr>
        <w:t>（1）采用投标保证金的，投标人在建设工程交易系统获取招标文件完毕后，即可在系统申请缴纳投标保证金，获取本次招标投标保证金缴纳账号。投标人必须于投标保证金到账截止时间（见本招标文件“重要事项时间地点一览表 ”）前，从其基本账户将投标保证金转账到指定的缴纳账号。逾期到账的、从非投标人基本账户转出的，其投标无效。</w:t>
      </w:r>
    </w:p>
    <w:p w14:paraId="5AD570B6">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66604B82">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（3）采用投标保证保险的，投标人须在投标保证保险投保截止时间（见本招标文件“重要事项时间地点一览表 ”）前，使用建设工程交易系统完成网上投保。投标人可在系统选择保险机构、录入投保信息、支付保费、打印电子保单，电子保单的有效期不得短于投标有效期。投标人可登录全国公共资源交易平台（广东省·韶关市）（</w:t>
      </w:r>
      <w:r>
        <w:rPr>
          <w:rFonts w:hint="eastAsia" w:ascii="宋体" w:hAnsi="宋体" w:eastAsia="宋体" w:cs="宋体"/>
          <w:color w:val="000000" w:themeColor="text1"/>
          <w:spacing w:val="0"/>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0"/>
          <w:sz w:val="24"/>
          <w:szCs w:val="24"/>
          <w:highlight w:val="none"/>
          <w14:textFill>
            <w14:solidFill>
              <w14:schemeClr w14:val="tx1"/>
            </w14:solidFill>
          </w14:textFill>
        </w:rPr>
        <w:instrText xml:space="preserve"> HYPERLINK "https://ygp.gdzwfw.gov.cn/ggzy-portal/#/440200/index" </w:instrText>
      </w:r>
      <w:r>
        <w:rPr>
          <w:rFonts w:hint="eastAsia" w:ascii="宋体" w:hAnsi="宋体" w:eastAsia="宋体" w:cs="宋体"/>
          <w:color w:val="000000" w:themeColor="text1"/>
          <w:spacing w:val="0"/>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0"/>
          <w:sz w:val="24"/>
          <w:szCs w:val="24"/>
          <w:highlight w:val="none"/>
          <w14:textFill>
            <w14:solidFill>
              <w14:schemeClr w14:val="tx1"/>
            </w14:solidFill>
          </w14:textFill>
        </w:rPr>
        <w:t>https://ygp.gdzwfw.gov.cn/ggzy-portal/#/440200/index</w:t>
      </w:r>
      <w:r>
        <w:rPr>
          <w:rFonts w:hint="eastAsia" w:ascii="宋体" w:hAnsi="宋体" w:eastAsia="宋体" w:cs="宋体"/>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0"/>
          <w:sz w:val="24"/>
          <w:szCs w:val="24"/>
          <w:highlight w:val="none"/>
          <w14:textFill>
            <w14:solidFill>
              <w14:schemeClr w14:val="tx1"/>
            </w14:solidFill>
          </w14:textFill>
        </w:rPr>
        <w:t>），在【服务指南】栏目中下载《建设工程网上交易系统保险保证金缴纳操作指南》，了解网上投保具体操作流程。逾期投保的，其投标无效。</w:t>
      </w:r>
    </w:p>
    <w:p w14:paraId="20834965">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温馨提示：1.投标人采用投标保证担保或投标保证保险的，为避免在评标过程中因有效期发生争议，建议投标人将银行保函或电子保单有效期设置为较招标文件规定的投标有效期延长不少于 20 个日历天。</w:t>
      </w:r>
    </w:p>
    <w:p w14:paraId="1EC47989">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3.4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若投标人因自身原因未能正确完成获取招标文件、电子投标、缴纳投标保证的，其投标无效。</w:t>
      </w:r>
    </w:p>
    <w:p w14:paraId="385224D7">
      <w:pPr>
        <w:keepNext w:val="0"/>
        <w:keepLines w:val="0"/>
        <w:pageBreakBefore w:val="0"/>
        <w:wordWrap w:val="0"/>
        <w:overflowPunct/>
        <w:topLinePunct w:val="0"/>
        <w:bidi w:val="0"/>
        <w:spacing w:before="79" w:line="221" w:lineRule="auto"/>
        <w:ind w:left="487"/>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23" w:name="bookmark78"/>
      <w:bookmarkEnd w:id="23"/>
      <w:bookmarkStart w:id="24" w:name="bookmark64"/>
      <w:bookmarkEnd w:id="24"/>
      <w:bookmarkStart w:id="25" w:name="_Toc15498"/>
      <w:bookmarkStart w:id="26" w:name="_Toc2883"/>
      <w:r>
        <w:rPr>
          <w:rFonts w:hint="eastAsia" w:ascii="宋体" w:hAnsi="宋体" w:eastAsia="宋体" w:cs="宋体"/>
          <w:b/>
          <w:bCs/>
          <w:color w:val="000000" w:themeColor="text1"/>
          <w:spacing w:val="0"/>
          <w:sz w:val="24"/>
          <w:szCs w:val="24"/>
          <w:highlight w:val="none"/>
          <w14:textFill>
            <w14:solidFill>
              <w14:schemeClr w14:val="tx1"/>
            </w14:solidFill>
          </w14:textFill>
        </w:rPr>
        <w:t>4</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．工期要求</w:t>
      </w:r>
      <w:bookmarkEnd w:id="25"/>
      <w:bookmarkEnd w:id="26"/>
    </w:p>
    <w:p w14:paraId="10DC164E">
      <w:pPr>
        <w:keepNext w:val="0"/>
        <w:keepLines w:val="0"/>
        <w:pageBreakBefore w:val="0"/>
        <w:wordWrap w:val="0"/>
        <w:overflowPunct/>
        <w:topLinePunct w:val="0"/>
        <w:bidi w:val="0"/>
        <w:spacing w:before="153" w:line="324" w:lineRule="auto"/>
        <w:ind w:left="30" w:right="65" w:firstLine="46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本招标项目招标工期为</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240个日历天</w:t>
      </w:r>
      <w:r>
        <w:rPr>
          <w:rFonts w:hint="eastAsia" w:ascii="宋体" w:hAnsi="宋体" w:eastAsia="宋体" w:cs="宋体"/>
          <w:color w:val="000000" w:themeColor="text1"/>
          <w:spacing w:val="0"/>
          <w:sz w:val="24"/>
          <w:szCs w:val="24"/>
          <w:highlight w:val="none"/>
          <w14:textFill>
            <w14:solidFill>
              <w14:schemeClr w14:val="tx1"/>
            </w14:solidFill>
          </w14:textFill>
        </w:rPr>
        <w:t>，中标人必须在招标工期内完成招标范围内的全部内容。</w:t>
      </w:r>
    </w:p>
    <w:p w14:paraId="2574D13A">
      <w:pPr>
        <w:keepNext w:val="0"/>
        <w:keepLines w:val="0"/>
        <w:pageBreakBefore w:val="0"/>
        <w:wordWrap w:val="0"/>
        <w:overflowPunct/>
        <w:topLinePunct w:val="0"/>
        <w:bidi w:val="0"/>
        <w:spacing w:before="78" w:line="219" w:lineRule="auto"/>
        <w:ind w:left="488"/>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27" w:name="_Toc4580"/>
      <w:bookmarkStart w:id="28" w:name="_Toc4154"/>
      <w:r>
        <w:rPr>
          <w:rFonts w:hint="eastAsia" w:ascii="宋体" w:hAnsi="宋体" w:eastAsia="宋体" w:cs="宋体"/>
          <w:b/>
          <w:bCs/>
          <w:color w:val="000000" w:themeColor="text1"/>
          <w:spacing w:val="0"/>
          <w:sz w:val="24"/>
          <w:szCs w:val="24"/>
          <w:highlight w:val="none"/>
          <w14:textFill>
            <w14:solidFill>
              <w14:schemeClr w14:val="tx1"/>
            </w14:solidFill>
          </w14:textFill>
        </w:rPr>
        <w:t>5</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．质量标准和材料、机械要求</w:t>
      </w:r>
      <w:bookmarkEnd w:id="27"/>
      <w:bookmarkEnd w:id="28"/>
    </w:p>
    <w:p w14:paraId="2EE63B7A">
      <w:pPr>
        <w:keepNext w:val="0"/>
        <w:keepLines w:val="0"/>
        <w:pageBreakBefore w:val="0"/>
        <w:wordWrap w:val="0"/>
        <w:overflowPunct/>
        <w:topLinePunct w:val="0"/>
        <w:bidi w:val="0"/>
        <w:spacing w:before="154" w:line="360" w:lineRule="auto"/>
        <w:ind w:left="11" w:right="99"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5.1  </w:t>
      </w:r>
      <w:r>
        <w:rPr>
          <w:rFonts w:hint="eastAsia" w:ascii="宋体" w:hAnsi="宋体" w:eastAsia="宋体" w:cs="宋体"/>
          <w:color w:val="000000" w:themeColor="text1"/>
          <w:spacing w:val="0"/>
          <w:sz w:val="24"/>
          <w:szCs w:val="24"/>
          <w:highlight w:val="none"/>
          <w14:textFill>
            <w14:solidFill>
              <w14:schemeClr w14:val="tx1"/>
            </w14:solidFill>
          </w14:textFill>
        </w:rPr>
        <w:t>施工工艺严格按照国家和广东省的有关现行施工技术规范及标准执行，工程质量标准</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符合现行国家有关工程施工质量验收规范和标准的要求，达到验收合格标准</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550F785F">
      <w:pPr>
        <w:keepNext w:val="0"/>
        <w:keepLines w:val="0"/>
        <w:pageBreakBefore w:val="0"/>
        <w:wordWrap w:val="0"/>
        <w:overflowPunct/>
        <w:topLinePunct w:val="0"/>
        <w:bidi w:val="0"/>
        <w:spacing w:before="154" w:line="360" w:lineRule="auto"/>
        <w:ind w:left="10" w:right="99" w:firstLine="55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5.2</w:t>
      </w:r>
      <w:r>
        <w:rPr>
          <w:rFonts w:hint="eastAsia" w:ascii="宋体" w:hAnsi="宋体" w:eastAsia="宋体" w:cs="宋体"/>
          <w:b/>
          <w:bCs/>
          <w:color w:val="000000" w:themeColor="text1"/>
          <w:spacing w:val="0"/>
          <w:w w:val="10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中标人在施工中如果工程质量不符合设计要求和有关规定，招标人或监理单位要求停工和返工的必须立即执行，并承担由此产生的各种费用，工期不予顺延。</w:t>
      </w:r>
    </w:p>
    <w:p w14:paraId="7AA414CC">
      <w:pPr>
        <w:keepNext w:val="0"/>
        <w:keepLines w:val="0"/>
        <w:pageBreakBefore w:val="0"/>
        <w:wordWrap w:val="0"/>
        <w:overflowPunct/>
        <w:topLinePunct w:val="0"/>
        <w:bidi w:val="0"/>
        <w:spacing w:before="152" w:line="360" w:lineRule="auto"/>
        <w:ind w:left="9" w:firstLine="56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5.3  </w:t>
      </w:r>
      <w:r>
        <w:rPr>
          <w:rFonts w:hint="eastAsia" w:ascii="宋体" w:hAnsi="宋体" w:eastAsia="宋体" w:cs="宋体"/>
          <w:color w:val="000000" w:themeColor="text1"/>
          <w:spacing w:val="0"/>
          <w:sz w:val="24"/>
          <w:szCs w:val="24"/>
          <w:highlight w:val="none"/>
          <w14:textFill>
            <w14:solidFill>
              <w14:schemeClr w14:val="tx1"/>
            </w14:solidFill>
          </w14:textFill>
        </w:rPr>
        <w:t>保修期限按《建设工程质量管理条例》（中华人民共和国国务院令第 279号）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46FB79BE">
      <w:pPr>
        <w:keepNext w:val="0"/>
        <w:keepLines w:val="0"/>
        <w:pageBreakBefore w:val="0"/>
        <w:wordWrap w:val="0"/>
        <w:overflowPunct/>
        <w:topLinePunct w:val="0"/>
        <w:bidi w:val="0"/>
        <w:spacing w:before="152" w:line="360" w:lineRule="auto"/>
        <w:ind w:left="9" w:firstLine="56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5.4</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根据韶关市人民政府《关于加快推进全市绿色建筑发展工作的通知》（韶府办明电〔2013〕277 号）有关规定，结合《韶关市住建管理局关于贯彻落实&lt;广东省绿色建筑条例&gt;有关工作的通知》（韶市建字〔2021〕85 号）等有关规定，</w:t>
      </w:r>
      <w:r>
        <w:rPr>
          <w:rFonts w:hint="eastAsia" w:ascii="宋体" w:hAnsi="宋体" w:eastAsia="宋体" w:cs="宋体"/>
          <w:color w:val="000000" w:themeColor="text1"/>
          <w:spacing w:val="0"/>
          <w:sz w:val="24"/>
          <w:szCs w:val="24"/>
          <w:highlight w:val="none"/>
          <w14:textFill>
            <w14:solidFill>
              <w14:schemeClr w14:val="tx1"/>
            </w14:solidFill>
          </w14:textFill>
        </w:rPr>
        <w:t>本招标项目</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不</w:t>
      </w:r>
      <w:r>
        <w:rPr>
          <w:rFonts w:hint="eastAsia" w:ascii="宋体" w:hAnsi="宋体" w:eastAsia="宋体" w:cs="宋体"/>
          <w:color w:val="000000" w:themeColor="text1"/>
          <w:spacing w:val="0"/>
          <w:sz w:val="24"/>
          <w:szCs w:val="24"/>
          <w:highlight w:val="none"/>
          <w14:textFill>
            <w14:solidFill>
              <w14:schemeClr w14:val="tx1"/>
            </w14:solidFill>
          </w14:textFill>
        </w:rPr>
        <w:t>纳入绿色建设实施范围</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p>
    <w:p w14:paraId="096BED74">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5.5</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其它：</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本招标项目</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不</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纳入装配式建造建设实施范围。</w:t>
      </w:r>
    </w:p>
    <w:p w14:paraId="744CB0C9">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5.6</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则中标人必须使用合格材料或设备。</w:t>
      </w:r>
    </w:p>
    <w:p w14:paraId="10FFFDBC">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5.</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7</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54A8F521">
      <w:pPr>
        <w:keepNext w:val="0"/>
        <w:keepLines w:val="0"/>
        <w:pageBreakBefore w:val="0"/>
        <w:wordWrap w:val="0"/>
        <w:overflowPunct/>
        <w:topLinePunct w:val="0"/>
        <w:bidi w:val="0"/>
        <w:spacing w:before="78" w:line="220" w:lineRule="auto"/>
        <w:ind w:left="489"/>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29" w:name="_Toc7763"/>
      <w:bookmarkStart w:id="30" w:name="_Toc28930"/>
      <w:r>
        <w:rPr>
          <w:rFonts w:hint="eastAsia" w:ascii="宋体" w:hAnsi="宋体" w:eastAsia="宋体" w:cs="宋体"/>
          <w:b/>
          <w:bCs/>
          <w:color w:val="000000" w:themeColor="text1"/>
          <w:spacing w:val="0"/>
          <w:sz w:val="24"/>
          <w:szCs w:val="24"/>
          <w:highlight w:val="none"/>
          <w14:textFill>
            <w14:solidFill>
              <w14:schemeClr w14:val="tx1"/>
            </w14:solidFill>
          </w14:textFill>
        </w:rPr>
        <w:t>6 ．施工条件及现场踏勘</w:t>
      </w:r>
      <w:bookmarkEnd w:id="29"/>
      <w:bookmarkEnd w:id="30"/>
    </w:p>
    <w:p w14:paraId="33B1E63A">
      <w:pPr>
        <w:keepNext w:val="0"/>
        <w:keepLines w:val="0"/>
        <w:pageBreakBefore w:val="0"/>
        <w:wordWrap w:val="0"/>
        <w:overflowPunct/>
        <w:topLinePunct w:val="0"/>
        <w:bidi w:val="0"/>
        <w:spacing w:before="155" w:line="360" w:lineRule="auto"/>
        <w:ind w:left="12" w:right="99" w:firstLine="55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6.1  </w:t>
      </w:r>
      <w:r>
        <w:rPr>
          <w:rFonts w:hint="eastAsia" w:ascii="宋体" w:hAnsi="宋体" w:eastAsia="宋体" w:cs="宋体"/>
          <w:color w:val="000000" w:themeColor="text1"/>
          <w:spacing w:val="0"/>
          <w:sz w:val="24"/>
          <w:szCs w:val="24"/>
          <w:highlight w:val="none"/>
          <w14:textFill>
            <w14:solidFill>
              <w14:schemeClr w14:val="tx1"/>
            </w14:solidFill>
          </w14:textFill>
        </w:rPr>
        <w:t>招标人仅在本招标项目征地红线范围内提供场地，其他一切场地费用由中标人自行负责（含临时道路）。</w:t>
      </w:r>
    </w:p>
    <w:p w14:paraId="43C889C7">
      <w:pPr>
        <w:keepNext w:val="0"/>
        <w:keepLines w:val="0"/>
        <w:pageBreakBefore w:val="0"/>
        <w:wordWrap w:val="0"/>
        <w:overflowPunct/>
        <w:topLinePunct w:val="0"/>
        <w:bidi w:val="0"/>
        <w:spacing w:before="155" w:line="360" w:lineRule="auto"/>
        <w:ind w:left="12" w:right="99" w:firstLine="556"/>
        <w:rPr>
          <w:rFonts w:hint="eastAsia" w:ascii="宋体" w:hAnsi="宋体" w:eastAsia="宋体" w:cs="宋体"/>
          <w:color w:val="000000" w:themeColor="text1"/>
          <w:spacing w:val="0"/>
          <w:sz w:val="24"/>
          <w:szCs w:val="24"/>
          <w:highlight w:val="none"/>
          <w14:textFill>
            <w14:solidFill>
              <w14:schemeClr w14:val="tx1"/>
            </w14:solidFill>
          </w14:textFill>
        </w:rPr>
      </w:pPr>
      <w:bookmarkStart w:id="31" w:name="bookmark118"/>
      <w:bookmarkEnd w:id="31"/>
      <w:r>
        <w:rPr>
          <w:rFonts w:hint="eastAsia" w:ascii="宋体" w:hAnsi="宋体" w:eastAsia="宋体" w:cs="宋体"/>
          <w:b/>
          <w:bCs/>
          <w:color w:val="000000" w:themeColor="text1"/>
          <w:spacing w:val="0"/>
          <w:sz w:val="24"/>
          <w:szCs w:val="24"/>
          <w:highlight w:val="none"/>
          <w14:textFill>
            <w14:solidFill>
              <w14:schemeClr w14:val="tx1"/>
            </w14:solidFill>
          </w14:textFill>
        </w:rPr>
        <w:t>6.2</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施工用水：</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由中标人自行解决，费用考虑在投标报价中</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5DA5ED0F">
      <w:pPr>
        <w:keepNext w:val="0"/>
        <w:keepLines w:val="0"/>
        <w:pageBreakBefore w:val="0"/>
        <w:wordWrap w:val="0"/>
        <w:overflowPunct/>
        <w:topLinePunct w:val="0"/>
        <w:bidi w:val="0"/>
        <w:spacing w:before="155" w:line="360" w:lineRule="auto"/>
        <w:ind w:left="12" w:right="99" w:firstLine="55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6.3</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施工用电：</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由中标人自行解决，费用考虑在投标报价中</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4117B1E2">
      <w:pPr>
        <w:keepNext w:val="0"/>
        <w:keepLines w:val="0"/>
        <w:pageBreakBefore w:val="0"/>
        <w:wordWrap w:val="0"/>
        <w:overflowPunct/>
        <w:topLinePunct w:val="0"/>
        <w:bidi w:val="0"/>
        <w:spacing w:before="155" w:line="360" w:lineRule="auto"/>
        <w:ind w:left="12" w:right="99" w:firstLine="55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6.4</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施工用水、用电各提供一驳接点到现场边缘。要求中标人单独安装水表、电表，其水、电费按项目所在地</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新丰县</w:t>
      </w:r>
      <w:r>
        <w:rPr>
          <w:rFonts w:hint="eastAsia" w:ascii="宋体" w:hAnsi="宋体" w:eastAsia="宋体" w:cs="宋体"/>
          <w:color w:val="000000" w:themeColor="text1"/>
          <w:spacing w:val="0"/>
          <w:sz w:val="24"/>
          <w:szCs w:val="24"/>
          <w:highlight w:val="none"/>
          <w14:textFill>
            <w14:solidFill>
              <w14:schemeClr w14:val="tx1"/>
            </w14:solidFill>
          </w14:textFill>
        </w:rPr>
        <w:t>基建工程水、电计费标准计算并由中标人缴纳。</w:t>
      </w:r>
    </w:p>
    <w:p w14:paraId="7B035D82">
      <w:pPr>
        <w:keepNext w:val="0"/>
        <w:keepLines w:val="0"/>
        <w:pageBreakBefore w:val="0"/>
        <w:wordWrap w:val="0"/>
        <w:overflowPunct/>
        <w:topLinePunct w:val="0"/>
        <w:bidi w:val="0"/>
        <w:spacing w:before="154" w:line="360" w:lineRule="auto"/>
        <w:ind w:left="9" w:right="16" w:firstLine="55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6.5  </w:t>
      </w:r>
      <w:r>
        <w:rPr>
          <w:rFonts w:hint="eastAsia" w:ascii="宋体" w:hAnsi="宋体" w:eastAsia="宋体" w:cs="宋体"/>
          <w:color w:val="000000" w:themeColor="text1"/>
          <w:spacing w:val="0"/>
          <w:sz w:val="24"/>
          <w:szCs w:val="24"/>
          <w:highlight w:val="none"/>
          <w14:textFill>
            <w14:solidFill>
              <w14:schemeClr w14:val="tx1"/>
            </w14:solidFill>
          </w14:textFill>
        </w:rPr>
        <w:t>招标人不组织现场踏勘，但会在招标文件及有关设计文件中明确告知招标项目的具体位置和周边环境，并在现场设置足以识别的标识或提供足以表明招标项目具体位置的文字或图片。投标人需要了解现场情况的</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可自行进行现场踏勘。</w:t>
      </w:r>
    </w:p>
    <w:p w14:paraId="7738F7AC">
      <w:pPr>
        <w:keepNext w:val="0"/>
        <w:keepLines w:val="0"/>
        <w:pageBreakBefore w:val="0"/>
        <w:wordWrap w:val="0"/>
        <w:overflowPunct/>
        <w:topLinePunct w:val="0"/>
        <w:bidi w:val="0"/>
        <w:spacing w:before="153" w:line="360" w:lineRule="auto"/>
        <w:ind w:left="9" w:right="16" w:firstLine="55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6.6  </w:t>
      </w:r>
      <w:r>
        <w:rPr>
          <w:rFonts w:hint="eastAsia" w:ascii="宋体" w:hAnsi="宋体" w:eastAsia="宋体" w:cs="宋体"/>
          <w:color w:val="000000" w:themeColor="text1"/>
          <w:spacing w:val="0"/>
          <w:sz w:val="24"/>
          <w:szCs w:val="24"/>
          <w:highlight w:val="none"/>
          <w14:textFill>
            <w14:solidFill>
              <w14:schemeClr w14:val="tx1"/>
            </w14:solidFill>
          </w14:textFill>
        </w:rPr>
        <w:t>在现场踏勘过程中，投标人应确保自身安全，投标人如果发生人身伤亡、财物或其他损失，法律法规有规定的按有关规定处理，没有规定的由投标人自行负责。</w:t>
      </w:r>
    </w:p>
    <w:p w14:paraId="7E2F99A6">
      <w:pPr>
        <w:keepNext w:val="0"/>
        <w:keepLines w:val="0"/>
        <w:pageBreakBefore w:val="0"/>
        <w:wordWrap w:val="0"/>
        <w:overflowPunct/>
        <w:topLinePunct w:val="0"/>
        <w:bidi w:val="0"/>
        <w:spacing w:before="153" w:line="360" w:lineRule="auto"/>
        <w:ind w:left="568"/>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6.7  </w:t>
      </w:r>
      <w:r>
        <w:rPr>
          <w:rFonts w:hint="eastAsia" w:ascii="宋体" w:hAnsi="宋体" w:eastAsia="宋体" w:cs="宋体"/>
          <w:color w:val="000000" w:themeColor="text1"/>
          <w:spacing w:val="0"/>
          <w:sz w:val="24"/>
          <w:szCs w:val="24"/>
          <w:highlight w:val="none"/>
          <w14:textFill>
            <w14:solidFill>
              <w14:schemeClr w14:val="tx1"/>
            </w14:solidFill>
          </w14:textFill>
        </w:rPr>
        <w:t>现场踏勘期间的交通、食宿由投标人自行安排，费用自理。</w:t>
      </w:r>
    </w:p>
    <w:p w14:paraId="1757ED06">
      <w:pPr>
        <w:keepNext w:val="0"/>
        <w:keepLines w:val="0"/>
        <w:pageBreakBefore w:val="0"/>
        <w:wordWrap w:val="0"/>
        <w:overflowPunct/>
        <w:topLinePunct w:val="0"/>
        <w:bidi w:val="0"/>
        <w:spacing w:before="78" w:line="360" w:lineRule="auto"/>
        <w:ind w:left="488"/>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32" w:name="bookmark69"/>
      <w:bookmarkEnd w:id="32"/>
      <w:bookmarkStart w:id="33" w:name="bookmark81"/>
      <w:bookmarkEnd w:id="33"/>
      <w:bookmarkStart w:id="34" w:name="bookmark67"/>
      <w:bookmarkEnd w:id="34"/>
      <w:bookmarkStart w:id="35" w:name="_Toc6678"/>
      <w:bookmarkStart w:id="36" w:name="_Toc15543"/>
      <w:r>
        <w:rPr>
          <w:rFonts w:hint="eastAsia" w:ascii="宋体" w:hAnsi="宋体" w:eastAsia="宋体" w:cs="宋体"/>
          <w:b/>
          <w:bCs/>
          <w:color w:val="000000" w:themeColor="text1"/>
          <w:spacing w:val="0"/>
          <w:sz w:val="24"/>
          <w:szCs w:val="24"/>
          <w:highlight w:val="none"/>
          <w14:textFill>
            <w14:solidFill>
              <w14:schemeClr w14:val="tx1"/>
            </w14:solidFill>
          </w14:textFill>
        </w:rPr>
        <w:t>7 ．招标文件的提问和答疑</w:t>
      </w:r>
      <w:bookmarkEnd w:id="35"/>
      <w:bookmarkEnd w:id="36"/>
    </w:p>
    <w:p w14:paraId="58203EDA">
      <w:pPr>
        <w:keepNext w:val="0"/>
        <w:keepLines w:val="0"/>
        <w:pageBreakBefore w:val="0"/>
        <w:wordWrap w:val="0"/>
        <w:overflowPunct/>
        <w:topLinePunct w:val="0"/>
        <w:bidi w:val="0"/>
        <w:spacing w:before="153" w:line="360" w:lineRule="auto"/>
        <w:ind w:left="9" w:right="16" w:firstLine="47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7.1  </w:t>
      </w:r>
      <w:r>
        <w:rPr>
          <w:rFonts w:hint="eastAsia" w:ascii="宋体" w:hAnsi="宋体" w:eastAsia="宋体" w:cs="宋体"/>
          <w:color w:val="000000" w:themeColor="text1"/>
          <w:spacing w:val="0"/>
          <w:sz w:val="24"/>
          <w:szCs w:val="24"/>
          <w:highlight w:val="none"/>
          <w14:textFill>
            <w14:solidFill>
              <w14:schemeClr w14:val="tx1"/>
            </w14:solidFill>
          </w14:textFill>
        </w:rPr>
        <w:t>投标人若对招标文件（含施工图、招标工程量清单）有疑问，应在提问截止时间（见本章第二节“重要事项时间地点一览表 ”）前使用建设工程交易系统提出问题。未在指定时间前、未采用指定方式提出的，招标人不予受理。</w:t>
      </w:r>
    </w:p>
    <w:p w14:paraId="79A8D99B">
      <w:pPr>
        <w:keepNext w:val="0"/>
        <w:keepLines w:val="0"/>
        <w:pageBreakBefore w:val="0"/>
        <w:wordWrap w:val="0"/>
        <w:overflowPunct/>
        <w:topLinePunct w:val="0"/>
        <w:bidi w:val="0"/>
        <w:spacing w:before="154" w:line="360" w:lineRule="auto"/>
        <w:ind w:left="9" w:right="16" w:firstLine="55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7.2  </w:t>
      </w:r>
      <w:r>
        <w:rPr>
          <w:rFonts w:hint="eastAsia" w:ascii="宋体" w:hAnsi="宋体" w:eastAsia="宋体" w:cs="宋体"/>
          <w:color w:val="000000" w:themeColor="text1"/>
          <w:spacing w:val="0"/>
          <w:sz w:val="24"/>
          <w:szCs w:val="24"/>
          <w:highlight w:val="none"/>
          <w14:textFill>
            <w14:solidFill>
              <w14:schemeClr w14:val="tx1"/>
            </w14:solidFill>
          </w14:textFill>
        </w:rPr>
        <w:t>招标人在提问截止时间（见本章第二节“重要事项时间地点一览表 ”）后 3 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446874AE">
      <w:pPr>
        <w:keepNext w:val="0"/>
        <w:keepLines w:val="0"/>
        <w:pageBreakBefore w:val="0"/>
        <w:wordWrap w:val="0"/>
        <w:overflowPunct/>
        <w:topLinePunct w:val="0"/>
        <w:bidi w:val="0"/>
        <w:spacing w:before="152" w:line="360" w:lineRule="auto"/>
        <w:ind w:firstLine="482" w:firstLineChars="200"/>
        <w:jc w:val="both"/>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7.3  </w:t>
      </w:r>
      <w:r>
        <w:rPr>
          <w:rFonts w:hint="eastAsia" w:ascii="宋体" w:hAnsi="宋体" w:eastAsia="宋体" w:cs="宋体"/>
          <w:color w:val="000000" w:themeColor="text1"/>
          <w:spacing w:val="0"/>
          <w:sz w:val="24"/>
          <w:szCs w:val="24"/>
          <w:highlight w:val="none"/>
          <w14:textFill>
            <w14:solidFill>
              <w14:schemeClr w14:val="tx1"/>
            </w14:solidFill>
          </w14:textFill>
        </w:rPr>
        <w:t>招标人对招标文件所作的答疑（或修改）公告，构成招标文件的组成部分。</w:t>
      </w:r>
    </w:p>
    <w:p w14:paraId="1850E2AC">
      <w:pPr>
        <w:keepNext w:val="0"/>
        <w:keepLines w:val="0"/>
        <w:pageBreakBefore w:val="0"/>
        <w:wordWrap w:val="0"/>
        <w:overflowPunct/>
        <w:topLinePunct w:val="0"/>
        <w:bidi w:val="0"/>
        <w:spacing w:before="79" w:line="360" w:lineRule="auto"/>
        <w:ind w:left="488"/>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37" w:name="_Toc6897"/>
      <w:bookmarkStart w:id="38" w:name="_Toc11587"/>
      <w:r>
        <w:rPr>
          <w:rFonts w:hint="eastAsia" w:ascii="宋体" w:hAnsi="宋体" w:eastAsia="宋体" w:cs="宋体"/>
          <w:b/>
          <w:bCs/>
          <w:color w:val="000000" w:themeColor="text1"/>
          <w:spacing w:val="0"/>
          <w:sz w:val="24"/>
          <w:szCs w:val="24"/>
          <w:highlight w:val="none"/>
          <w14:textFill>
            <w14:solidFill>
              <w14:schemeClr w14:val="tx1"/>
            </w14:solidFill>
          </w14:textFill>
        </w:rPr>
        <w:t>8 ．</w:t>
      </w:r>
      <w:bookmarkEnd w:id="37"/>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最高投标限价</w:t>
      </w:r>
      <w:bookmarkEnd w:id="38"/>
    </w:p>
    <w:p w14:paraId="37FBB470">
      <w:pPr>
        <w:keepNext w:val="0"/>
        <w:keepLines w:val="0"/>
        <w:pageBreakBefore w:val="0"/>
        <w:wordWrap w:val="0"/>
        <w:overflowPunct/>
        <w:topLinePunct w:val="0"/>
        <w:bidi w:val="0"/>
        <w:spacing w:before="155" w:line="360" w:lineRule="auto"/>
        <w:ind w:left="48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8.1  </w:t>
      </w:r>
      <w:r>
        <w:rPr>
          <w:rFonts w:hint="eastAsia" w:ascii="宋体" w:hAnsi="宋体" w:eastAsia="宋体" w:cs="宋体"/>
          <w:color w:val="000000" w:themeColor="text1"/>
          <w:spacing w:val="0"/>
          <w:sz w:val="24"/>
          <w:szCs w:val="24"/>
          <w:highlight w:val="none"/>
          <w14:textFill>
            <w14:solidFill>
              <w14:schemeClr w14:val="tx1"/>
            </w14:solidFill>
          </w14:textFill>
        </w:rPr>
        <w:t>本招标项目按照以下依据编制</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最高投标限价</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1070EE1C">
      <w:pPr>
        <w:keepNext w:val="0"/>
        <w:keepLines w:val="0"/>
        <w:pageBreakBefore w:val="0"/>
        <w:wordWrap w:val="0"/>
        <w:overflowPunct/>
        <w:topLinePunct w:val="0"/>
        <w:bidi w:val="0"/>
        <w:spacing w:before="157" w:line="360"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建设工程工程量清单计价标准</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GB/T50500-2024</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4A7247E5">
      <w:pPr>
        <w:keepNext w:val="0"/>
        <w:keepLines w:val="0"/>
        <w:pageBreakBefore w:val="0"/>
        <w:wordWrap w:val="0"/>
        <w:overflowPunct/>
        <w:topLinePunct w:val="0"/>
        <w:bidi w:val="0"/>
        <w:spacing w:before="153" w:line="360" w:lineRule="auto"/>
        <w:ind w:left="9" w:right="16" w:firstLine="49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31DF117C">
      <w:pPr>
        <w:keepNext w:val="0"/>
        <w:keepLines w:val="0"/>
        <w:pageBreakBefore w:val="0"/>
        <w:wordWrap w:val="0"/>
        <w:overflowPunct/>
        <w:topLinePunct w:val="0"/>
        <w:bidi w:val="0"/>
        <w:spacing w:before="154" w:line="360"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（3）施工图及相关资料；</w:t>
      </w:r>
    </w:p>
    <w:p w14:paraId="2964A12F">
      <w:pPr>
        <w:keepNext w:val="0"/>
        <w:keepLines w:val="0"/>
        <w:pageBreakBefore w:val="0"/>
        <w:wordWrap w:val="0"/>
        <w:overflowPunct/>
        <w:topLinePunct w:val="0"/>
        <w:bidi w:val="0"/>
        <w:spacing w:before="78" w:line="360" w:lineRule="auto"/>
        <w:ind w:left="502"/>
        <w:rPr>
          <w:rFonts w:hint="eastAsia" w:ascii="宋体" w:hAnsi="宋体" w:eastAsia="宋体" w:cs="宋体"/>
          <w:color w:val="000000" w:themeColor="text1"/>
          <w:spacing w:val="0"/>
          <w:sz w:val="24"/>
          <w:szCs w:val="24"/>
          <w:highlight w:val="none"/>
          <w14:textFill>
            <w14:solidFill>
              <w14:schemeClr w14:val="tx1"/>
            </w14:solidFill>
          </w14:textFill>
        </w:rPr>
      </w:pPr>
      <w:bookmarkStart w:id="39" w:name="bookmark119"/>
      <w:bookmarkEnd w:id="39"/>
      <w:r>
        <w:rPr>
          <w:rFonts w:hint="eastAsia" w:ascii="宋体" w:hAnsi="宋体" w:eastAsia="宋体" w:cs="宋体"/>
          <w:color w:val="000000" w:themeColor="text1"/>
          <w:spacing w:val="0"/>
          <w:sz w:val="24"/>
          <w:szCs w:val="24"/>
          <w:highlight w:val="none"/>
          <w14:textFill>
            <w14:solidFill>
              <w14:schemeClr w14:val="tx1"/>
            </w14:solidFill>
          </w14:textFill>
        </w:rPr>
        <w:t>（4）招标文件及招标工程量清单；</w:t>
      </w:r>
    </w:p>
    <w:p w14:paraId="76D0A57F">
      <w:pPr>
        <w:keepNext w:val="0"/>
        <w:keepLines w:val="0"/>
        <w:pageBreakBefore w:val="0"/>
        <w:wordWrap w:val="0"/>
        <w:overflowPunct/>
        <w:topLinePunct w:val="0"/>
        <w:bidi w:val="0"/>
        <w:spacing w:before="155" w:line="360" w:lineRule="auto"/>
        <w:ind w:left="50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（5）施工现场情况、工程特点及常规施工方案；</w:t>
      </w:r>
    </w:p>
    <w:p w14:paraId="504E4C98">
      <w:pPr>
        <w:keepNext w:val="0"/>
        <w:keepLines w:val="0"/>
        <w:pageBreakBefore w:val="0"/>
        <w:wordWrap w:val="0"/>
        <w:overflowPunct/>
        <w:topLinePunct w:val="0"/>
        <w:bidi w:val="0"/>
        <w:spacing w:before="153" w:line="360" w:lineRule="auto"/>
        <w:ind w:left="12" w:right="136" w:firstLine="48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（6）项目所在地工程造价管理机构发布的工程造价信息，工程造价信息缺项的，参照市场价格；</w:t>
      </w:r>
    </w:p>
    <w:p w14:paraId="6B6B220A">
      <w:pPr>
        <w:keepNext w:val="0"/>
        <w:keepLines w:val="0"/>
        <w:pageBreakBefore w:val="0"/>
        <w:wordWrap w:val="0"/>
        <w:overflowPunct/>
        <w:topLinePunct w:val="0"/>
        <w:bidi w:val="0"/>
        <w:spacing w:before="157" w:line="360" w:lineRule="auto"/>
        <w:ind w:left="50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（7）与建设项目相关的标准、规范、技术资料。</w:t>
      </w:r>
    </w:p>
    <w:p w14:paraId="5D519EB1">
      <w:pPr>
        <w:keepNext w:val="0"/>
        <w:keepLines w:val="0"/>
        <w:pageBreakBefore w:val="0"/>
        <w:wordWrap w:val="0"/>
        <w:overflowPunct/>
        <w:topLinePunct w:val="0"/>
        <w:bidi w:val="0"/>
        <w:spacing w:before="79" w:line="360" w:lineRule="auto"/>
        <w:ind w:left="11" w:firstLine="479"/>
        <w:jc w:val="both"/>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8.2</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本招标项目的</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最高投标限价</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、工程量清单、</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施工图纸</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在投标截止时间15天前以补充公告的形式在广东省招标投标监管网（http://zbtb.gd.gov.cn）、全国公共资源交易平台（广东省·韶关市）（https://ygp.gdzwfw.gov.cn/ggzy-portal/#/440200/index）网站公布。</w:t>
      </w:r>
    </w:p>
    <w:p w14:paraId="458077E8">
      <w:pPr>
        <w:keepNext w:val="0"/>
        <w:keepLines w:val="0"/>
        <w:pageBreakBefore w:val="0"/>
        <w:wordWrap w:val="0"/>
        <w:overflowPunct/>
        <w:topLinePunct w:val="0"/>
        <w:bidi w:val="0"/>
        <w:spacing w:before="79" w:line="360" w:lineRule="auto"/>
        <w:ind w:left="11" w:firstLine="479"/>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8.</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3</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暂估价指招标工程量清单中提供的用于支付必然发生但暂时不能确定价格的材料、工程设备的单价以及专业工程的金额；暂列金额指招标工程量清单中暂定并包括在合同价款中的一笔款项，用于工程合同签订时尚未确定或者不可预见的所需材料、工程设备、服务的采购，施工中可能发生的工程变更、合同约定调整因素出现时的合同价款调整以及发生的索赔、现场签证确认等的费用。</w:t>
      </w:r>
    </w:p>
    <w:p w14:paraId="1698FFA3">
      <w:pPr>
        <w:keepNext w:val="0"/>
        <w:keepLines w:val="0"/>
        <w:pageBreakBefore w:val="0"/>
        <w:wordWrap w:val="0"/>
        <w:overflowPunct/>
        <w:topLinePunct w:val="0"/>
        <w:bidi w:val="0"/>
        <w:spacing w:before="36" w:line="360" w:lineRule="auto"/>
        <w:ind w:left="10" w:right="200" w:firstLine="4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8.</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4</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本招标项目以暂估价形式列入招标工程量清单中的材料、工程设备、专业工程（以下统称“暂估价项目 ”）包括：</w:t>
      </w:r>
      <w:r>
        <w:rPr>
          <w:rFonts w:hint="eastAsia" w:ascii="宋体" w:hAnsi="宋体" w:eastAsia="宋体" w:cs="宋体"/>
          <w:color w:val="000000" w:themeColor="text1"/>
          <w:spacing w:val="0"/>
          <w:sz w:val="24"/>
          <w:szCs w:val="24"/>
          <w:highlight w:val="none"/>
          <w:u w:val="single"/>
          <w14:textFill>
            <w14:solidFill>
              <w14:schemeClr w14:val="tx1"/>
            </w14:solidFill>
          </w14:textFill>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14:paraId="27DBB8AB">
      <w:pPr>
        <w:keepNext w:val="0"/>
        <w:keepLines w:val="0"/>
        <w:pageBreakBefore w:val="0"/>
        <w:wordWrap w:val="0"/>
        <w:overflowPunct/>
        <w:topLinePunct w:val="0"/>
        <w:bidi w:val="0"/>
        <w:spacing w:before="154" w:line="360" w:lineRule="auto"/>
        <w:ind w:left="12" w:right="200"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8.</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5</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当暂估价项目的内容、标准、要求在项目实施过程中得以深化、明确、固定后，按以下原则发包：</w:t>
      </w:r>
    </w:p>
    <w:p w14:paraId="2E6E5889">
      <w:pPr>
        <w:keepNext w:val="0"/>
        <w:keepLines w:val="0"/>
        <w:pageBreakBefore w:val="0"/>
        <w:wordWrap w:val="0"/>
        <w:overflowPunct/>
        <w:topLinePunct w:val="0"/>
        <w:bidi w:val="0"/>
        <w:spacing w:before="153" w:line="360" w:lineRule="auto"/>
        <w:ind w:left="-3" w:leftChars="0" w:firstLine="480"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（1）暂估价项目按工程、货物（指材料或工程设备，下同）的类别分类汇总的金额，达到必须招标规模标准的，由</w:t>
      </w:r>
      <w:r>
        <w:rPr>
          <w:rFonts w:hint="eastAsia" w:ascii="宋体" w:hAnsi="宋体" w:eastAsia="宋体" w:cs="宋体"/>
          <w:b/>
          <w:bCs/>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pacing w:val="0"/>
          <w:sz w:val="24"/>
          <w:szCs w:val="24"/>
          <w:highlight w:val="none"/>
          <w:u w:val="single"/>
          <w14:textFill>
            <w14:solidFill>
              <w14:schemeClr w14:val="tx1"/>
            </w14:solidFill>
          </w14:textFill>
        </w:rPr>
        <w:t xml:space="preserve">中标人招标，招标人参与管理 </w:t>
      </w:r>
      <w:r>
        <w:rPr>
          <w:rFonts w:hint="eastAsia" w:ascii="宋体" w:hAnsi="宋体" w:eastAsia="宋体" w:cs="宋体"/>
          <w:bCs/>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确定专业工程承包人（或材料、工程 设备供应商）和合同价格。</w:t>
      </w:r>
    </w:p>
    <w:p w14:paraId="748F67E9">
      <w:pPr>
        <w:keepNext w:val="0"/>
        <w:keepLines w:val="0"/>
        <w:pageBreakBefore w:val="0"/>
        <w:wordWrap w:val="0"/>
        <w:overflowPunct/>
        <w:topLinePunct w:val="0"/>
        <w:bidi w:val="0"/>
        <w:spacing w:before="30" w:line="299" w:lineRule="auto"/>
        <w:ind w:left="11" w:right="65" w:firstLine="48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（2）暂估价项目按工程、货物的类别分类汇总的金额，未达到必须招标规模标准但适用政府采购规定的，按照政府采购规定确定专业工程承包人（或材料、工程设备供应商）和合同价格。</w:t>
      </w:r>
    </w:p>
    <w:p w14:paraId="6736DF1E">
      <w:pPr>
        <w:keepNext w:val="0"/>
        <w:keepLines w:val="0"/>
        <w:pageBreakBefore w:val="0"/>
        <w:wordWrap w:val="0"/>
        <w:overflowPunct/>
        <w:topLinePunct w:val="0"/>
        <w:bidi w:val="0"/>
        <w:spacing w:before="154" w:line="309" w:lineRule="auto"/>
        <w:ind w:left="11" w:right="65" w:firstLine="48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暂估价项目按工程、货物的类别分类汇总的金额，未达到必须招标规模标准也不适用政府采购规定，中标人具备相应资格条件的，由中标人承包；中标人不具备相应资格条件但具备分包权的，由中标人分包，招标人同中标人结算原则按本招标文件相关条款执行。</w:t>
      </w:r>
    </w:p>
    <w:p w14:paraId="6EC26BD9">
      <w:pPr>
        <w:keepNext w:val="0"/>
        <w:keepLines w:val="0"/>
        <w:pageBreakBefore w:val="0"/>
        <w:wordWrap w:val="0"/>
        <w:overflowPunct/>
        <w:topLinePunct w:val="0"/>
        <w:bidi w:val="0"/>
        <w:spacing w:before="154" w:line="299" w:lineRule="auto"/>
        <w:ind w:left="11" w:right="65" w:firstLine="48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（4）暂估价项目按工程、货物的类别分类汇总的金额，未达到必须招标规模标准也不适用政府采购规定，中标人既不具备相应资格条件又不具备分包权的，由招标人另行发包。</w:t>
      </w:r>
    </w:p>
    <w:p w14:paraId="51638999">
      <w:pPr>
        <w:keepNext w:val="0"/>
        <w:keepLines w:val="0"/>
        <w:pageBreakBefore w:val="0"/>
        <w:wordWrap w:val="0"/>
        <w:overflowPunct/>
        <w:topLinePunct w:val="0"/>
        <w:bidi w:val="0"/>
        <w:spacing w:before="155" w:line="279" w:lineRule="auto"/>
        <w:ind w:left="9" w:right="66" w:firstLine="49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（5）暂估价项目由其他承包人承包的，纳入中标人的管理和协调范围，由其他承包人向中标人承担质量、安全、文明施工、工期责任，中标人向招标人承担责任。</w:t>
      </w:r>
    </w:p>
    <w:p w14:paraId="06A8222B">
      <w:pPr>
        <w:keepNext w:val="0"/>
        <w:keepLines w:val="0"/>
        <w:pageBreakBefore w:val="0"/>
        <w:wordWrap w:val="0"/>
        <w:overflowPunct/>
        <w:topLinePunct w:val="0"/>
        <w:bidi w:val="0"/>
        <w:spacing w:before="155" w:line="333" w:lineRule="auto"/>
        <w:ind w:left="10" w:right="65" w:firstLine="478"/>
        <w:jc w:val="both"/>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8</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.6</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本招标项目以暂列金额形式列入招标工程量清单中的所需货物和服务的采购（以下统称“暂列金额项目 ”）若有发生，按照本节第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8.5 </w:t>
      </w:r>
      <w:r>
        <w:rPr>
          <w:rFonts w:hint="eastAsia" w:ascii="宋体" w:hAnsi="宋体" w:eastAsia="宋体" w:cs="宋体"/>
          <w:color w:val="000000" w:themeColor="text1"/>
          <w:spacing w:val="0"/>
          <w:sz w:val="24"/>
          <w:szCs w:val="24"/>
          <w:highlight w:val="none"/>
          <w14:textFill>
            <w14:solidFill>
              <w14:schemeClr w14:val="tx1"/>
            </w14:solidFill>
          </w14:textFill>
        </w:rPr>
        <w:t>条的规定确定货物（或服务）供应商和合同价格。暂列金额项目由其他承包人承包的，纳入中标人的管理和协调范围</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由其他承包人向中标人承担质量、安全、文明施工、工期责任，中标人向招标人承担责任。</w:t>
      </w:r>
    </w:p>
    <w:p w14:paraId="44041CF4">
      <w:pPr>
        <w:keepNext w:val="0"/>
        <w:keepLines w:val="0"/>
        <w:pageBreakBefore w:val="0"/>
        <w:wordWrap w:val="0"/>
        <w:overflowPunct/>
        <w:topLinePunct w:val="0"/>
        <w:bidi w:val="0"/>
        <w:spacing w:before="79" w:line="219" w:lineRule="auto"/>
        <w:ind w:left="487"/>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40" w:name="_Toc25453"/>
      <w:bookmarkStart w:id="41" w:name="_Toc22978"/>
      <w:r>
        <w:rPr>
          <w:rFonts w:hint="eastAsia" w:ascii="宋体" w:hAnsi="宋体" w:eastAsia="宋体" w:cs="宋体"/>
          <w:b/>
          <w:bCs/>
          <w:color w:val="000000" w:themeColor="text1"/>
          <w:spacing w:val="0"/>
          <w:sz w:val="24"/>
          <w:szCs w:val="24"/>
          <w:highlight w:val="none"/>
          <w14:textFill>
            <w14:solidFill>
              <w14:schemeClr w14:val="tx1"/>
            </w14:solidFill>
          </w14:textFill>
        </w:rPr>
        <w:t>9 ．投标报价</w:t>
      </w:r>
      <w:bookmarkEnd w:id="40"/>
      <w:bookmarkEnd w:id="41"/>
    </w:p>
    <w:p w14:paraId="0ED2EF22">
      <w:pPr>
        <w:keepNext w:val="0"/>
        <w:keepLines w:val="0"/>
        <w:pageBreakBefore w:val="0"/>
        <w:wordWrap w:val="0"/>
        <w:overflowPunct/>
        <w:topLinePunct w:val="0"/>
        <w:bidi w:val="0"/>
        <w:spacing w:before="157" w:line="219" w:lineRule="auto"/>
        <w:ind w:left="48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9.1  </w:t>
      </w:r>
      <w:r>
        <w:rPr>
          <w:rFonts w:hint="eastAsia" w:ascii="宋体" w:hAnsi="宋体" w:eastAsia="宋体" w:cs="宋体"/>
          <w:color w:val="000000" w:themeColor="text1"/>
          <w:spacing w:val="0"/>
          <w:sz w:val="24"/>
          <w:szCs w:val="24"/>
          <w:highlight w:val="none"/>
          <w14:textFill>
            <w14:solidFill>
              <w14:schemeClr w14:val="tx1"/>
            </w14:solidFill>
          </w14:textFill>
        </w:rPr>
        <w:t>投标人应按照以下依据编制投标报价：</w:t>
      </w:r>
    </w:p>
    <w:p w14:paraId="5DFFCF42">
      <w:pPr>
        <w:keepNext w:val="0"/>
        <w:keepLines w:val="0"/>
        <w:pageBreakBefore w:val="0"/>
        <w:wordWrap w:val="0"/>
        <w:overflowPunct/>
        <w:topLinePunct w:val="0"/>
        <w:bidi w:val="0"/>
        <w:spacing w:before="155" w:line="219"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建设工程工程量清单计价标准</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GB/T50500-2024</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1C5DC104">
      <w:pPr>
        <w:keepNext w:val="0"/>
        <w:keepLines w:val="0"/>
        <w:pageBreakBefore w:val="0"/>
        <w:wordWrap w:val="0"/>
        <w:overflowPunct/>
        <w:topLinePunct w:val="0"/>
        <w:bidi w:val="0"/>
        <w:spacing w:before="153" w:line="309" w:lineRule="auto"/>
        <w:ind w:left="9" w:right="65" w:firstLine="49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56A82739">
      <w:pPr>
        <w:keepNext w:val="0"/>
        <w:keepLines w:val="0"/>
        <w:pageBreakBefore w:val="0"/>
        <w:wordWrap w:val="0"/>
        <w:overflowPunct/>
        <w:topLinePunct w:val="0"/>
        <w:bidi w:val="0"/>
        <w:spacing w:before="78" w:line="220"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bookmarkStart w:id="42" w:name="bookmark120"/>
      <w:bookmarkEnd w:id="42"/>
      <w:r>
        <w:rPr>
          <w:rFonts w:hint="eastAsia" w:ascii="宋体" w:hAnsi="宋体" w:eastAsia="宋体" w:cs="宋体"/>
          <w:color w:val="000000" w:themeColor="text1"/>
          <w:spacing w:val="0"/>
          <w:sz w:val="24"/>
          <w:szCs w:val="24"/>
          <w:highlight w:val="none"/>
          <w14:textFill>
            <w14:solidFill>
              <w14:schemeClr w14:val="tx1"/>
            </w14:solidFill>
          </w14:textFill>
        </w:rPr>
        <w:t>（3）企业定额；</w:t>
      </w:r>
    </w:p>
    <w:p w14:paraId="21D7AB3A">
      <w:pPr>
        <w:keepNext w:val="0"/>
        <w:keepLines w:val="0"/>
        <w:pageBreakBefore w:val="0"/>
        <w:wordWrap w:val="0"/>
        <w:overflowPunct/>
        <w:topLinePunct w:val="0"/>
        <w:bidi w:val="0"/>
        <w:spacing w:before="155" w:line="219"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（4）招标文件及其答疑（或修改）公告、招标工程量清单；</w:t>
      </w:r>
    </w:p>
    <w:p w14:paraId="6C148BBB">
      <w:pPr>
        <w:keepNext w:val="0"/>
        <w:keepLines w:val="0"/>
        <w:pageBreakBefore w:val="0"/>
        <w:wordWrap w:val="0"/>
        <w:overflowPunct/>
        <w:topLinePunct w:val="0"/>
        <w:bidi w:val="0"/>
        <w:spacing w:before="154" w:line="221"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（5）施工图及相关资料；</w:t>
      </w:r>
    </w:p>
    <w:p w14:paraId="05C84BB3">
      <w:pPr>
        <w:keepNext w:val="0"/>
        <w:keepLines w:val="0"/>
        <w:pageBreakBefore w:val="0"/>
        <w:wordWrap w:val="0"/>
        <w:overflowPunct/>
        <w:topLinePunct w:val="0"/>
        <w:bidi w:val="0"/>
        <w:spacing w:before="152" w:line="219"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（6）施工现场情况、工程特点及投标时拟定的施工组织设计或施工方案；</w:t>
      </w:r>
    </w:p>
    <w:p w14:paraId="42F852A9">
      <w:pPr>
        <w:keepNext w:val="0"/>
        <w:keepLines w:val="0"/>
        <w:pageBreakBefore w:val="0"/>
        <w:wordWrap w:val="0"/>
        <w:overflowPunct/>
        <w:topLinePunct w:val="0"/>
        <w:bidi w:val="0"/>
        <w:spacing w:before="156" w:line="219"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（7）市场价格信息或项目所在地工程造价管理机构发布的工程造价信息；</w:t>
      </w:r>
    </w:p>
    <w:p w14:paraId="42E67E93">
      <w:pPr>
        <w:keepNext w:val="0"/>
        <w:keepLines w:val="0"/>
        <w:pageBreakBefore w:val="0"/>
        <w:wordWrap w:val="0"/>
        <w:overflowPunct/>
        <w:topLinePunct w:val="0"/>
        <w:bidi w:val="0"/>
        <w:spacing w:before="155" w:line="220"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（8）与建设项目相关的标准、规范、技术资料。</w:t>
      </w:r>
    </w:p>
    <w:p w14:paraId="655BD8EA">
      <w:pPr>
        <w:keepNext w:val="0"/>
        <w:keepLines w:val="0"/>
        <w:pageBreakBefore w:val="0"/>
        <w:wordWrap w:val="0"/>
        <w:overflowPunct/>
        <w:topLinePunct w:val="0"/>
        <w:bidi w:val="0"/>
        <w:spacing w:before="153" w:line="309" w:lineRule="auto"/>
        <w:ind w:left="8" w:right="150" w:firstLine="55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9.2  </w:t>
      </w:r>
      <w:r>
        <w:rPr>
          <w:rFonts w:hint="eastAsia" w:ascii="宋体" w:hAnsi="宋体" w:eastAsia="宋体" w:cs="宋体"/>
          <w:color w:val="000000" w:themeColor="text1"/>
          <w:spacing w:val="0"/>
          <w:sz w:val="24"/>
          <w:szCs w:val="24"/>
          <w:highlight w:val="none"/>
          <w14:textFill>
            <w14:solidFill>
              <w14:schemeClr w14:val="tx1"/>
            </w14:solidFill>
          </w14:textFill>
        </w:rPr>
        <w:t>投标人应根据招标工程量清单、工程量清单计价</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pacing w:val="0"/>
          <w:sz w:val="24"/>
          <w:szCs w:val="24"/>
          <w:highlight w:val="none"/>
          <w14:textFill>
            <w14:solidFill>
              <w14:schemeClr w14:val="tx1"/>
            </w14:solidFill>
          </w14:textFill>
        </w:rPr>
        <w:t>中的工作内容、设计文件和有关要求、施工现场实际情况、投标人拟定的施工组织设计、本单位的企业定额和市场价格进行编制，自行报价，并承担一定范围内的风险费用。所谓“一定范围内的风险 ”是指合同约定的风险。</w:t>
      </w:r>
    </w:p>
    <w:p w14:paraId="7D8B28AF">
      <w:pPr>
        <w:keepNext w:val="0"/>
        <w:keepLines w:val="0"/>
        <w:pageBreakBefore w:val="0"/>
        <w:wordWrap w:val="0"/>
        <w:overflowPunct/>
        <w:topLinePunct w:val="0"/>
        <w:bidi w:val="0"/>
        <w:spacing w:before="152" w:line="309" w:lineRule="auto"/>
        <w:ind w:left="9" w:right="150" w:firstLine="55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9.3  </w:t>
      </w:r>
      <w:r>
        <w:rPr>
          <w:rFonts w:hint="eastAsia" w:ascii="宋体" w:hAnsi="宋体" w:eastAsia="宋体" w:cs="宋体"/>
          <w:color w:val="000000" w:themeColor="text1"/>
          <w:spacing w:val="0"/>
          <w:sz w:val="24"/>
          <w:szCs w:val="24"/>
          <w:highlight w:val="none"/>
          <w14:textFill>
            <w14:solidFill>
              <w14:schemeClr w14:val="tx1"/>
            </w14:solidFill>
          </w14:textFill>
        </w:rPr>
        <w:t>招标人及招标代理机构不集中组织现场踏勘，投标人需要了解现场情况的，可自行进行现场踏勘。各投标人应勘察施工现场及周围环境、地形、地貌、水文、交通等情况，以获得一切可能影响到投标的直接资料。投标人应针对现场情况编制施工组织设计，并在编制投标报价时考虑现场情况的影响。</w:t>
      </w:r>
    </w:p>
    <w:p w14:paraId="7BD0F3F4">
      <w:pPr>
        <w:keepNext w:val="0"/>
        <w:keepLines w:val="0"/>
        <w:pageBreakBefore w:val="0"/>
        <w:wordWrap w:val="0"/>
        <w:overflowPunct/>
        <w:topLinePunct w:val="0"/>
        <w:bidi w:val="0"/>
        <w:spacing w:before="155" w:line="279" w:lineRule="auto"/>
        <w:ind w:left="10" w:right="150" w:firstLine="55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9.4  </w:t>
      </w:r>
      <w:r>
        <w:rPr>
          <w:rFonts w:hint="eastAsia" w:ascii="宋体" w:hAnsi="宋体" w:eastAsia="宋体" w:cs="宋体"/>
          <w:color w:val="000000" w:themeColor="text1"/>
          <w:spacing w:val="0"/>
          <w:sz w:val="24"/>
          <w:szCs w:val="24"/>
          <w:highlight w:val="none"/>
          <w14:textFill>
            <w14:solidFill>
              <w14:schemeClr w14:val="tx1"/>
            </w14:solidFill>
          </w14:textFill>
        </w:rPr>
        <w:t>招标人向投标人提供的有关现场的数据和资料，是招标人现有的能被投标人利用的资料，招标人对投标人做出的任何推论、理解和结论均不负责任。</w:t>
      </w:r>
    </w:p>
    <w:p w14:paraId="18DC3EDD">
      <w:pPr>
        <w:keepNext w:val="0"/>
        <w:keepLines w:val="0"/>
        <w:pageBreakBefore w:val="0"/>
        <w:wordWrap w:val="0"/>
        <w:overflowPunct/>
        <w:topLinePunct w:val="0"/>
        <w:bidi w:val="0"/>
        <w:spacing w:before="154" w:line="299" w:lineRule="auto"/>
        <w:ind w:left="12" w:firstLine="55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9.5  </w:t>
      </w:r>
      <w:r>
        <w:rPr>
          <w:rFonts w:hint="eastAsia" w:ascii="宋体" w:hAnsi="宋体" w:eastAsia="宋体" w:cs="宋体"/>
          <w:color w:val="000000" w:themeColor="text1"/>
          <w:spacing w:val="0"/>
          <w:sz w:val="24"/>
          <w:szCs w:val="24"/>
          <w:highlight w:val="none"/>
          <w14:textFill>
            <w14:solidFill>
              <w14:schemeClr w14:val="tx1"/>
            </w14:solidFill>
          </w14:textFill>
        </w:rPr>
        <w:t>投标人必须按照招标工程量清单及表格填报价格。项目编码、项目名称、项目特征、计量单位、工程量必须与招标工程量清单一致。所有报价均以人民币“元 ”为单位，并保留小数点后两位。</w:t>
      </w:r>
    </w:p>
    <w:p w14:paraId="2DEC74A0">
      <w:pPr>
        <w:keepNext w:val="0"/>
        <w:keepLines w:val="0"/>
        <w:pageBreakBefore w:val="0"/>
        <w:wordWrap w:val="0"/>
        <w:overflowPunct/>
        <w:topLinePunct w:val="0"/>
        <w:bidi w:val="0"/>
        <w:spacing w:before="158" w:line="314" w:lineRule="auto"/>
        <w:ind w:left="9" w:right="150" w:firstLine="55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9.6  </w:t>
      </w:r>
      <w:r>
        <w:rPr>
          <w:rFonts w:hint="eastAsia" w:ascii="宋体" w:hAnsi="宋体" w:eastAsia="宋体" w:cs="宋体"/>
          <w:color w:val="000000" w:themeColor="text1"/>
          <w:spacing w:val="0"/>
          <w:sz w:val="24"/>
          <w:szCs w:val="24"/>
          <w:highlight w:val="none"/>
          <w14:textFill>
            <w14:solidFill>
              <w14:schemeClr w14:val="tx1"/>
            </w14:solidFill>
          </w14:textFill>
        </w:rPr>
        <w:t>投标人只允许有一个投标总价。投标总价必须同时用大、小写表示，大、小写报价应保持一致，若不一致，以大写报价为准。招标工程量清单与计价表中列明的所有需要填写单价和合价的项目，投标人均应填写且只允许有一个报价。未填写单价和合价的项目，视为此项费用已包含在已标价工程量清单其他项目的单价和合价中，竣工结算时不得重新组价和调整。</w:t>
      </w:r>
    </w:p>
    <w:p w14:paraId="40CE886C">
      <w:pPr>
        <w:keepNext w:val="0"/>
        <w:keepLines w:val="0"/>
        <w:pageBreakBefore w:val="0"/>
        <w:wordWrap w:val="0"/>
        <w:overflowPunct/>
        <w:topLinePunct w:val="0"/>
        <w:bidi w:val="0"/>
        <w:spacing w:before="152" w:line="309" w:lineRule="auto"/>
        <w:ind w:left="7" w:right="120" w:firstLine="480"/>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9.7  </w:t>
      </w:r>
      <w:r>
        <w:rPr>
          <w:rFonts w:hint="eastAsia" w:ascii="宋体" w:hAnsi="宋体" w:eastAsia="宋体" w:cs="宋体"/>
          <w:color w:val="000000" w:themeColor="text1"/>
          <w:spacing w:val="0"/>
          <w:sz w:val="24"/>
          <w:szCs w:val="24"/>
          <w:highlight w:val="none"/>
          <w14:textFill>
            <w14:solidFill>
              <w14:schemeClr w14:val="tx1"/>
            </w14:solidFill>
          </w14:textFill>
        </w:rPr>
        <w:t>投标人的投标总价不得高于</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最高投标限价</w:t>
      </w:r>
      <w:r>
        <w:rPr>
          <w:rFonts w:hint="eastAsia" w:ascii="宋体" w:hAnsi="宋体" w:eastAsia="宋体" w:cs="宋体"/>
          <w:color w:val="000000" w:themeColor="text1"/>
          <w:spacing w:val="0"/>
          <w:sz w:val="24"/>
          <w:szCs w:val="24"/>
          <w:highlight w:val="none"/>
          <w14:textFill>
            <w14:solidFill>
              <w14:schemeClr w14:val="tx1"/>
            </w14:solidFill>
          </w14:textFill>
        </w:rPr>
        <w:t>，也不得低于工程成本。投标人对投标总价的所有优惠（降价、让利等），均应当反映在具体清单项目或其综合单价的报价上。</w:t>
      </w:r>
      <w:r>
        <w:rPr>
          <w:rFonts w:hint="eastAsia" w:ascii="宋体" w:hAnsi="宋体" w:eastAsia="宋体" w:cs="宋体"/>
          <w:b/>
          <w:bCs/>
          <w:color w:val="000000" w:themeColor="text1"/>
          <w:spacing w:val="0"/>
          <w:sz w:val="24"/>
          <w:szCs w:val="24"/>
          <w:highlight w:val="none"/>
          <w14:textFill>
            <w14:solidFill>
              <w14:schemeClr w14:val="tx1"/>
            </w14:solidFill>
          </w14:textFill>
        </w:rPr>
        <w:t>如果投标人的投标总价下浮率高于</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15%时，投标人必须在投标文件中专项作出详细合理的书面说明并提供以往类似工程详细成本分析报告供评标委员会审查。</w:t>
      </w:r>
    </w:p>
    <w:p w14:paraId="2EE97EFC">
      <w:pPr>
        <w:keepNext w:val="0"/>
        <w:keepLines w:val="0"/>
        <w:pageBreakBefore w:val="0"/>
        <w:wordWrap w:val="0"/>
        <w:overflowPunct/>
        <w:topLinePunct w:val="0"/>
        <w:bidi w:val="0"/>
        <w:outlineLvl w:val="9"/>
        <w:rPr>
          <w:rFonts w:hint="eastAsia" w:ascii="宋体" w:hAnsi="宋体" w:eastAsia="宋体" w:cs="宋体"/>
          <w:color w:val="000000" w:themeColor="text1"/>
          <w:spacing w:val="0"/>
          <w:highlight w:val="none"/>
          <w:lang w:eastAsia="zh-CN"/>
          <w14:textFill>
            <w14:solidFill>
              <w14:schemeClr w14:val="tx1"/>
            </w14:solidFill>
          </w14:textFill>
        </w:rPr>
      </w:pP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投标总价下浮率=（1-投标总价</w:t>
      </w:r>
      <w:r>
        <w:rPr>
          <w:rFonts w:hint="eastAsia" w:ascii="宋体" w:hAnsi="宋体" w:eastAsia="宋体" w:cs="宋体"/>
          <w:b/>
          <w:bCs/>
          <w:color w:val="000000" w:themeColor="text1"/>
          <w:spacing w:val="0"/>
          <w:sz w:val="24"/>
          <w:szCs w:val="24"/>
          <w:highlight w:val="none"/>
          <w14:textFill>
            <w14:solidFill>
              <w14:schemeClr w14:val="tx1"/>
            </w14:solidFill>
          </w14:textFill>
        </w:rPr>
        <w:t>÷</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最高投标限价</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0"/>
          <w:sz w:val="24"/>
          <w:szCs w:val="24"/>
          <w:highlight w:val="none"/>
          <w14:textFill>
            <w14:solidFill>
              <w14:schemeClr w14:val="tx1"/>
            </w14:solidFill>
          </w14:textFill>
        </w:rPr>
        <w:t>×</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100%</w:t>
      </w:r>
    </w:p>
    <w:p w14:paraId="0A848A62">
      <w:pPr>
        <w:keepNext w:val="0"/>
        <w:keepLines w:val="0"/>
        <w:pageBreakBefore w:val="0"/>
        <w:wordWrap w:val="0"/>
        <w:overflowPunct/>
        <w:topLinePunct w:val="0"/>
        <w:bidi w:val="0"/>
        <w:spacing w:before="146" w:line="325" w:lineRule="auto"/>
        <w:ind w:left="29" w:right="153" w:firstLine="458"/>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9.8  </w:t>
      </w:r>
      <w:r>
        <w:rPr>
          <w:rFonts w:hint="eastAsia" w:ascii="宋体" w:hAnsi="宋体" w:eastAsia="宋体" w:cs="宋体"/>
          <w:color w:val="000000" w:themeColor="text1"/>
          <w:spacing w:val="0"/>
          <w:sz w:val="24"/>
          <w:szCs w:val="24"/>
          <w:highlight w:val="none"/>
          <w14:textFill>
            <w14:solidFill>
              <w14:schemeClr w14:val="tx1"/>
            </w14:solidFill>
          </w14:textFill>
        </w:rPr>
        <w:t>投标人的</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安全生产措施费</w:t>
      </w:r>
      <w:r>
        <w:rPr>
          <w:rFonts w:hint="eastAsia" w:ascii="宋体" w:hAnsi="宋体" w:eastAsia="宋体" w:cs="宋体"/>
          <w:color w:val="000000" w:themeColor="text1"/>
          <w:spacing w:val="0"/>
          <w:sz w:val="24"/>
          <w:szCs w:val="24"/>
          <w:highlight w:val="none"/>
          <w14:textFill>
            <w14:solidFill>
              <w14:schemeClr w14:val="tx1"/>
            </w14:solidFill>
          </w14:textFill>
        </w:rPr>
        <w:t>报价必须达到或超过</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最高投标限价</w:t>
      </w:r>
      <w:r>
        <w:rPr>
          <w:rFonts w:hint="eastAsia" w:ascii="宋体" w:hAnsi="宋体" w:eastAsia="宋体" w:cs="宋体"/>
          <w:color w:val="000000" w:themeColor="text1"/>
          <w:spacing w:val="0"/>
          <w:sz w:val="24"/>
          <w:szCs w:val="24"/>
          <w:highlight w:val="none"/>
          <w14:textFill>
            <w14:solidFill>
              <w14:schemeClr w14:val="tx1"/>
            </w14:solidFill>
          </w14:textFill>
        </w:rPr>
        <w:t>中提供的</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安全生产措施费</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76AD78D0">
      <w:pPr>
        <w:keepNext w:val="0"/>
        <w:keepLines w:val="0"/>
        <w:pageBreakBefore w:val="0"/>
        <w:wordWrap w:val="0"/>
        <w:overflowPunct/>
        <w:topLinePunct w:val="0"/>
        <w:bidi w:val="0"/>
        <w:spacing w:before="78" w:line="309" w:lineRule="auto"/>
        <w:ind w:right="99" w:firstLine="482"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9.9  </w:t>
      </w:r>
      <w:r>
        <w:rPr>
          <w:rFonts w:hint="eastAsia" w:ascii="宋体" w:hAnsi="宋体" w:eastAsia="宋体" w:cs="宋体"/>
          <w:color w:val="000000" w:themeColor="text1"/>
          <w:spacing w:val="0"/>
          <w:sz w:val="24"/>
          <w:szCs w:val="24"/>
          <w:highlight w:val="none"/>
          <w14:textFill>
            <w14:solidFill>
              <w14:schemeClr w14:val="tx1"/>
            </w14:solidFill>
          </w14:textFill>
        </w:rPr>
        <w:t>投标人必须按照招标工程量清单中提供的暂列金额和暂估价统一报价。投标人应充分考虑暂估价项目（或暂列金额项目）的管理和协调所发生的费用，并将其纳入已标价工程量清单中的适当项目。招标人视该项管理和协调所发生的费用已包含在其它有价款的竞争性报价内，不再另行支付。</w:t>
      </w:r>
    </w:p>
    <w:p w14:paraId="31555D04">
      <w:pPr>
        <w:pStyle w:val="5"/>
        <w:keepNext w:val="0"/>
        <w:keepLines w:val="0"/>
        <w:pageBreakBefore w:val="0"/>
        <w:widowControl/>
        <w:kinsoku w:val="0"/>
        <w:wordWrap w:val="0"/>
        <w:overflowPunct/>
        <w:topLinePunct w:val="0"/>
        <w:autoSpaceDE w:val="0"/>
        <w:autoSpaceDN w:val="0"/>
        <w:bidi w:val="0"/>
        <w:adjustRightInd w:val="0"/>
        <w:snapToGrid w:val="0"/>
        <w:spacing w:line="310" w:lineRule="auto"/>
        <w:ind w:firstLine="422" w:firstLineChars="200"/>
        <w:textAlignment w:val="baseline"/>
        <w:rPr>
          <w:rFonts w:hint="eastAsia" w:ascii="宋体" w:hAnsi="宋体" w:eastAsia="宋体" w:cs="宋体"/>
          <w:snapToGrid w:val="0"/>
          <w:color w:val="000000" w:themeColor="text1"/>
          <w:spacing w:val="0"/>
          <w:sz w:val="24"/>
          <w:szCs w:val="24"/>
          <w:highlight w:val="none"/>
          <w:lang w:val="en-US" w:eastAsia="en-US" w:bidi="ar-SA"/>
          <w14:textFill>
            <w14:solidFill>
              <w14:schemeClr w14:val="tx1"/>
            </w14:solidFill>
          </w14:textFill>
        </w:rPr>
      </w:pPr>
      <w:r>
        <w:rPr>
          <w:rFonts w:hint="eastAsia" w:ascii="宋体" w:hAnsi="宋体" w:eastAsia="宋体" w:cs="宋体"/>
          <w:b/>
          <w:bCs/>
          <w:color w:val="000000" w:themeColor="text1"/>
          <w:spacing w:val="0"/>
          <w:highlight w:val="none"/>
          <w14:textFill>
            <w14:solidFill>
              <w14:schemeClr w14:val="tx1"/>
            </w14:solidFill>
          </w14:textFill>
        </w:rPr>
        <w:t xml:space="preserve">9.10 </w:t>
      </w:r>
      <w:r>
        <w:rPr>
          <w:rFonts w:hint="eastAsia" w:ascii="宋体" w:hAnsi="宋体" w:eastAsia="宋体" w:cs="宋体"/>
          <w:snapToGrid w:val="0"/>
          <w:color w:val="000000" w:themeColor="text1"/>
          <w:spacing w:val="0"/>
          <w:sz w:val="24"/>
          <w:szCs w:val="24"/>
          <w:highlight w:val="none"/>
          <w:lang w:val="en-US" w:eastAsia="en-US" w:bidi="ar-SA"/>
          <w14:textFill>
            <w14:solidFill>
              <w14:schemeClr w14:val="tx1"/>
            </w14:solidFill>
          </w14:textFill>
        </w:rPr>
        <w:t>预算包干内容一般包括施工雨（污）水的排除、因地形影响造成的场内料具二次运输、20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等。投标报价时，应按《广东省建设工程计价依据（2018）》规定的费率报价，若招标工程量清单明确说明不计算预算包干费或另外确定预算包干费费率的，则按招标工程量清单报价。</w:t>
      </w:r>
    </w:p>
    <w:p w14:paraId="02BC6D0D">
      <w:pPr>
        <w:keepNext w:val="0"/>
        <w:keepLines w:val="0"/>
        <w:pageBreakBefore w:val="0"/>
        <w:wordWrap w:val="0"/>
        <w:overflowPunct/>
        <w:topLinePunct w:val="0"/>
        <w:bidi w:val="0"/>
        <w:spacing w:before="78" w:line="220" w:lineRule="auto"/>
        <w:ind w:left="496"/>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43" w:name="_Toc24841"/>
      <w:bookmarkStart w:id="44" w:name="_Toc16322"/>
      <w:r>
        <w:rPr>
          <w:rFonts w:hint="eastAsia" w:ascii="宋体" w:hAnsi="宋体" w:eastAsia="宋体" w:cs="宋体"/>
          <w:b/>
          <w:bCs/>
          <w:color w:val="000000" w:themeColor="text1"/>
          <w:spacing w:val="0"/>
          <w:sz w:val="24"/>
          <w:szCs w:val="24"/>
          <w:highlight w:val="none"/>
          <w14:textFill>
            <w14:solidFill>
              <w14:schemeClr w14:val="tx1"/>
            </w14:solidFill>
          </w14:textFill>
        </w:rPr>
        <w:t>10 ．投标文件的编制要求</w:t>
      </w:r>
      <w:bookmarkEnd w:id="43"/>
      <w:bookmarkEnd w:id="44"/>
    </w:p>
    <w:p w14:paraId="1ADA1598">
      <w:pPr>
        <w:keepNext w:val="0"/>
        <w:keepLines w:val="0"/>
        <w:pageBreakBefore w:val="0"/>
        <w:wordWrap w:val="0"/>
        <w:overflowPunct/>
        <w:topLinePunct w:val="0"/>
        <w:bidi w:val="0"/>
        <w:spacing w:before="152" w:line="360" w:lineRule="auto"/>
        <w:ind w:left="496"/>
        <w:outlineLvl w:val="3"/>
        <w:rPr>
          <w:rFonts w:hint="eastAsia" w:ascii="宋体" w:hAnsi="宋体" w:eastAsia="宋体" w:cs="宋体"/>
          <w:color w:val="000000" w:themeColor="text1"/>
          <w:spacing w:val="0"/>
          <w:sz w:val="24"/>
          <w:szCs w:val="24"/>
          <w:highlight w:val="none"/>
          <w14:textFill>
            <w14:solidFill>
              <w14:schemeClr w14:val="tx1"/>
            </w14:solidFill>
          </w14:textFill>
        </w:rPr>
      </w:pPr>
      <w:bookmarkStart w:id="45" w:name="_Toc20590"/>
      <w:bookmarkStart w:id="46" w:name="_Toc22937"/>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10.1  </w:t>
      </w:r>
      <w:r>
        <w:rPr>
          <w:rFonts w:hint="eastAsia" w:ascii="宋体" w:hAnsi="宋体" w:eastAsia="宋体" w:cs="宋体"/>
          <w:color w:val="000000" w:themeColor="text1"/>
          <w:spacing w:val="0"/>
          <w:sz w:val="24"/>
          <w:szCs w:val="24"/>
          <w:highlight w:val="none"/>
          <w14:textFill>
            <w14:solidFill>
              <w14:schemeClr w14:val="tx1"/>
            </w14:solidFill>
          </w14:textFill>
        </w:rPr>
        <w:t>一般要求</w:t>
      </w:r>
      <w:bookmarkEnd w:id="45"/>
      <w:bookmarkEnd w:id="46"/>
    </w:p>
    <w:p w14:paraId="3BA09E09">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投标文件应按第六章投标文件格式规定的内容，投标人提交的投标文件应当使用招标文件所提供的投标文件全部格式。</w:t>
      </w:r>
    </w:p>
    <w:p w14:paraId="64F68F54">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2"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10.1.1  </w:t>
      </w:r>
      <w:r>
        <w:rPr>
          <w:rFonts w:hint="eastAsia" w:ascii="宋体" w:hAnsi="宋体" w:eastAsia="宋体" w:cs="宋体"/>
          <w:color w:val="000000" w:themeColor="text1"/>
          <w:spacing w:val="0"/>
          <w:sz w:val="24"/>
          <w:szCs w:val="24"/>
          <w:highlight w:val="none"/>
          <w14:textFill>
            <w14:solidFill>
              <w14:schemeClr w14:val="tx1"/>
            </w14:solidFill>
          </w14:textFill>
        </w:rPr>
        <w:t>投标人必须响应招标文件，并在充分理解招标人提供的全部文件、设计图纸、资料及现场条件的基础上编制投标文件。因投标文件不符合招标文件的要求而造成的损失和后果，由投标人自行承担。</w:t>
      </w:r>
    </w:p>
    <w:p w14:paraId="51122B59">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2"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10.1.2  </w:t>
      </w:r>
      <w:r>
        <w:rPr>
          <w:rFonts w:hint="eastAsia" w:ascii="宋体" w:hAnsi="宋体" w:eastAsia="宋体" w:cs="宋体"/>
          <w:color w:val="000000" w:themeColor="text1"/>
          <w:spacing w:val="0"/>
          <w:sz w:val="24"/>
          <w:szCs w:val="24"/>
          <w:highlight w:val="none"/>
          <w14:textFill>
            <w14:solidFill>
              <w14:schemeClr w14:val="tx1"/>
            </w14:solidFill>
          </w14:textFill>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 ·韶关市）交易指引。</w:t>
      </w:r>
    </w:p>
    <w:p w14:paraId="1C1308EF">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2"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10.1.3  </w:t>
      </w:r>
      <w:r>
        <w:rPr>
          <w:rFonts w:hint="eastAsia" w:ascii="宋体" w:hAnsi="宋体" w:eastAsia="宋体" w:cs="宋体"/>
          <w:color w:val="000000" w:themeColor="text1"/>
          <w:spacing w:val="0"/>
          <w:sz w:val="24"/>
          <w:szCs w:val="24"/>
          <w:highlight w:val="none"/>
          <w14:textFill>
            <w14:solidFill>
              <w14:schemeClr w14:val="tx1"/>
            </w14:solidFill>
          </w14:textFill>
        </w:rPr>
        <w:t>投标文件需按以下要求签字、盖章：电子投标文件：</w:t>
      </w:r>
    </w:p>
    <w:p w14:paraId="75FDA074">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20"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"10.1.3.1"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10.1.3.1</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投标文件封面、组成内容中凡注明“签字 ”处由要求的人员签字或电子签章；凡注明“签字或盖章 ”处由要求的人员签字或盖其私章（电子印章）；凡注明 “签字并盖执业印章 ”处由要求的人员签字并盖其执业印章。</w:t>
      </w:r>
    </w:p>
    <w:p w14:paraId="6358B792">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20"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"10.1.3.2"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10.1.3.2</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投标文件封套、封面、组成内容中凡要求录入投标人名称且注明“盖单位章 ”处盖单位法人公章（电子印章）。</w:t>
      </w:r>
    </w:p>
    <w:p w14:paraId="3F70DCC9">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20"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"10.1.3.3"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10.1.3.3</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投标文件的签字均为签字人本人亲笔署名或签章（电子印章），其余部分的复印件无须另行签字、盖章。</w:t>
      </w:r>
    </w:p>
    <w:p w14:paraId="2DA037BE">
      <w:pPr>
        <w:keepNext w:val="0"/>
        <w:keepLines w:val="0"/>
        <w:pageBreakBefore w:val="0"/>
        <w:widowControl/>
        <w:kinsoku w:val="0"/>
        <w:wordWrap w:val="0"/>
        <w:overflowPunct/>
        <w:topLinePunct w:val="0"/>
        <w:autoSpaceDE w:val="0"/>
        <w:autoSpaceDN w:val="0"/>
        <w:bidi w:val="0"/>
        <w:adjustRightInd/>
        <w:snapToGrid/>
        <w:spacing w:line="360" w:lineRule="auto"/>
        <w:ind w:left="0" w:leftChars="0" w:right="0" w:firstLine="482" w:firstLineChars="200"/>
        <w:textAlignment w:val="baseline"/>
        <w:outlineLvl w:val="3"/>
        <w:rPr>
          <w:rFonts w:hint="eastAsia" w:ascii="宋体" w:hAnsi="宋体" w:eastAsia="宋体" w:cs="宋体"/>
          <w:b w:val="0"/>
          <w:bCs w:val="0"/>
          <w:color w:val="000000" w:themeColor="text1"/>
          <w:spacing w:val="0"/>
          <w:sz w:val="24"/>
          <w:szCs w:val="24"/>
          <w:highlight w:val="none"/>
          <w14:textFill>
            <w14:solidFill>
              <w14:schemeClr w14:val="tx1"/>
            </w14:solidFill>
          </w14:textFill>
        </w:rPr>
      </w:pPr>
      <w:bookmarkStart w:id="47" w:name="_Toc20223"/>
      <w:bookmarkStart w:id="48" w:name="_Toc21271"/>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10.1.3.4 </w:t>
      </w:r>
      <w:r>
        <w:rPr>
          <w:rFonts w:hint="eastAsia" w:ascii="宋体" w:hAnsi="宋体" w:eastAsia="宋体" w:cs="宋体"/>
          <w:color w:val="000000" w:themeColor="text1"/>
          <w:spacing w:val="0"/>
          <w:sz w:val="24"/>
          <w:szCs w:val="24"/>
          <w:highlight w:val="none"/>
          <w14:textFill>
            <w14:solidFill>
              <w14:schemeClr w14:val="tx1"/>
            </w14:solidFill>
          </w14:textFill>
        </w:rPr>
        <w:t>联合体投标的，除《联合体协议书》外，由联合体牵头人按以上要求签亲笔署名或签章（电子印章）即可。</w:t>
      </w:r>
    </w:p>
    <w:p w14:paraId="0C858C64">
      <w:pPr>
        <w:keepNext w:val="0"/>
        <w:keepLines w:val="0"/>
        <w:pageBreakBefore w:val="0"/>
        <w:wordWrap w:val="0"/>
        <w:overflowPunct/>
        <w:topLinePunct w:val="0"/>
        <w:bidi w:val="0"/>
        <w:spacing w:before="155" w:line="219" w:lineRule="auto"/>
        <w:ind w:left="500"/>
        <w:outlineLvl w:val="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10.2  </w:t>
      </w:r>
      <w:r>
        <w:rPr>
          <w:rFonts w:hint="eastAsia" w:ascii="宋体" w:hAnsi="宋体" w:eastAsia="宋体" w:cs="宋体"/>
          <w:color w:val="000000" w:themeColor="text1"/>
          <w:spacing w:val="0"/>
          <w:sz w:val="24"/>
          <w:szCs w:val="24"/>
          <w:highlight w:val="none"/>
          <w14:textFill>
            <w14:solidFill>
              <w14:schemeClr w14:val="tx1"/>
            </w14:solidFill>
          </w14:textFill>
        </w:rPr>
        <w:t>商务标书的编制要求</w:t>
      </w:r>
      <w:bookmarkEnd w:id="47"/>
      <w:bookmarkEnd w:id="48"/>
    </w:p>
    <w:p w14:paraId="0C2AF9BC">
      <w:pPr>
        <w:keepNext w:val="0"/>
        <w:keepLines w:val="0"/>
        <w:pageBreakBefore w:val="0"/>
        <w:wordWrap w:val="0"/>
        <w:overflowPunct/>
        <w:topLinePunct w:val="0"/>
        <w:bidi w:val="0"/>
        <w:spacing w:before="157" w:line="219" w:lineRule="auto"/>
        <w:ind w:left="58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10.2.1 </w:t>
      </w:r>
      <w:r>
        <w:rPr>
          <w:rFonts w:hint="eastAsia" w:ascii="宋体" w:hAnsi="宋体" w:eastAsia="宋体" w:cs="宋体"/>
          <w:color w:val="000000" w:themeColor="text1"/>
          <w:spacing w:val="0"/>
          <w:sz w:val="24"/>
          <w:szCs w:val="24"/>
          <w:highlight w:val="none"/>
          <w14:textFill>
            <w14:solidFill>
              <w14:schemeClr w14:val="tx1"/>
            </w14:solidFill>
          </w14:textFill>
        </w:rPr>
        <w:t>商务标书包括但不限于以下内容：</w:t>
      </w:r>
    </w:p>
    <w:p w14:paraId="352E57AE">
      <w:pPr>
        <w:keepNext w:val="0"/>
        <w:keepLines w:val="0"/>
        <w:pageBreakBefore w:val="0"/>
        <w:wordWrap w:val="0"/>
        <w:overflowPunct/>
        <w:topLinePunct w:val="0"/>
        <w:bidi w:val="0"/>
        <w:spacing w:before="154" w:line="220"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（1）封面（格式一）；</w:t>
      </w:r>
    </w:p>
    <w:p w14:paraId="76EADC31">
      <w:pPr>
        <w:keepNext w:val="0"/>
        <w:keepLines w:val="0"/>
        <w:pageBreakBefore w:val="0"/>
        <w:wordWrap w:val="0"/>
        <w:overflowPunct/>
        <w:topLinePunct w:val="0"/>
        <w:bidi w:val="0"/>
        <w:spacing w:before="153" w:line="222"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 目录；</w:t>
      </w:r>
    </w:p>
    <w:p w14:paraId="774FBD39">
      <w:pPr>
        <w:keepNext w:val="0"/>
        <w:keepLines w:val="0"/>
        <w:pageBreakBefore w:val="0"/>
        <w:wordWrap w:val="0"/>
        <w:overflowPunct/>
        <w:topLinePunct w:val="0"/>
        <w:bidi w:val="0"/>
        <w:spacing w:before="153" w:line="220"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（3）《投标函》（格式二）；</w:t>
      </w:r>
    </w:p>
    <w:p w14:paraId="720161C8">
      <w:pPr>
        <w:keepNext w:val="0"/>
        <w:keepLines w:val="0"/>
        <w:pageBreakBefore w:val="0"/>
        <w:wordWrap w:val="0"/>
        <w:overflowPunct/>
        <w:topLinePunct w:val="0"/>
        <w:bidi w:val="0"/>
        <w:spacing w:before="153" w:line="220"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（4）《各项承诺一览表》（格式三）；</w:t>
      </w:r>
    </w:p>
    <w:p w14:paraId="7094AFC2">
      <w:pPr>
        <w:keepNext w:val="0"/>
        <w:keepLines w:val="0"/>
        <w:pageBreakBefore w:val="0"/>
        <w:wordWrap w:val="0"/>
        <w:overflowPunct/>
        <w:topLinePunct w:val="0"/>
        <w:bidi w:val="0"/>
        <w:spacing w:before="154" w:line="219"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（5）《授权委托书》（格式四）；</w:t>
      </w:r>
    </w:p>
    <w:p w14:paraId="3AF70EF9">
      <w:pPr>
        <w:keepNext w:val="0"/>
        <w:keepLines w:val="0"/>
        <w:pageBreakBefore w:val="0"/>
        <w:wordWrap w:val="0"/>
        <w:overflowPunct/>
        <w:topLinePunct w:val="0"/>
        <w:bidi w:val="0"/>
        <w:spacing w:before="156" w:line="220"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（6）《法定代表人身份证明》（格式五）；</w:t>
      </w:r>
    </w:p>
    <w:p w14:paraId="2DB8A529">
      <w:pPr>
        <w:keepNext w:val="0"/>
        <w:keepLines w:val="0"/>
        <w:pageBreakBefore w:val="0"/>
        <w:wordWrap w:val="0"/>
        <w:overflowPunct/>
        <w:topLinePunct w:val="0"/>
        <w:bidi w:val="0"/>
        <w:spacing w:before="154" w:line="219"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（7）《联合体协议书》（格式六）及所附资料；</w:t>
      </w:r>
    </w:p>
    <w:p w14:paraId="6673BC70">
      <w:pPr>
        <w:keepNext w:val="0"/>
        <w:keepLines w:val="0"/>
        <w:pageBreakBefore w:val="0"/>
        <w:wordWrap w:val="0"/>
        <w:overflowPunct/>
        <w:topLinePunct w:val="0"/>
        <w:bidi w:val="0"/>
        <w:spacing w:before="153" w:line="309" w:lineRule="auto"/>
        <w:ind w:left="13" w:right="133" w:firstLine="49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8）投标保证缴纳证明（投标人采用投标保证金的，附建设工程交易系统《缴纳投标保证金通知书》页面截图和银行转账单彩色扫描件；采用投标保证担保的，附银行保函彩色扫描件；采用投标保证保险的，附电子保单和</w:t>
      </w:r>
      <w:r>
        <w:rPr>
          <w:rFonts w:hint="eastAsia" w:ascii="宋体" w:hAnsi="宋体" w:eastAsia="宋体" w:cs="宋体"/>
          <w:b/>
          <w:bCs/>
          <w:color w:val="000000" w:themeColor="text1"/>
          <w:spacing w:val="0"/>
          <w:sz w:val="24"/>
          <w:szCs w:val="24"/>
          <w:highlight w:val="none"/>
          <w14:textFill>
            <w14:solidFill>
              <w14:schemeClr w14:val="tx1"/>
            </w14:solidFill>
          </w14:textFill>
        </w:rPr>
        <w:t>《韶关市公共资源交易一体化平台保证金缴纳信息》页面截图</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36031B27">
      <w:pPr>
        <w:keepNext w:val="0"/>
        <w:keepLines w:val="0"/>
        <w:pageBreakBefore w:val="0"/>
        <w:wordWrap w:val="0"/>
        <w:overflowPunct/>
        <w:topLinePunct w:val="0"/>
        <w:bidi w:val="0"/>
        <w:spacing w:before="156" w:line="219"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（9）《投标人基本情况表》（格式七）及所附资料；</w:t>
      </w:r>
    </w:p>
    <w:p w14:paraId="2CE7262F">
      <w:pPr>
        <w:keepNext w:val="0"/>
        <w:keepLines w:val="0"/>
        <w:pageBreakBefore w:val="0"/>
        <w:wordWrap w:val="0"/>
        <w:overflowPunct/>
        <w:topLinePunct w:val="0"/>
        <w:bidi w:val="0"/>
        <w:spacing w:before="155" w:line="219"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（10）《项目经理简历表》（格式八）及所附资料；</w:t>
      </w:r>
    </w:p>
    <w:p w14:paraId="4BF4D313">
      <w:pPr>
        <w:keepNext w:val="0"/>
        <w:keepLines w:val="0"/>
        <w:pageBreakBefore w:val="0"/>
        <w:wordWrap w:val="0"/>
        <w:overflowPunct/>
        <w:topLinePunct w:val="0"/>
        <w:bidi w:val="0"/>
        <w:spacing w:before="154" w:line="220"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（11）《项目经理任职声明》（格式九）；</w:t>
      </w:r>
    </w:p>
    <w:p w14:paraId="6D95CC60">
      <w:pPr>
        <w:keepNext w:val="0"/>
        <w:keepLines w:val="0"/>
        <w:pageBreakBefore w:val="0"/>
        <w:wordWrap w:val="0"/>
        <w:overflowPunct/>
        <w:topLinePunct w:val="0"/>
        <w:bidi w:val="0"/>
        <w:spacing w:before="156" w:line="219"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（12）《项目技术负责人简历表》（格式十）及所附资料；</w:t>
      </w:r>
    </w:p>
    <w:p w14:paraId="0132BAD9">
      <w:pPr>
        <w:keepNext w:val="0"/>
        <w:keepLines w:val="0"/>
        <w:pageBreakBefore w:val="0"/>
        <w:wordWrap w:val="0"/>
        <w:overflowPunct/>
        <w:topLinePunct w:val="0"/>
        <w:bidi w:val="0"/>
        <w:spacing w:before="154" w:line="219"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（13）《项</w:t>
      </w:r>
      <w:bookmarkStart w:id="49" w:name="OLE_LINK7"/>
      <w:r>
        <w:rPr>
          <w:rFonts w:hint="eastAsia" w:ascii="宋体" w:hAnsi="宋体" w:eastAsia="宋体" w:cs="宋体"/>
          <w:color w:val="000000" w:themeColor="text1"/>
          <w:spacing w:val="0"/>
          <w:sz w:val="24"/>
          <w:szCs w:val="24"/>
          <w:highlight w:val="none"/>
          <w14:textFill>
            <w14:solidFill>
              <w14:schemeClr w14:val="tx1"/>
            </w14:solidFill>
          </w14:textFill>
        </w:rPr>
        <w:t>目管理机构组成表》（格式十一）及</w:t>
      </w:r>
      <w:bookmarkEnd w:id="49"/>
      <w:r>
        <w:rPr>
          <w:rFonts w:hint="eastAsia" w:ascii="宋体" w:hAnsi="宋体" w:eastAsia="宋体" w:cs="宋体"/>
          <w:color w:val="000000" w:themeColor="text1"/>
          <w:spacing w:val="0"/>
          <w:sz w:val="24"/>
          <w:szCs w:val="24"/>
          <w:highlight w:val="none"/>
          <w14:textFill>
            <w14:solidFill>
              <w14:schemeClr w14:val="tx1"/>
            </w14:solidFill>
          </w14:textFill>
        </w:rPr>
        <w:t>所附资料；</w:t>
      </w:r>
    </w:p>
    <w:p w14:paraId="6E0A04ED">
      <w:pPr>
        <w:keepNext w:val="0"/>
        <w:keepLines w:val="0"/>
        <w:pageBreakBefore w:val="0"/>
        <w:wordWrap w:val="0"/>
        <w:overflowPunct/>
        <w:topLinePunct w:val="0"/>
        <w:bidi w:val="0"/>
        <w:spacing w:before="155" w:line="360"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（14）本节第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15.5.1 </w:t>
      </w:r>
      <w:r>
        <w:rPr>
          <w:rFonts w:hint="eastAsia" w:ascii="宋体" w:hAnsi="宋体" w:eastAsia="宋体" w:cs="宋体"/>
          <w:color w:val="000000" w:themeColor="text1"/>
          <w:spacing w:val="0"/>
          <w:sz w:val="24"/>
          <w:szCs w:val="24"/>
          <w:highlight w:val="none"/>
          <w14:textFill>
            <w14:solidFill>
              <w14:schemeClr w14:val="tx1"/>
            </w14:solidFill>
          </w14:textFill>
        </w:rPr>
        <w:t>目“评标方法 ”要求提供的评审资料；</w:t>
      </w:r>
    </w:p>
    <w:p w14:paraId="03DF9A5F">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（15）投标人认为有必要补充的其他资料。（例如投标人已经工商变更，但其企业资质证书、安全生产许可证或其员工执业资格注册证书上的企业名称未能在投标期间完成变更的书面说明和佐证材料等）</w:t>
      </w:r>
    </w:p>
    <w:p w14:paraId="29D2CA8C">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2"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10.2.2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本节第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10.2.1  </w:t>
      </w:r>
      <w:r>
        <w:rPr>
          <w:rFonts w:hint="eastAsia" w:ascii="宋体" w:hAnsi="宋体" w:eastAsia="宋体" w:cs="宋体"/>
          <w:color w:val="000000" w:themeColor="text1"/>
          <w:spacing w:val="0"/>
          <w:sz w:val="24"/>
          <w:szCs w:val="24"/>
          <w:highlight w:val="none"/>
          <w14:textFill>
            <w14:solidFill>
              <w14:schemeClr w14:val="tx1"/>
            </w14:solidFill>
          </w14:textFill>
        </w:rPr>
        <w:t>目中所列出的商务标书组成内容中，第（1）至第（13）项所有投标人均应提供，</w:t>
      </w:r>
      <w:r>
        <w:rPr>
          <w:rFonts w:hint="eastAsia" w:ascii="宋体" w:hAnsi="宋体" w:eastAsia="宋体" w:cs="宋体"/>
          <w:b/>
          <w:bCs/>
          <w:color w:val="000000" w:themeColor="text1"/>
          <w:spacing w:val="0"/>
          <w:sz w:val="24"/>
          <w:szCs w:val="24"/>
          <w:highlight w:val="none"/>
          <w14:textFill>
            <w14:solidFill>
              <w14:schemeClr w14:val="tx1"/>
            </w14:solidFill>
          </w14:textFill>
        </w:rPr>
        <w:t>但非联合体投标的，无需提供第（7）项内容。</w:t>
      </w:r>
    </w:p>
    <w:p w14:paraId="2F3F2186">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2"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10.2.3 </w:t>
      </w:r>
      <w:r>
        <w:rPr>
          <w:rFonts w:hint="eastAsia" w:ascii="宋体" w:hAnsi="宋体" w:eastAsia="宋体" w:cs="宋体"/>
          <w:color w:val="000000" w:themeColor="text1"/>
          <w:spacing w:val="0"/>
          <w:sz w:val="24"/>
          <w:szCs w:val="24"/>
          <w:highlight w:val="none"/>
          <w14:textFill>
            <w14:solidFill>
              <w14:schemeClr w14:val="tx1"/>
            </w14:solidFill>
          </w14:textFill>
        </w:rPr>
        <w:t>商务标书的组成内容按本节第 10.2.1 目规定的顺序整理、编排后，逐页（页码起始从封面开始）连续标记页码。</w:t>
      </w:r>
    </w:p>
    <w:p w14:paraId="2D4DCA8F">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firstLineChars="0"/>
        <w:textAlignment w:val="baseline"/>
        <w:outlineLvl w:val="3"/>
        <w:rPr>
          <w:rFonts w:hint="eastAsia" w:ascii="宋体" w:hAnsi="宋体" w:eastAsia="宋体" w:cs="宋体"/>
          <w:color w:val="000000" w:themeColor="text1"/>
          <w:spacing w:val="0"/>
          <w:sz w:val="24"/>
          <w:szCs w:val="24"/>
          <w:highlight w:val="none"/>
          <w14:textFill>
            <w14:solidFill>
              <w14:schemeClr w14:val="tx1"/>
            </w14:solidFill>
          </w14:textFill>
        </w:rPr>
      </w:pPr>
      <w:bookmarkStart w:id="50" w:name="_Toc29370"/>
      <w:bookmarkStart w:id="51" w:name="_Toc10602"/>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10.3  </w:t>
      </w:r>
      <w:r>
        <w:rPr>
          <w:rFonts w:hint="eastAsia" w:ascii="宋体" w:hAnsi="宋体" w:eastAsia="宋体" w:cs="宋体"/>
          <w:color w:val="000000" w:themeColor="text1"/>
          <w:spacing w:val="0"/>
          <w:sz w:val="24"/>
          <w:szCs w:val="24"/>
          <w:highlight w:val="none"/>
          <w14:textFill>
            <w14:solidFill>
              <w14:schemeClr w14:val="tx1"/>
            </w14:solidFill>
          </w14:textFill>
        </w:rPr>
        <w:t>经济标书的编制要求</w:t>
      </w:r>
      <w:bookmarkEnd w:id="50"/>
      <w:bookmarkEnd w:id="51"/>
    </w:p>
    <w:p w14:paraId="1F78619A">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2"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10.3.1  </w:t>
      </w:r>
      <w:r>
        <w:rPr>
          <w:rFonts w:hint="eastAsia" w:ascii="宋体" w:hAnsi="宋体" w:eastAsia="宋体" w:cs="宋体"/>
          <w:color w:val="000000" w:themeColor="text1"/>
          <w:spacing w:val="0"/>
          <w:sz w:val="24"/>
          <w:szCs w:val="24"/>
          <w:highlight w:val="none"/>
          <w14:textFill>
            <w14:solidFill>
              <w14:schemeClr w14:val="tx1"/>
            </w14:solidFill>
          </w14:textFill>
        </w:rPr>
        <w:t>经济标书包括以下内容：</w:t>
      </w:r>
    </w:p>
    <w:p w14:paraId="57663477">
      <w:pPr>
        <w:keepNext w:val="0"/>
        <w:keepLines w:val="0"/>
        <w:pageBreakBefore w:val="0"/>
        <w:wordWrap w:val="0"/>
        <w:overflowPunct/>
        <w:topLinePunct w:val="0"/>
        <w:bidi w:val="0"/>
        <w:spacing w:before="156" w:line="220"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（1）封面（格式一）；</w:t>
      </w:r>
    </w:p>
    <w:p w14:paraId="18A4AD47">
      <w:pPr>
        <w:keepNext w:val="0"/>
        <w:keepLines w:val="0"/>
        <w:pageBreakBefore w:val="0"/>
        <w:wordWrap w:val="0"/>
        <w:overflowPunct/>
        <w:topLinePunct w:val="0"/>
        <w:bidi w:val="0"/>
        <w:spacing w:before="153" w:line="222"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 目录；</w:t>
      </w:r>
    </w:p>
    <w:p w14:paraId="74083071">
      <w:pPr>
        <w:keepNext w:val="0"/>
        <w:keepLines w:val="0"/>
        <w:pageBreakBefore w:val="0"/>
        <w:wordWrap w:val="0"/>
        <w:overflowPunct/>
        <w:topLinePunct w:val="0"/>
        <w:bidi w:val="0"/>
        <w:spacing w:before="150" w:line="219"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（3）《投标总价》；</w:t>
      </w:r>
    </w:p>
    <w:p w14:paraId="105877BB">
      <w:pPr>
        <w:keepNext w:val="0"/>
        <w:keepLines w:val="0"/>
        <w:pageBreakBefore w:val="0"/>
        <w:widowControl/>
        <w:kinsoku w:val="0"/>
        <w:wordWrap w:val="0"/>
        <w:overflowPunct/>
        <w:topLinePunct w:val="0"/>
        <w:autoSpaceDE w:val="0"/>
        <w:autoSpaceDN w:val="0"/>
        <w:bidi w:val="0"/>
        <w:adjustRightInd w:val="0"/>
        <w:snapToGrid w:val="0"/>
        <w:spacing w:before="155" w:line="360" w:lineRule="auto"/>
        <w:ind w:left="5"/>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说明：《投标总价》的格式按照《</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建设工程工程量清单计价标准</w:t>
      </w:r>
      <w:r>
        <w:rPr>
          <w:rFonts w:hint="eastAsia" w:ascii="宋体" w:hAnsi="宋体" w:eastAsia="宋体" w:cs="宋体"/>
          <w:color w:val="000000" w:themeColor="text1"/>
          <w:spacing w:val="0"/>
          <w:sz w:val="24"/>
          <w:szCs w:val="24"/>
          <w:highlight w:val="none"/>
          <w14:textFill>
            <w14:solidFill>
              <w14:schemeClr w14:val="tx1"/>
            </w14:solidFill>
          </w14:textFill>
        </w:rPr>
        <w:t>》（GB/T50500-2024）执行，并应满足以下要求：</w:t>
      </w:r>
    </w:p>
    <w:p w14:paraId="2569EC2C">
      <w:pPr>
        <w:keepNext w:val="0"/>
        <w:keepLines w:val="0"/>
        <w:pageBreakBefore w:val="0"/>
        <w:widowControl/>
        <w:kinsoku w:val="0"/>
        <w:wordWrap w:val="0"/>
        <w:overflowPunct/>
        <w:topLinePunct w:val="0"/>
        <w:autoSpaceDE w:val="0"/>
        <w:autoSpaceDN w:val="0"/>
        <w:bidi w:val="0"/>
        <w:adjustRightInd w:val="0"/>
        <w:snapToGrid w:val="0"/>
        <w:spacing w:before="150" w:line="360" w:lineRule="auto"/>
        <w:ind w:left="8" w:firstLine="482"/>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a </w:t>
      </w:r>
      <w:r>
        <w:rPr>
          <w:rFonts w:hint="eastAsia" w:ascii="宋体" w:hAnsi="宋体" w:eastAsia="宋体" w:cs="宋体"/>
          <w:color w:val="000000" w:themeColor="text1"/>
          <w:spacing w:val="0"/>
          <w:sz w:val="24"/>
          <w:szCs w:val="24"/>
          <w:highlight w:val="none"/>
          <w14:textFill>
            <w14:solidFill>
              <w14:schemeClr w14:val="tx1"/>
            </w14:solidFill>
          </w14:textFill>
        </w:rPr>
        <w:t>．《投标总价扉页》（即扉—3）后应附编制人的造价工程师注册证书彩色扫描件（须扫描至变更注册栏，</w:t>
      </w:r>
      <w:r>
        <w:rPr>
          <w:rFonts w:hint="eastAsia" w:ascii="宋体" w:hAnsi="宋体" w:eastAsia="宋体" w:cs="宋体"/>
          <w:b/>
          <w:bCs/>
          <w:color w:val="000000" w:themeColor="text1"/>
          <w:spacing w:val="0"/>
          <w:sz w:val="24"/>
          <w:szCs w:val="24"/>
          <w:highlight w:val="none"/>
          <w14:textFill>
            <w14:solidFill>
              <w14:schemeClr w14:val="tx1"/>
            </w14:solidFill>
          </w14:textFill>
        </w:rPr>
        <w:t>一级造价师或二级造价师均可提供电子证书</w:t>
      </w:r>
      <w:r>
        <w:rPr>
          <w:rFonts w:hint="eastAsia" w:ascii="宋体" w:hAnsi="宋体" w:eastAsia="宋体" w:cs="宋体"/>
          <w:color w:val="000000" w:themeColor="text1"/>
          <w:spacing w:val="0"/>
          <w:sz w:val="24"/>
          <w:szCs w:val="24"/>
          <w:highlight w:val="none"/>
          <w14:textFill>
            <w14:solidFill>
              <w14:schemeClr w14:val="tx1"/>
            </w14:solidFill>
          </w14:textFill>
        </w:rPr>
        <w:t>）；投标人委托造价咨询单位编制《投标总价》的，在该扉页“投标人”栏目加盖造价咨询人公章，并在该扉页后附造价咨询人的营业执照副本彩色扫描件。</w:t>
      </w:r>
    </w:p>
    <w:p w14:paraId="068BAFD3">
      <w:pPr>
        <w:keepNext w:val="0"/>
        <w:keepLines w:val="0"/>
        <w:pageBreakBefore w:val="0"/>
        <w:widowControl/>
        <w:kinsoku w:val="0"/>
        <w:wordWrap w:val="0"/>
        <w:overflowPunct/>
        <w:topLinePunct w:val="0"/>
        <w:autoSpaceDE w:val="0"/>
        <w:autoSpaceDN w:val="0"/>
        <w:bidi w:val="0"/>
        <w:adjustRightInd w:val="0"/>
        <w:snapToGrid w:val="0"/>
        <w:spacing w:before="119" w:line="360" w:lineRule="auto"/>
        <w:ind w:left="10" w:right="61" w:firstLine="474"/>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b.  </w:t>
      </w:r>
      <w:r>
        <w:rPr>
          <w:rFonts w:hint="eastAsia" w:ascii="宋体" w:hAnsi="宋体" w:eastAsia="宋体" w:cs="宋体"/>
          <w:color w:val="000000" w:themeColor="text1"/>
          <w:spacing w:val="0"/>
          <w:sz w:val="24"/>
          <w:szCs w:val="24"/>
          <w:highlight w:val="none"/>
          <w14:textFill>
            <w14:solidFill>
              <w14:schemeClr w14:val="tx1"/>
            </w14:solidFill>
          </w14:textFill>
        </w:rPr>
        <w:t>投标人认为有必要补充的其他资料（例如关于投标总价下浮率超过 15%的书面说明和佐证材料）。</w:t>
      </w:r>
    </w:p>
    <w:p w14:paraId="05D38EAE">
      <w:pPr>
        <w:keepNext w:val="0"/>
        <w:keepLines w:val="0"/>
        <w:pageBreakBefore w:val="0"/>
        <w:wordWrap w:val="0"/>
        <w:overflowPunct/>
        <w:topLinePunct w:val="0"/>
        <w:bidi w:val="0"/>
        <w:spacing w:before="99" w:line="360" w:lineRule="auto"/>
        <w:ind w:left="10" w:right="63" w:firstLine="48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10.3.2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本节第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10.3.1  </w:t>
      </w:r>
      <w:r>
        <w:rPr>
          <w:rFonts w:hint="eastAsia" w:ascii="宋体" w:hAnsi="宋体" w:eastAsia="宋体" w:cs="宋体"/>
          <w:color w:val="000000" w:themeColor="text1"/>
          <w:spacing w:val="0"/>
          <w:sz w:val="24"/>
          <w:szCs w:val="24"/>
          <w:highlight w:val="none"/>
          <w14:textFill>
            <w14:solidFill>
              <w14:schemeClr w14:val="tx1"/>
            </w14:solidFill>
          </w14:textFill>
        </w:rPr>
        <w:t>目中所列出的经济标书组成内容中，第（1）至第（3）项所有投标人均应提供。</w:t>
      </w:r>
    </w:p>
    <w:p w14:paraId="1592DD8B">
      <w:pPr>
        <w:keepNext w:val="0"/>
        <w:keepLines w:val="0"/>
        <w:pageBreakBefore w:val="0"/>
        <w:wordWrap w:val="0"/>
        <w:overflowPunct/>
        <w:topLinePunct w:val="0"/>
        <w:bidi w:val="0"/>
        <w:spacing w:before="155" w:line="360" w:lineRule="auto"/>
        <w:ind w:left="8" w:right="61" w:firstLine="48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10.3.3 </w:t>
      </w:r>
      <w:r>
        <w:rPr>
          <w:rFonts w:hint="eastAsia" w:ascii="宋体" w:hAnsi="宋体" w:eastAsia="宋体" w:cs="宋体"/>
          <w:color w:val="000000" w:themeColor="text1"/>
          <w:spacing w:val="0"/>
          <w:sz w:val="24"/>
          <w:szCs w:val="24"/>
          <w:highlight w:val="none"/>
          <w14:textFill>
            <w14:solidFill>
              <w14:schemeClr w14:val="tx1"/>
            </w14:solidFill>
          </w14:textFill>
        </w:rPr>
        <w:t>经济标书的组成内容按本节第 10.3.1 目规定的顺序整理、编排后，逐页（页码起始从封面开始）连续标记页码。</w:t>
      </w:r>
    </w:p>
    <w:p w14:paraId="3A6D334B">
      <w:pPr>
        <w:keepNext w:val="0"/>
        <w:keepLines w:val="0"/>
        <w:pageBreakBefore w:val="0"/>
        <w:wordWrap w:val="0"/>
        <w:overflowPunct/>
        <w:topLinePunct w:val="0"/>
        <w:bidi w:val="0"/>
        <w:spacing w:before="82" w:line="360" w:lineRule="auto"/>
        <w:ind w:left="496"/>
        <w:outlineLvl w:val="3"/>
        <w:rPr>
          <w:rFonts w:hint="eastAsia" w:ascii="宋体" w:hAnsi="宋体" w:eastAsia="宋体" w:cs="宋体"/>
          <w:color w:val="000000" w:themeColor="text1"/>
          <w:spacing w:val="0"/>
          <w:sz w:val="25"/>
          <w:szCs w:val="25"/>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10.4  </w:t>
      </w:r>
      <w:r>
        <w:rPr>
          <w:rFonts w:hint="eastAsia" w:ascii="宋体" w:hAnsi="宋体" w:eastAsia="宋体" w:cs="宋体"/>
          <w:color w:val="000000" w:themeColor="text1"/>
          <w:spacing w:val="0"/>
          <w:sz w:val="24"/>
          <w:szCs w:val="24"/>
          <w:highlight w:val="none"/>
          <w14:textFill>
            <w14:solidFill>
              <w14:schemeClr w14:val="tx1"/>
            </w14:solidFill>
          </w14:textFill>
        </w:rPr>
        <w:t>施工组织设计的编制要求</w:t>
      </w:r>
    </w:p>
    <w:p w14:paraId="7828F48B">
      <w:pPr>
        <w:keepNext w:val="0"/>
        <w:keepLines w:val="0"/>
        <w:pageBreakBefore w:val="0"/>
        <w:wordWrap w:val="0"/>
        <w:overflowPunct/>
        <w:topLinePunct w:val="0"/>
        <w:bidi w:val="0"/>
        <w:spacing w:before="151" w:line="360"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10.4.1 </w:t>
      </w:r>
      <w:r>
        <w:rPr>
          <w:rFonts w:hint="eastAsia" w:ascii="宋体" w:hAnsi="宋体" w:eastAsia="宋体" w:cs="宋体"/>
          <w:color w:val="000000" w:themeColor="text1"/>
          <w:spacing w:val="0"/>
          <w:sz w:val="24"/>
          <w:szCs w:val="24"/>
          <w:highlight w:val="none"/>
          <w14:textFill>
            <w14:solidFill>
              <w14:schemeClr w14:val="tx1"/>
            </w14:solidFill>
          </w14:textFill>
        </w:rPr>
        <w:t>施工组织设计的编制依据包括且不限于：</w:t>
      </w:r>
    </w:p>
    <w:p w14:paraId="69CA5D7C">
      <w:pPr>
        <w:keepNext w:val="0"/>
        <w:keepLines w:val="0"/>
        <w:pageBreakBefore w:val="0"/>
        <w:wordWrap w:val="0"/>
        <w:overflowPunct/>
        <w:topLinePunct w:val="0"/>
        <w:bidi w:val="0"/>
        <w:spacing w:before="156" w:line="219"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（1）招标文件及其答疑（或修改）公告；</w:t>
      </w:r>
    </w:p>
    <w:p w14:paraId="3D9B573B">
      <w:pPr>
        <w:keepNext w:val="0"/>
        <w:keepLines w:val="0"/>
        <w:pageBreakBefore w:val="0"/>
        <w:wordWrap w:val="0"/>
        <w:overflowPunct/>
        <w:topLinePunct w:val="0"/>
        <w:bidi w:val="0"/>
        <w:spacing w:before="155" w:line="221"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（2）施工图及相关资料；</w:t>
      </w:r>
    </w:p>
    <w:p w14:paraId="56E6D366">
      <w:pPr>
        <w:keepNext w:val="0"/>
        <w:keepLines w:val="0"/>
        <w:pageBreakBefore w:val="0"/>
        <w:wordWrap w:val="0"/>
        <w:overflowPunct/>
        <w:topLinePunct w:val="0"/>
        <w:bidi w:val="0"/>
        <w:spacing w:before="152" w:line="220"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（3）施工现场情况、工程特点；</w:t>
      </w:r>
    </w:p>
    <w:p w14:paraId="3FE9ED6F">
      <w:pPr>
        <w:keepNext w:val="0"/>
        <w:keepLines w:val="0"/>
        <w:pageBreakBefore w:val="0"/>
        <w:wordWrap w:val="0"/>
        <w:overflowPunct/>
        <w:topLinePunct w:val="0"/>
        <w:bidi w:val="0"/>
        <w:spacing w:before="78" w:line="220"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（4）相关法律、法规、规定；</w:t>
      </w:r>
    </w:p>
    <w:p w14:paraId="059FD045">
      <w:pPr>
        <w:keepNext w:val="0"/>
        <w:keepLines w:val="0"/>
        <w:pageBreakBefore w:val="0"/>
        <w:wordWrap w:val="0"/>
        <w:overflowPunct/>
        <w:topLinePunct w:val="0"/>
        <w:bidi w:val="0"/>
        <w:spacing w:before="153" w:line="299" w:lineRule="auto"/>
        <w:ind w:left="10" w:right="21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50B2B5BD">
      <w:pPr>
        <w:keepNext w:val="0"/>
        <w:keepLines w:val="0"/>
        <w:pageBreakBefore w:val="0"/>
        <w:wordWrap w:val="0"/>
        <w:overflowPunct/>
        <w:topLinePunct w:val="0"/>
        <w:bidi w:val="0"/>
        <w:spacing w:before="155" w:line="220"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（6）企业内部标准、工法。</w:t>
      </w:r>
    </w:p>
    <w:p w14:paraId="6608343E">
      <w:pPr>
        <w:keepNext w:val="0"/>
        <w:keepLines w:val="0"/>
        <w:pageBreakBefore w:val="0"/>
        <w:wordWrap w:val="0"/>
        <w:overflowPunct/>
        <w:topLinePunct w:val="0"/>
        <w:bidi w:val="0"/>
        <w:spacing w:before="153" w:line="220"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10.4.2 </w:t>
      </w:r>
      <w:r>
        <w:rPr>
          <w:rFonts w:hint="eastAsia" w:ascii="宋体" w:hAnsi="宋体" w:eastAsia="宋体" w:cs="宋体"/>
          <w:color w:val="000000" w:themeColor="text1"/>
          <w:spacing w:val="0"/>
          <w:sz w:val="24"/>
          <w:szCs w:val="24"/>
          <w:highlight w:val="none"/>
          <w14:textFill>
            <w14:solidFill>
              <w14:schemeClr w14:val="tx1"/>
            </w14:solidFill>
          </w14:textFill>
        </w:rPr>
        <w:t>施工组织设计包括但不限于以下内容：</w:t>
      </w:r>
    </w:p>
    <w:p w14:paraId="11AC19C5">
      <w:pPr>
        <w:keepNext w:val="0"/>
        <w:keepLines w:val="0"/>
        <w:pageBreakBefore w:val="0"/>
        <w:wordWrap w:val="0"/>
        <w:overflowPunct/>
        <w:topLinePunct w:val="0"/>
        <w:bidi w:val="0"/>
        <w:spacing w:before="153" w:line="220"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（1）封面（格式一）；</w:t>
      </w:r>
    </w:p>
    <w:p w14:paraId="0D89566C">
      <w:pPr>
        <w:keepNext w:val="0"/>
        <w:keepLines w:val="0"/>
        <w:pageBreakBefore w:val="0"/>
        <w:wordWrap w:val="0"/>
        <w:overflowPunct/>
        <w:topLinePunct w:val="0"/>
        <w:bidi w:val="0"/>
        <w:spacing w:before="156" w:line="222"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（2）目录；</w:t>
      </w:r>
    </w:p>
    <w:p w14:paraId="42EF60D6">
      <w:pPr>
        <w:keepNext w:val="0"/>
        <w:keepLines w:val="0"/>
        <w:pageBreakBefore w:val="0"/>
        <w:wordWrap w:val="0"/>
        <w:overflowPunct/>
        <w:topLinePunct w:val="0"/>
        <w:bidi w:val="0"/>
        <w:spacing w:before="150" w:line="220"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（3）总体概述（包括施工程序总体设想及施工段划分等内容）；</w:t>
      </w:r>
    </w:p>
    <w:p w14:paraId="2188CD8A">
      <w:pPr>
        <w:keepNext w:val="0"/>
        <w:keepLines w:val="0"/>
        <w:pageBreakBefore w:val="0"/>
        <w:wordWrap w:val="0"/>
        <w:overflowPunct/>
        <w:topLinePunct w:val="0"/>
        <w:bidi w:val="0"/>
        <w:spacing w:before="154" w:line="299" w:lineRule="auto"/>
        <w:ind w:left="9" w:right="211" w:firstLine="49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（4）施工总进度计划及保证措施（包括进度管理目标；以横道图或标明关键线路的网络进度计划；保障进度计划需要的人、材、机需求计划及保证措施；违约责任承诺等内容）；</w:t>
      </w:r>
    </w:p>
    <w:p w14:paraId="1FC69F82">
      <w:pPr>
        <w:keepNext w:val="0"/>
        <w:keepLines w:val="0"/>
        <w:pageBreakBefore w:val="0"/>
        <w:wordWrap w:val="0"/>
        <w:overflowPunct/>
        <w:topLinePunct w:val="0"/>
        <w:bidi w:val="0"/>
        <w:spacing w:before="153" w:line="220"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（5）质量保证措施（包括质量管理目标；相应保证措施；违约责任承诺等内容</w:t>
      </w:r>
      <w:r>
        <w:rPr>
          <w:rFonts w:hint="eastAsia" w:ascii="宋体" w:hAnsi="宋体" w:eastAsia="宋体" w:cs="宋体"/>
          <w:color w:val="000000" w:themeColor="text1"/>
          <w:spacing w:val="0"/>
          <w:w w:val="97"/>
          <w:sz w:val="24"/>
          <w:szCs w:val="24"/>
          <w:highlight w:val="none"/>
          <w14:textFill>
            <w14:solidFill>
              <w14:schemeClr w14:val="tx1"/>
            </w14:solidFill>
          </w14:textFill>
        </w:rPr>
        <w:t>）；</w:t>
      </w:r>
    </w:p>
    <w:p w14:paraId="69700B99">
      <w:pPr>
        <w:keepNext w:val="0"/>
        <w:keepLines w:val="0"/>
        <w:pageBreakBefore w:val="0"/>
        <w:wordWrap w:val="0"/>
        <w:overflowPunct/>
        <w:topLinePunct w:val="0"/>
        <w:bidi w:val="0"/>
        <w:spacing w:before="156" w:line="279" w:lineRule="auto"/>
        <w:ind w:left="11" w:right="211" w:firstLine="48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（6）施工技术措施（包括关键施工技术、工艺及工程项目实施的重点、难点分析和解决方案；新技术应用与承诺等内容）；</w:t>
      </w:r>
    </w:p>
    <w:p w14:paraId="4D11B874">
      <w:pPr>
        <w:keepNext w:val="0"/>
        <w:keepLines w:val="0"/>
        <w:pageBreakBefore w:val="0"/>
        <w:wordWrap w:val="0"/>
        <w:overflowPunct/>
        <w:topLinePunct w:val="0"/>
        <w:bidi w:val="0"/>
        <w:spacing w:before="118" w:line="297" w:lineRule="auto"/>
        <w:ind w:left="11" w:right="31" w:firstLine="48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（7）绿色施工、安全防护、文明施工措施计划(应对建设单位组织的勘察设计等单位在施工招标文件中列出的危大工程清单(详见格式十三)进行投标文件回应，如有)；</w:t>
      </w:r>
    </w:p>
    <w:p w14:paraId="00EDD96D">
      <w:pPr>
        <w:keepNext w:val="0"/>
        <w:keepLines w:val="0"/>
        <w:pageBreakBefore w:val="0"/>
        <w:wordWrap w:val="0"/>
        <w:overflowPunct/>
        <w:topLinePunct w:val="0"/>
        <w:bidi w:val="0"/>
        <w:spacing w:before="118" w:line="297" w:lineRule="auto"/>
        <w:ind w:left="11" w:right="31" w:firstLine="48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（8）施工现场总平面布置（</w:t>
      </w:r>
      <w:bookmarkStart w:id="52" w:name="OLE_LINK8"/>
      <w:r>
        <w:rPr>
          <w:rFonts w:hint="eastAsia" w:ascii="宋体" w:hAnsi="宋体" w:eastAsia="宋体" w:cs="宋体"/>
          <w:color w:val="000000" w:themeColor="text1"/>
          <w:spacing w:val="0"/>
          <w:sz w:val="24"/>
          <w:szCs w:val="24"/>
          <w:highlight w:val="none"/>
          <w14:textFill>
            <w14:solidFill>
              <w14:schemeClr w14:val="tx1"/>
            </w14:solidFill>
          </w14:textFill>
        </w:rPr>
        <w:t>投标人应递交一份施工现场总平面布置图，绘出现场临时设施布置图表并附文字说明，说明临时设施、加工车间、现场办公、设备及仓储、供电、供水、卫生、生活、道路、消防等设施的情况和布置</w:t>
      </w:r>
      <w:bookmarkEnd w:id="52"/>
      <w:r>
        <w:rPr>
          <w:rFonts w:hint="eastAsia" w:ascii="宋体" w:hAnsi="宋体" w:eastAsia="宋体" w:cs="宋体"/>
          <w:color w:val="000000" w:themeColor="text1"/>
          <w:spacing w:val="0"/>
          <w:sz w:val="24"/>
          <w:szCs w:val="24"/>
          <w:highlight w:val="none"/>
          <w14:textFill>
            <w14:solidFill>
              <w14:schemeClr w14:val="tx1"/>
            </w14:solidFill>
          </w14:textFill>
        </w:rPr>
        <w:t>）；</w:t>
      </w:r>
    </w:p>
    <w:p w14:paraId="523DCF6A">
      <w:pPr>
        <w:keepNext w:val="0"/>
        <w:keepLines w:val="0"/>
        <w:pageBreakBefore w:val="0"/>
        <w:wordWrap w:val="0"/>
        <w:overflowPunct/>
        <w:topLinePunct w:val="0"/>
        <w:bidi w:val="0"/>
        <w:spacing w:before="155" w:line="219"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（9）项目管理机构。</w:t>
      </w:r>
    </w:p>
    <w:p w14:paraId="16991E29">
      <w:pPr>
        <w:keepNext w:val="0"/>
        <w:keepLines w:val="0"/>
        <w:pageBreakBefore w:val="0"/>
        <w:wordWrap w:val="0"/>
        <w:overflowPunct/>
        <w:topLinePunct w:val="0"/>
        <w:bidi w:val="0"/>
        <w:spacing w:before="154" w:line="360" w:lineRule="auto"/>
        <w:ind w:right="211" w:firstLine="480"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（10）投标人认为有必要补充的其他内容（例如对总包管理的认识以及对专业分包工程的管理、协调、配合、服务方案）。</w:t>
      </w:r>
    </w:p>
    <w:p w14:paraId="5EA512C0">
      <w:pPr>
        <w:keepNext w:val="0"/>
        <w:keepLines w:val="0"/>
        <w:pageBreakBefore w:val="0"/>
        <w:wordWrap w:val="0"/>
        <w:overflowPunct/>
        <w:topLinePunct w:val="0"/>
        <w:bidi w:val="0"/>
        <w:spacing w:before="152" w:line="360" w:lineRule="auto"/>
        <w:ind w:right="196" w:firstLine="482"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10.4.3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本节第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10.4.2  </w:t>
      </w:r>
      <w:r>
        <w:rPr>
          <w:rFonts w:hint="eastAsia" w:ascii="宋体" w:hAnsi="宋体" w:eastAsia="宋体" w:cs="宋体"/>
          <w:color w:val="000000" w:themeColor="text1"/>
          <w:spacing w:val="0"/>
          <w:sz w:val="24"/>
          <w:szCs w:val="24"/>
          <w:highlight w:val="none"/>
          <w14:textFill>
            <w14:solidFill>
              <w14:schemeClr w14:val="tx1"/>
            </w14:solidFill>
          </w14:textFill>
        </w:rPr>
        <w:t>目中所列出的施工组织设计组成内容中，第（1）至第（9）项所有投标人均应提供。</w:t>
      </w:r>
    </w:p>
    <w:p w14:paraId="6B854B9F">
      <w:pPr>
        <w:keepNext w:val="0"/>
        <w:keepLines w:val="0"/>
        <w:pageBreakBefore w:val="0"/>
        <w:wordWrap w:val="0"/>
        <w:overflowPunct/>
        <w:topLinePunct w:val="0"/>
        <w:bidi w:val="0"/>
        <w:spacing w:before="157" w:line="360" w:lineRule="auto"/>
        <w:ind w:right="211" w:firstLine="482"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10.4.4 </w:t>
      </w:r>
      <w:r>
        <w:rPr>
          <w:rFonts w:hint="eastAsia" w:ascii="宋体" w:hAnsi="宋体" w:eastAsia="宋体" w:cs="宋体"/>
          <w:color w:val="000000" w:themeColor="text1"/>
          <w:spacing w:val="0"/>
          <w:sz w:val="24"/>
          <w:szCs w:val="24"/>
          <w:highlight w:val="none"/>
          <w14:textFill>
            <w14:solidFill>
              <w14:schemeClr w14:val="tx1"/>
            </w14:solidFill>
          </w14:textFill>
        </w:rPr>
        <w:t>施工组织设计的组成内容按本节第 10.4.2 目规定的顺序整理、编排后，逐页（页码起始从封面开始）连续标记页码。</w:t>
      </w:r>
    </w:p>
    <w:p w14:paraId="7DA830C4">
      <w:pPr>
        <w:keepNext w:val="0"/>
        <w:keepLines w:val="0"/>
        <w:pageBreakBefore w:val="0"/>
        <w:wordWrap w:val="0"/>
        <w:overflowPunct/>
        <w:topLinePunct w:val="0"/>
        <w:bidi w:val="0"/>
        <w:spacing w:line="360" w:lineRule="auto"/>
        <w:outlineLvl w:val="9"/>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10.4.5</w:t>
      </w:r>
      <w:bookmarkStart w:id="53" w:name="OLE_LINK9"/>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施工组织设计的正文不得超过</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500</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页</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bookmarkEnd w:id="53"/>
      <w:bookmarkStart w:id="54" w:name="bookmark121"/>
      <w:bookmarkEnd w:id="54"/>
    </w:p>
    <w:p w14:paraId="334D0149">
      <w:pPr>
        <w:keepNext w:val="0"/>
        <w:keepLines w:val="0"/>
        <w:pageBreakBefore w:val="0"/>
        <w:wordWrap w:val="0"/>
        <w:overflowPunct/>
        <w:topLinePunct w:val="0"/>
        <w:bidi w:val="0"/>
        <w:spacing w:before="78" w:line="360" w:lineRule="auto"/>
        <w:ind w:left="496"/>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55" w:name="_Toc31321"/>
      <w:bookmarkStart w:id="56" w:name="_Toc21936"/>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 </w:t>
      </w:r>
      <w:r>
        <w:rPr>
          <w:rFonts w:hint="eastAsia" w:ascii="宋体" w:hAnsi="宋体" w:eastAsia="宋体" w:cs="宋体"/>
          <w:color w:val="000000" w:themeColor="text1"/>
          <w:spacing w:val="0"/>
          <w:sz w:val="24"/>
          <w:szCs w:val="24"/>
          <w:highlight w:val="none"/>
          <w14:textFill>
            <w14:solidFill>
              <w14:schemeClr w14:val="tx1"/>
            </w14:solidFill>
          </w14:textFill>
        </w:rPr>
        <w:t>电子投标：</w:t>
      </w:r>
      <w:bookmarkEnd w:id="55"/>
      <w:bookmarkEnd w:id="56"/>
    </w:p>
    <w:p w14:paraId="2928C8B1">
      <w:pPr>
        <w:keepNext w:val="0"/>
        <w:keepLines w:val="0"/>
        <w:pageBreakBefore w:val="0"/>
        <w:wordWrap w:val="0"/>
        <w:overflowPunct/>
        <w:topLinePunct w:val="0"/>
        <w:bidi w:val="0"/>
        <w:spacing w:before="112" w:line="360" w:lineRule="auto"/>
        <w:ind w:left="10" w:firstLine="48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11.1  </w:t>
      </w:r>
      <w:r>
        <w:rPr>
          <w:rFonts w:hint="eastAsia" w:ascii="宋体" w:hAnsi="宋体" w:eastAsia="宋体" w:cs="宋体"/>
          <w:color w:val="000000" w:themeColor="text1"/>
          <w:spacing w:val="0"/>
          <w:sz w:val="24"/>
          <w:szCs w:val="24"/>
          <w:highlight w:val="none"/>
          <w14:textFill>
            <w14:solidFill>
              <w14:schemeClr w14:val="tx1"/>
            </w14:solidFill>
          </w14:textFill>
        </w:rPr>
        <w:t>在建设工程交易系统上传加盖了电子印章的投标文件、录入相关信息及标书页码信息，</w:t>
      </w:r>
      <w:r>
        <w:rPr>
          <w:rFonts w:hint="eastAsia" w:ascii="宋体" w:hAnsi="宋体" w:eastAsia="宋体" w:cs="宋体"/>
          <w:b/>
          <w:bCs/>
          <w:color w:val="000000" w:themeColor="text1"/>
          <w:spacing w:val="0"/>
          <w:sz w:val="24"/>
          <w:szCs w:val="24"/>
          <w:highlight w:val="none"/>
          <w14:textFill>
            <w14:solidFill>
              <w14:schemeClr w14:val="tx1"/>
            </w14:solidFill>
          </w14:textFill>
        </w:rPr>
        <w:t>（页码起始从封面开始）</w:t>
      </w:r>
      <w:r>
        <w:rPr>
          <w:rFonts w:hint="eastAsia" w:ascii="宋体" w:hAnsi="宋体" w:eastAsia="宋体" w:cs="宋体"/>
          <w:color w:val="000000" w:themeColor="text1"/>
          <w:spacing w:val="0"/>
          <w:sz w:val="24"/>
          <w:szCs w:val="24"/>
          <w:highlight w:val="none"/>
          <w14:textFill>
            <w14:solidFill>
              <w14:schemeClr w14:val="tx1"/>
            </w14:solidFill>
          </w14:textFill>
        </w:rPr>
        <w:t>并提交投标标书。提交标书为已加密投标文件。 具体操作参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71973AD4">
      <w:pPr>
        <w:keepNext w:val="0"/>
        <w:keepLines w:val="0"/>
        <w:pageBreakBefore w:val="0"/>
        <w:wordWrap w:val="0"/>
        <w:overflowPunct/>
        <w:topLinePunct w:val="0"/>
        <w:bidi w:val="0"/>
        <w:spacing w:before="115" w:line="360" w:lineRule="auto"/>
        <w:ind w:left="10" w:right="81" w:firstLine="485"/>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11.2  </w:t>
      </w:r>
      <w:r>
        <w:rPr>
          <w:rFonts w:hint="eastAsia" w:ascii="宋体" w:hAnsi="宋体" w:eastAsia="宋体" w:cs="宋体"/>
          <w:color w:val="000000" w:themeColor="text1"/>
          <w:spacing w:val="0"/>
          <w:sz w:val="24"/>
          <w:szCs w:val="24"/>
          <w:highlight w:val="none"/>
          <w14:textFill>
            <w14:solidFill>
              <w14:schemeClr w14:val="tx1"/>
            </w14:solidFill>
          </w14:textFill>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05B82554">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78" w:line="286" w:lineRule="auto"/>
        <w:ind w:firstLine="482" w:firstLineChars="200"/>
        <w:textAlignment w:val="baseline"/>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57" w:name="_Toc24753"/>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12.</w:t>
      </w:r>
      <w:r>
        <w:rPr>
          <w:rFonts w:hint="eastAsia" w:ascii="宋体" w:hAnsi="宋体" w:eastAsia="宋体" w:cs="宋体"/>
          <w:b/>
          <w:bCs/>
          <w:color w:val="000000" w:themeColor="text1"/>
          <w:spacing w:val="0"/>
          <w:w w:val="101"/>
          <w:sz w:val="24"/>
          <w:szCs w:val="24"/>
          <w:highlight w:val="none"/>
          <w14:textFill>
            <w14:solidFill>
              <w14:schemeClr w14:val="tx1"/>
            </w14:solidFill>
          </w14:textFill>
        </w:rPr>
        <w:t xml:space="preserve"> </w:t>
      </w:r>
      <w:bookmarkStart w:id="58" w:name="_Toc29834"/>
      <w:r>
        <w:rPr>
          <w:rFonts w:hint="eastAsia" w:ascii="宋体" w:hAnsi="宋体" w:eastAsia="宋体" w:cs="宋体"/>
          <w:b/>
          <w:bCs/>
          <w:color w:val="000000" w:themeColor="text1"/>
          <w:spacing w:val="0"/>
          <w:sz w:val="24"/>
          <w:szCs w:val="24"/>
          <w:highlight w:val="none"/>
          <w14:textFill>
            <w14:solidFill>
              <w14:schemeClr w14:val="tx1"/>
            </w14:solidFill>
          </w14:textFill>
        </w:rPr>
        <w:t>电子投标及投标解密失败及突发情况的补救方案</w:t>
      </w:r>
      <w:bookmarkEnd w:id="57"/>
      <w:bookmarkEnd w:id="58"/>
    </w:p>
    <w:p w14:paraId="656A950F">
      <w:pPr>
        <w:keepNext w:val="0"/>
        <w:keepLines w:val="0"/>
        <w:pageBreakBefore w:val="0"/>
        <w:widowControl/>
        <w:kinsoku w:val="0"/>
        <w:wordWrap w:val="0"/>
        <w:overflowPunct/>
        <w:topLinePunct w:val="0"/>
        <w:autoSpaceDE w:val="0"/>
        <w:autoSpaceDN w:val="0"/>
        <w:bidi w:val="0"/>
        <w:adjustRightInd w:val="0"/>
        <w:snapToGrid w:val="0"/>
        <w:spacing w:before="78" w:line="286" w:lineRule="auto"/>
        <w:ind w:firstLine="482"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12.1 </w:t>
      </w:r>
      <w:r>
        <w:rPr>
          <w:rFonts w:hint="eastAsia" w:ascii="宋体" w:hAnsi="宋体" w:eastAsia="宋体" w:cs="宋体"/>
          <w:color w:val="000000" w:themeColor="text1"/>
          <w:spacing w:val="0"/>
          <w:sz w:val="24"/>
          <w:szCs w:val="24"/>
          <w:highlight w:val="none"/>
          <w14:textFill>
            <w14:solidFill>
              <w14:schemeClr w14:val="tx1"/>
            </w14:solidFill>
          </w14:textFill>
        </w:rPr>
        <w:t>按照交易平台关于全流程电子化项目的相关指南进行操作。详见：全国公共资源交易平台（广东省 ·韶关市）（https://ygp.gdzwfw.gov.cn/ggzy-portal/#/44 0200/index）服务指南栏目发布的最新版操作指引。</w:t>
      </w:r>
    </w:p>
    <w:p w14:paraId="3E34A594">
      <w:pPr>
        <w:keepNext w:val="0"/>
        <w:keepLines w:val="0"/>
        <w:pageBreakBefore w:val="0"/>
        <w:widowControl/>
        <w:kinsoku w:val="0"/>
        <w:wordWrap w:val="0"/>
        <w:overflowPunct/>
        <w:topLinePunct w:val="0"/>
        <w:autoSpaceDE w:val="0"/>
        <w:autoSpaceDN w:val="0"/>
        <w:bidi w:val="0"/>
        <w:adjustRightInd w:val="0"/>
        <w:snapToGrid w:val="0"/>
        <w:spacing w:before="113" w:line="286" w:lineRule="auto"/>
        <w:ind w:left="496"/>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12.2  </w:t>
      </w:r>
      <w:r>
        <w:rPr>
          <w:rFonts w:hint="eastAsia" w:ascii="宋体" w:hAnsi="宋体" w:eastAsia="宋体" w:cs="宋体"/>
          <w:color w:val="000000" w:themeColor="text1"/>
          <w:spacing w:val="0"/>
          <w:sz w:val="24"/>
          <w:szCs w:val="24"/>
          <w:highlight w:val="none"/>
          <w14:textFill>
            <w14:solidFill>
              <w14:schemeClr w14:val="tx1"/>
            </w14:solidFill>
          </w14:textFill>
        </w:rPr>
        <w:t>补救方案：</w:t>
      </w:r>
    </w:p>
    <w:p w14:paraId="7A5C0062">
      <w:pPr>
        <w:keepNext w:val="0"/>
        <w:keepLines w:val="0"/>
        <w:pageBreakBefore w:val="0"/>
        <w:wordWrap w:val="0"/>
        <w:overflowPunct/>
        <w:topLinePunct w:val="0"/>
        <w:bidi w:val="0"/>
        <w:spacing w:before="115" w:line="220"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12.2.1  </w:t>
      </w:r>
      <w:r>
        <w:rPr>
          <w:rFonts w:hint="eastAsia" w:ascii="宋体" w:hAnsi="宋体" w:eastAsia="宋体" w:cs="宋体"/>
          <w:color w:val="000000" w:themeColor="text1"/>
          <w:spacing w:val="0"/>
          <w:sz w:val="24"/>
          <w:szCs w:val="24"/>
          <w:highlight w:val="none"/>
          <w14:textFill>
            <w14:solidFill>
              <w14:schemeClr w14:val="tx1"/>
            </w14:solidFill>
          </w14:textFill>
        </w:rPr>
        <w:t>投标文件解密失败的补救方案：</w:t>
      </w:r>
    </w:p>
    <w:p w14:paraId="2D1DE68F">
      <w:pPr>
        <w:keepNext w:val="0"/>
        <w:keepLines w:val="0"/>
        <w:pageBreakBefore w:val="0"/>
        <w:wordWrap w:val="0"/>
        <w:overflowPunct/>
        <w:topLinePunct w:val="0"/>
        <w:bidi w:val="0"/>
        <w:spacing w:before="115" w:line="298" w:lineRule="auto"/>
        <w:ind w:right="81" w:firstLine="480"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 30 分钟内）内</w:t>
      </w:r>
      <w:bookmarkStart w:id="59" w:name="bookmark122"/>
      <w:bookmarkEnd w:id="59"/>
      <w:r>
        <w:rPr>
          <w:rFonts w:hint="eastAsia" w:ascii="宋体" w:hAnsi="宋体" w:eastAsia="宋体" w:cs="宋体"/>
          <w:color w:val="000000" w:themeColor="text1"/>
          <w:spacing w:val="0"/>
          <w:sz w:val="24"/>
          <w:szCs w:val="24"/>
          <w:highlight w:val="none"/>
          <w14:textFill>
            <w14:solidFill>
              <w14:schemeClr w14:val="tx1"/>
            </w14:solidFill>
          </w14:textFill>
        </w:rPr>
        <w:t>重新提交投标文件继续开标程序。</w:t>
      </w:r>
    </w:p>
    <w:p w14:paraId="0F175F6A">
      <w:pPr>
        <w:keepNext w:val="0"/>
        <w:keepLines w:val="0"/>
        <w:pageBreakBefore w:val="0"/>
        <w:wordWrap w:val="0"/>
        <w:overflowPunct/>
        <w:topLinePunct w:val="0"/>
        <w:bidi w:val="0"/>
        <w:spacing w:before="114" w:line="220"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12.2.2  </w:t>
      </w:r>
      <w:r>
        <w:rPr>
          <w:rFonts w:hint="eastAsia" w:ascii="宋体" w:hAnsi="宋体" w:eastAsia="宋体" w:cs="宋体"/>
          <w:color w:val="000000" w:themeColor="text1"/>
          <w:spacing w:val="0"/>
          <w:sz w:val="24"/>
          <w:szCs w:val="24"/>
          <w:highlight w:val="none"/>
          <w14:textFill>
            <w14:solidFill>
              <w14:schemeClr w14:val="tx1"/>
            </w14:solidFill>
          </w14:textFill>
        </w:rPr>
        <w:t>评标时突发情况的补救方案</w:t>
      </w:r>
    </w:p>
    <w:p w14:paraId="5863CD1F">
      <w:pPr>
        <w:keepNext w:val="0"/>
        <w:keepLines w:val="0"/>
        <w:pageBreakBefore w:val="0"/>
        <w:wordWrap w:val="0"/>
        <w:overflowPunct/>
        <w:topLinePunct w:val="0"/>
        <w:bidi w:val="0"/>
        <w:spacing w:before="114" w:line="303" w:lineRule="auto"/>
        <w:ind w:right="81" w:firstLine="480"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在评标过程中，因主场或副场网络故障、电子设备或者评标系统故障，以及其他原因导致无法继续进行评标时，在 4 小时以内解除故障的可继续评标，超过 4 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58ACD5FB">
      <w:pPr>
        <w:keepNext w:val="0"/>
        <w:keepLines w:val="0"/>
        <w:pageBreakBefore w:val="0"/>
        <w:wordWrap w:val="0"/>
        <w:overflowPunct/>
        <w:topLinePunct w:val="0"/>
        <w:bidi w:val="0"/>
        <w:spacing w:before="69" w:line="324" w:lineRule="auto"/>
        <w:ind w:left="11" w:right="81" w:firstLine="484"/>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12.2.3  </w:t>
      </w:r>
      <w:r>
        <w:rPr>
          <w:rFonts w:hint="eastAsia" w:ascii="宋体" w:hAnsi="宋体" w:eastAsia="宋体" w:cs="宋体"/>
          <w:color w:val="000000" w:themeColor="text1"/>
          <w:spacing w:val="0"/>
          <w:sz w:val="24"/>
          <w:szCs w:val="24"/>
          <w:highlight w:val="none"/>
          <w14:textFill>
            <w14:solidFill>
              <w14:schemeClr w14:val="tx1"/>
            </w14:solidFill>
          </w14:textFill>
        </w:rPr>
        <w:t>除发生上述情况外，开标评标均以投标人（联合体投标的，由联合体牵头人）通过交易平台网上递交的电子投标文件为准。</w:t>
      </w:r>
    </w:p>
    <w:p w14:paraId="5DCEDB99">
      <w:pPr>
        <w:keepNext w:val="0"/>
        <w:keepLines w:val="0"/>
        <w:pageBreakBefore w:val="0"/>
        <w:wordWrap w:val="0"/>
        <w:overflowPunct/>
        <w:topLinePunct w:val="0"/>
        <w:bidi w:val="0"/>
        <w:spacing w:before="78" w:line="220" w:lineRule="auto"/>
        <w:ind w:left="496"/>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60" w:name="_Toc7358"/>
      <w:bookmarkStart w:id="61" w:name="_Toc27195"/>
      <w:r>
        <w:rPr>
          <w:rFonts w:hint="eastAsia" w:ascii="宋体" w:hAnsi="宋体" w:eastAsia="宋体" w:cs="宋体"/>
          <w:b/>
          <w:bCs/>
          <w:color w:val="000000" w:themeColor="text1"/>
          <w:spacing w:val="0"/>
          <w:sz w:val="24"/>
          <w:szCs w:val="24"/>
          <w:highlight w:val="none"/>
          <w14:textFill>
            <w14:solidFill>
              <w14:schemeClr w14:val="tx1"/>
            </w14:solidFill>
          </w14:textFill>
        </w:rPr>
        <w:t>13 ．投标文件的提交</w:t>
      </w:r>
      <w:bookmarkEnd w:id="60"/>
      <w:bookmarkEnd w:id="61"/>
    </w:p>
    <w:p w14:paraId="7068EE2E">
      <w:pPr>
        <w:keepNext w:val="0"/>
        <w:keepLines w:val="0"/>
        <w:pageBreakBefore w:val="0"/>
        <w:wordWrap w:val="0"/>
        <w:overflowPunct/>
        <w:topLinePunct w:val="0"/>
        <w:bidi w:val="0"/>
        <w:spacing w:before="123" w:line="278" w:lineRule="auto"/>
        <w:ind w:left="13" w:right="81" w:firstLine="48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13.1  </w:t>
      </w:r>
      <w:r>
        <w:rPr>
          <w:rFonts w:hint="eastAsia" w:ascii="宋体" w:hAnsi="宋体" w:eastAsia="宋体" w:cs="宋体"/>
          <w:color w:val="000000" w:themeColor="text1"/>
          <w:spacing w:val="0"/>
          <w:sz w:val="24"/>
          <w:szCs w:val="24"/>
          <w:highlight w:val="none"/>
          <w14:textFill>
            <w14:solidFill>
              <w14:schemeClr w14:val="tx1"/>
            </w14:solidFill>
          </w14:textFill>
        </w:rPr>
        <w:t>在投标文件提交截止时间前，投标人通过全国公共资源交易平台（广东省 ·韶关市）提交已加密投标文件。逾期提交的电子投标文件，全国公共资源交易平台（广东省 ·韶关市）将予以拒收。</w:t>
      </w:r>
    </w:p>
    <w:p w14:paraId="09924D0F">
      <w:pPr>
        <w:keepNext w:val="0"/>
        <w:keepLines w:val="0"/>
        <w:pageBreakBefore w:val="0"/>
        <w:wordWrap w:val="0"/>
        <w:overflowPunct/>
        <w:topLinePunct w:val="0"/>
        <w:bidi w:val="0"/>
        <w:spacing w:before="115" w:line="219"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13.2  </w:t>
      </w:r>
      <w:r>
        <w:rPr>
          <w:rFonts w:hint="eastAsia" w:ascii="宋体" w:hAnsi="宋体" w:eastAsia="宋体" w:cs="宋体"/>
          <w:color w:val="000000" w:themeColor="text1"/>
          <w:spacing w:val="0"/>
          <w:sz w:val="24"/>
          <w:szCs w:val="24"/>
          <w:highlight w:val="none"/>
          <w14:textFill>
            <w14:solidFill>
              <w14:schemeClr w14:val="tx1"/>
            </w14:solidFill>
          </w14:textFill>
        </w:rPr>
        <w:t>提交时间和地点：见本章第二节“重要事项时间地点一览表 ”</w:t>
      </w:r>
    </w:p>
    <w:p w14:paraId="683F40A3">
      <w:pPr>
        <w:keepNext w:val="0"/>
        <w:keepLines w:val="0"/>
        <w:pageBreakBefore w:val="0"/>
        <w:wordWrap w:val="0"/>
        <w:overflowPunct/>
        <w:topLinePunct w:val="0"/>
        <w:bidi w:val="0"/>
        <w:spacing w:before="113" w:line="279" w:lineRule="auto"/>
        <w:ind w:left="9" w:right="24" w:firstLine="48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13.3  </w:t>
      </w:r>
      <w:r>
        <w:rPr>
          <w:rFonts w:hint="eastAsia" w:ascii="宋体" w:hAnsi="宋体" w:eastAsia="宋体" w:cs="宋体"/>
          <w:color w:val="000000" w:themeColor="text1"/>
          <w:spacing w:val="0"/>
          <w:sz w:val="24"/>
          <w:szCs w:val="24"/>
          <w:highlight w:val="none"/>
          <w14:textFill>
            <w14:solidFill>
              <w14:schemeClr w14:val="tx1"/>
            </w14:solidFill>
          </w14:textFill>
        </w:rPr>
        <w:t>递交时间和地点：投标人如有招标文件要求提交的用于评审的证书、证件、证明原件（附一式两份清单），由投标人法定代表人或其委托代理人在指定的时间和地点递交（见“重要事项时间地点一览表 ”）。</w:t>
      </w:r>
    </w:p>
    <w:p w14:paraId="1E722792">
      <w:pPr>
        <w:keepNext w:val="0"/>
        <w:keepLines w:val="0"/>
        <w:pageBreakBefore w:val="0"/>
        <w:wordWrap w:val="0"/>
        <w:overflowPunct/>
        <w:topLinePunct w:val="0"/>
        <w:bidi w:val="0"/>
        <w:spacing w:before="112" w:line="219" w:lineRule="auto"/>
        <w:ind w:firstLine="482" w:firstLineChars="20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13.4  </w:t>
      </w:r>
      <w:r>
        <w:rPr>
          <w:rFonts w:hint="eastAsia" w:ascii="宋体" w:hAnsi="宋体" w:eastAsia="宋体" w:cs="宋体"/>
          <w:color w:val="000000" w:themeColor="text1"/>
          <w:spacing w:val="0"/>
          <w:sz w:val="24"/>
          <w:szCs w:val="24"/>
          <w:highlight w:val="none"/>
          <w14:textFill>
            <w14:solidFill>
              <w14:schemeClr w14:val="tx1"/>
            </w14:solidFill>
          </w14:textFill>
        </w:rPr>
        <w:t>代理机构对因不可抗力事件造成的投标文件的损坏、丢失的，不承担责任。</w:t>
      </w:r>
    </w:p>
    <w:p w14:paraId="458845F2">
      <w:pPr>
        <w:keepNext w:val="0"/>
        <w:keepLines w:val="0"/>
        <w:pageBreakBefore w:val="0"/>
        <w:wordWrap w:val="0"/>
        <w:overflowPunct/>
        <w:topLinePunct w:val="0"/>
        <w:bidi w:val="0"/>
        <w:spacing w:before="116" w:line="220"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13.5  </w:t>
      </w:r>
      <w:r>
        <w:rPr>
          <w:rFonts w:hint="eastAsia" w:ascii="宋体" w:hAnsi="宋体" w:eastAsia="宋体" w:cs="宋体"/>
          <w:color w:val="000000" w:themeColor="text1"/>
          <w:spacing w:val="0"/>
          <w:sz w:val="24"/>
          <w:szCs w:val="24"/>
          <w:highlight w:val="none"/>
          <w14:textFill>
            <w14:solidFill>
              <w14:schemeClr w14:val="tx1"/>
            </w14:solidFill>
          </w14:textFill>
        </w:rPr>
        <w:t>出现下述情形之一，属于未成功提交投标文件，按无效投标处理：</w:t>
      </w:r>
    </w:p>
    <w:p w14:paraId="26FD4E45">
      <w:pPr>
        <w:keepNext w:val="0"/>
        <w:keepLines w:val="0"/>
        <w:pageBreakBefore w:val="0"/>
        <w:wordWrap w:val="0"/>
        <w:overflowPunct/>
        <w:topLinePunct w:val="0"/>
        <w:bidi w:val="0"/>
        <w:spacing w:before="115" w:line="219" w:lineRule="auto"/>
        <w:ind w:left="74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（1）至提交投标文件截止时，投标文件未完整上传及提交标书；</w:t>
      </w:r>
    </w:p>
    <w:p w14:paraId="0801F50A">
      <w:pPr>
        <w:keepNext w:val="0"/>
        <w:keepLines w:val="0"/>
        <w:pageBreakBefore w:val="0"/>
        <w:wordWrap w:val="0"/>
        <w:overflowPunct/>
        <w:topLinePunct w:val="0"/>
        <w:bidi w:val="0"/>
        <w:spacing w:before="114" w:line="220" w:lineRule="auto"/>
        <w:ind w:left="74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（2）解密失败且在规定时间内未重新提交投标文件的；</w:t>
      </w:r>
    </w:p>
    <w:p w14:paraId="04D5C6EB">
      <w:pPr>
        <w:keepNext w:val="0"/>
        <w:keepLines w:val="0"/>
        <w:pageBreakBefore w:val="0"/>
        <w:wordWrap w:val="0"/>
        <w:overflowPunct/>
        <w:topLinePunct w:val="0"/>
        <w:bidi w:val="0"/>
        <w:spacing w:before="115" w:line="220" w:lineRule="auto"/>
        <w:ind w:left="74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（3）投标文件损坏或格式不正确的；</w:t>
      </w:r>
    </w:p>
    <w:p w14:paraId="43D9083E">
      <w:pPr>
        <w:keepNext w:val="0"/>
        <w:keepLines w:val="0"/>
        <w:pageBreakBefore w:val="0"/>
        <w:wordWrap w:val="0"/>
        <w:overflowPunct/>
        <w:topLinePunct w:val="0"/>
        <w:bidi w:val="0"/>
        <w:spacing w:before="115" w:line="219"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13.6  </w:t>
      </w:r>
      <w:r>
        <w:rPr>
          <w:rFonts w:hint="eastAsia" w:ascii="宋体" w:hAnsi="宋体" w:eastAsia="宋体" w:cs="宋体"/>
          <w:color w:val="000000" w:themeColor="text1"/>
          <w:spacing w:val="0"/>
          <w:sz w:val="24"/>
          <w:szCs w:val="24"/>
          <w:highlight w:val="none"/>
          <w14:textFill>
            <w14:solidFill>
              <w14:schemeClr w14:val="tx1"/>
            </w14:solidFill>
          </w14:textFill>
        </w:rPr>
        <w:t>联合体投标的，由联合体牵头人按以上要求递交相关资料。</w:t>
      </w:r>
    </w:p>
    <w:p w14:paraId="7FCFB836">
      <w:pPr>
        <w:keepNext w:val="0"/>
        <w:keepLines w:val="0"/>
        <w:pageBreakBefore w:val="0"/>
        <w:widowControl/>
        <w:kinsoku w:val="0"/>
        <w:wordWrap w:val="0"/>
        <w:overflowPunct/>
        <w:topLinePunct w:val="0"/>
        <w:autoSpaceDE w:val="0"/>
        <w:autoSpaceDN w:val="0"/>
        <w:bidi w:val="0"/>
        <w:adjustRightInd w:val="0"/>
        <w:snapToGrid w:val="0"/>
        <w:spacing w:before="113" w:line="286" w:lineRule="auto"/>
        <w:ind w:left="11" w:right="23" w:firstLine="488"/>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13.7  </w:t>
      </w:r>
      <w:r>
        <w:rPr>
          <w:rFonts w:hint="eastAsia" w:ascii="宋体" w:hAnsi="宋体" w:eastAsia="宋体" w:cs="宋体"/>
          <w:color w:val="000000" w:themeColor="text1"/>
          <w:spacing w:val="0"/>
          <w:sz w:val="24"/>
          <w:szCs w:val="24"/>
          <w:highlight w:val="none"/>
          <w14:textFill>
            <w14:solidFill>
              <w14:schemeClr w14:val="tx1"/>
            </w14:solidFill>
          </w14:textFill>
        </w:rPr>
        <w:t>招标人或其授权的招标代理机构核对、接收投标人递交的投标相关资料后，应向投标人出具标明签收人和签收时间的凭证，并妥善保管。</w:t>
      </w:r>
    </w:p>
    <w:p w14:paraId="465B9D6E">
      <w:pPr>
        <w:keepNext w:val="0"/>
        <w:keepLines w:val="0"/>
        <w:pageBreakBefore w:val="0"/>
        <w:wordWrap w:val="0"/>
        <w:overflowPunct/>
        <w:topLinePunct w:val="0"/>
        <w:bidi w:val="0"/>
        <w:spacing w:before="113" w:line="279" w:lineRule="auto"/>
        <w:ind w:left="9" w:right="24" w:firstLine="48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13.8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本次招标投标有效期为</w:t>
      </w:r>
      <w:r>
        <w:rPr>
          <w:rFonts w:hint="eastAsia" w:ascii="宋体" w:hAnsi="宋体" w:eastAsia="宋体" w:cs="宋体"/>
          <w:color w:val="000000" w:themeColor="text1"/>
          <w:spacing w:val="0"/>
          <w:sz w:val="24"/>
          <w:szCs w:val="24"/>
          <w:highlight w:val="none"/>
          <w:u w:val="single"/>
          <w:lang w:eastAsia="zh-CN"/>
          <w14:textFill>
            <w14:solidFill>
              <w14:schemeClr w14:val="tx1"/>
            </w14:solidFill>
          </w14:textFill>
        </w:rPr>
        <w:t>90</w:t>
      </w:r>
      <w:r>
        <w:rPr>
          <w:rFonts w:hint="eastAsia" w:ascii="宋体" w:hAnsi="宋体" w:eastAsia="宋体" w:cs="宋体"/>
          <w:color w:val="000000" w:themeColor="text1"/>
          <w:spacing w:val="0"/>
          <w:sz w:val="24"/>
          <w:szCs w:val="24"/>
          <w:highlight w:val="none"/>
          <w14:textFill>
            <w14:solidFill>
              <w14:schemeClr w14:val="tx1"/>
            </w14:solidFill>
          </w14:textFill>
        </w:rPr>
        <w:t>个日历天，投标有效期从提交投标文件的截止之日起计算。在此期间，投标人不得撤销或修改其投标文件，否则其投标保证不予退还。</w:t>
      </w:r>
    </w:p>
    <w:p w14:paraId="2CB00EB8">
      <w:pPr>
        <w:keepNext w:val="0"/>
        <w:keepLines w:val="0"/>
        <w:pageBreakBefore w:val="0"/>
        <w:wordWrap w:val="0"/>
        <w:overflowPunct/>
        <w:topLinePunct w:val="0"/>
        <w:bidi w:val="0"/>
        <w:spacing w:before="145" w:line="221" w:lineRule="auto"/>
        <w:ind w:left="496"/>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62" w:name="_Toc22047"/>
      <w:bookmarkStart w:id="63" w:name="_Toc18822"/>
      <w:r>
        <w:rPr>
          <w:rFonts w:hint="eastAsia" w:ascii="宋体" w:hAnsi="宋体" w:eastAsia="宋体" w:cs="宋体"/>
          <w:b/>
          <w:bCs/>
          <w:color w:val="000000" w:themeColor="text1"/>
          <w:spacing w:val="0"/>
          <w:sz w:val="24"/>
          <w:szCs w:val="24"/>
          <w:highlight w:val="none"/>
          <w14:textFill>
            <w14:solidFill>
              <w14:schemeClr w14:val="tx1"/>
            </w14:solidFill>
          </w14:textFill>
        </w:rPr>
        <w:t>14 ．开标</w:t>
      </w:r>
      <w:bookmarkEnd w:id="62"/>
      <w:bookmarkEnd w:id="63"/>
    </w:p>
    <w:p w14:paraId="034EB3D3">
      <w:pPr>
        <w:keepNext w:val="0"/>
        <w:keepLines w:val="0"/>
        <w:pageBreakBefore w:val="0"/>
        <w:wordWrap w:val="0"/>
        <w:overflowPunct/>
        <w:topLinePunct w:val="0"/>
        <w:bidi w:val="0"/>
        <w:spacing w:before="155" w:line="329" w:lineRule="auto"/>
        <w:ind w:left="10" w:right="81" w:firstLine="485"/>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14.1  </w:t>
      </w:r>
      <w:r>
        <w:rPr>
          <w:rFonts w:hint="eastAsia" w:ascii="宋体" w:hAnsi="宋体" w:eastAsia="宋体" w:cs="宋体"/>
          <w:color w:val="000000" w:themeColor="text1"/>
          <w:spacing w:val="0"/>
          <w:sz w:val="24"/>
          <w:szCs w:val="24"/>
          <w:highlight w:val="none"/>
          <w14:textFill>
            <w14:solidFill>
              <w14:schemeClr w14:val="tx1"/>
            </w14:solidFill>
          </w14:textFill>
        </w:rPr>
        <w:t>招标人邀请所有正确获取招标文件、电子投标、缴纳投标保证的投标人参加开标，投标人可自主决定是否参加。投标人可登陆交易平台观看开标实况、提出异议或进行澄清、确认等操作（具体按招标文件和系统操作手册为准）。投标人不参加开</w:t>
      </w:r>
      <w:bookmarkStart w:id="64" w:name="bookmark123"/>
      <w:bookmarkEnd w:id="64"/>
      <w:r>
        <w:rPr>
          <w:rFonts w:hint="eastAsia" w:ascii="宋体" w:hAnsi="宋体" w:eastAsia="宋体" w:cs="宋体"/>
          <w:color w:val="000000" w:themeColor="text1"/>
          <w:spacing w:val="0"/>
          <w:sz w:val="24"/>
          <w:szCs w:val="24"/>
          <w:highlight w:val="none"/>
          <w14:textFill>
            <w14:solidFill>
              <w14:schemeClr w14:val="tx1"/>
            </w14:solidFill>
          </w14:textFill>
        </w:rPr>
        <w:t>标的，视其默认开标结果，以及放弃在开标期间见证、监督、投诉、申辩的权利。</w:t>
      </w:r>
    </w:p>
    <w:p w14:paraId="05862D79">
      <w:pPr>
        <w:keepNext w:val="0"/>
        <w:keepLines w:val="0"/>
        <w:pageBreakBefore w:val="0"/>
        <w:wordWrap w:val="0"/>
        <w:overflowPunct/>
        <w:topLinePunct w:val="0"/>
        <w:bidi w:val="0"/>
        <w:spacing w:before="156" w:line="219"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14.1.1  </w:t>
      </w:r>
      <w:r>
        <w:rPr>
          <w:rFonts w:hint="eastAsia" w:ascii="宋体" w:hAnsi="宋体" w:eastAsia="宋体" w:cs="宋体"/>
          <w:color w:val="000000" w:themeColor="text1"/>
          <w:spacing w:val="0"/>
          <w:sz w:val="24"/>
          <w:szCs w:val="24"/>
          <w:highlight w:val="none"/>
          <w14:textFill>
            <w14:solidFill>
              <w14:schemeClr w14:val="tx1"/>
            </w14:solidFill>
          </w14:textFill>
        </w:rPr>
        <w:t>开标时间和地点：见本章第二节“重要事项时间地点一览表 ”。</w:t>
      </w:r>
    </w:p>
    <w:p w14:paraId="08F091B7">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14.1.2 </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开标前 24 小时，若建设工程交易系统显示缴纳投标保证（包括投标保证金、投标保证担保、投标保证保险）的投标人数量不足 3 个时，招标人将取消原定于次日召开的开标活动。投标人可在投标保证缴纳截止时间（见本章第二节“重要事项时间 地点一览表 ”）至电子投标截止时间（见本章第二节“重要事项时间地点一览表 ”） 期间登录全国公共资源交易平台（广东省 ·韶关市）（https://ygp.gdzwfw.gov.cn/ ggzy-portal/#/440200/index）查询是否发布了取消开标活动的相关信息。</w:t>
      </w:r>
    </w:p>
    <w:p w14:paraId="55E539B0">
      <w:pPr>
        <w:keepNext w:val="0"/>
        <w:keepLines w:val="0"/>
        <w:pageBreakBefore w:val="0"/>
        <w:wordWrap w:val="0"/>
        <w:overflowPunct/>
        <w:topLinePunct w:val="0"/>
        <w:bidi w:val="0"/>
        <w:spacing w:before="159" w:line="319" w:lineRule="auto"/>
        <w:ind w:left="10" w:right="80" w:firstLine="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14.1.3</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本项目实行全流程电子化招标投标，投标人在交易平台按要求上传加盖电子印章并经加密的电子投标文件，并在交易平台录入准确的页码信息即可完成在线投标</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7A2CFB6D">
      <w:pPr>
        <w:keepNext w:val="0"/>
        <w:keepLines w:val="0"/>
        <w:pageBreakBefore w:val="0"/>
        <w:wordWrap w:val="0"/>
        <w:overflowPunct/>
        <w:topLinePunct w:val="0"/>
        <w:bidi w:val="0"/>
        <w:spacing w:before="152" w:line="221"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14.2  </w:t>
      </w:r>
      <w:r>
        <w:rPr>
          <w:rFonts w:hint="eastAsia" w:ascii="宋体" w:hAnsi="宋体" w:eastAsia="宋体" w:cs="宋体"/>
          <w:color w:val="000000" w:themeColor="text1"/>
          <w:spacing w:val="0"/>
          <w:sz w:val="24"/>
          <w:szCs w:val="24"/>
          <w:highlight w:val="none"/>
          <w14:textFill>
            <w14:solidFill>
              <w14:schemeClr w14:val="tx1"/>
            </w14:solidFill>
          </w14:textFill>
        </w:rPr>
        <w:t>开标程序</w:t>
      </w:r>
    </w:p>
    <w:p w14:paraId="48C37DE6">
      <w:pPr>
        <w:keepNext w:val="0"/>
        <w:keepLines w:val="0"/>
        <w:pageBreakBefore w:val="0"/>
        <w:wordWrap w:val="0"/>
        <w:overflowPunct/>
        <w:topLinePunct w:val="0"/>
        <w:bidi w:val="0"/>
        <w:spacing w:before="42" w:line="219" w:lineRule="auto"/>
        <w:ind w:left="501"/>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65" w:name="_Toc8314"/>
      <w:bookmarkStart w:id="66" w:name="_Toc10291"/>
      <w:bookmarkStart w:id="67" w:name="_Toc10685"/>
      <w:bookmarkStart w:id="68" w:name="_Toc15587"/>
      <w:r>
        <w:rPr>
          <w:rFonts w:hint="eastAsia" w:ascii="宋体" w:hAnsi="宋体" w:eastAsia="宋体" w:cs="宋体"/>
          <w:color w:val="000000" w:themeColor="text1"/>
          <w:spacing w:val="0"/>
          <w:sz w:val="24"/>
          <w:szCs w:val="24"/>
          <w:highlight w:val="none"/>
          <w14:textFill>
            <w14:solidFill>
              <w14:schemeClr w14:val="tx1"/>
            </w14:solidFill>
          </w14:textFill>
        </w:rPr>
        <w:t>（1）主持人（招标人代表或招标人授权的招标代理机构人员）宣读开标纪律。</w:t>
      </w:r>
      <w:bookmarkEnd w:id="65"/>
      <w:bookmarkEnd w:id="66"/>
      <w:bookmarkEnd w:id="67"/>
      <w:bookmarkEnd w:id="68"/>
    </w:p>
    <w:p w14:paraId="776645C0">
      <w:pPr>
        <w:keepNext w:val="0"/>
        <w:keepLines w:val="0"/>
        <w:pageBreakBefore w:val="0"/>
        <w:wordWrap w:val="0"/>
        <w:overflowPunct/>
        <w:topLinePunct w:val="0"/>
        <w:bidi w:val="0"/>
        <w:spacing w:before="181" w:line="219" w:lineRule="auto"/>
        <w:ind w:left="501"/>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69" w:name="_Toc20238"/>
      <w:bookmarkStart w:id="70" w:name="_Toc16292"/>
      <w:bookmarkStart w:id="71" w:name="_Toc2011"/>
      <w:bookmarkStart w:id="72" w:name="_Toc30853"/>
      <w:r>
        <w:rPr>
          <w:rFonts w:hint="eastAsia" w:ascii="宋体" w:hAnsi="宋体" w:eastAsia="宋体" w:cs="宋体"/>
          <w:color w:val="000000" w:themeColor="text1"/>
          <w:spacing w:val="0"/>
          <w:sz w:val="24"/>
          <w:szCs w:val="24"/>
          <w:highlight w:val="none"/>
          <w14:textFill>
            <w14:solidFill>
              <w14:schemeClr w14:val="tx1"/>
            </w14:solidFill>
          </w14:textFill>
        </w:rPr>
        <w:t>（2）主持人宣布唱标人、记录人、见证人、监督人等有关人员姓名。</w:t>
      </w:r>
      <w:bookmarkEnd w:id="69"/>
      <w:bookmarkEnd w:id="70"/>
      <w:bookmarkEnd w:id="71"/>
      <w:bookmarkEnd w:id="72"/>
    </w:p>
    <w:p w14:paraId="505384A6">
      <w:pPr>
        <w:keepNext w:val="0"/>
        <w:keepLines w:val="0"/>
        <w:pageBreakBefore w:val="0"/>
        <w:wordWrap w:val="0"/>
        <w:overflowPunct/>
        <w:topLinePunct w:val="0"/>
        <w:bidi w:val="0"/>
        <w:spacing w:before="183" w:line="219" w:lineRule="auto"/>
        <w:ind w:left="501"/>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73" w:name="_Toc17462"/>
      <w:bookmarkStart w:id="74" w:name="_Toc26494"/>
      <w:bookmarkStart w:id="75" w:name="_Toc31716"/>
      <w:bookmarkStart w:id="76" w:name="_Toc1974"/>
      <w:r>
        <w:rPr>
          <w:rFonts w:hint="eastAsia" w:ascii="宋体" w:hAnsi="宋体" w:eastAsia="宋体" w:cs="宋体"/>
          <w:color w:val="000000" w:themeColor="text1"/>
          <w:spacing w:val="0"/>
          <w:sz w:val="24"/>
          <w:szCs w:val="24"/>
          <w:highlight w:val="none"/>
          <w14:textFill>
            <w14:solidFill>
              <w14:schemeClr w14:val="tx1"/>
            </w14:solidFill>
          </w14:textFill>
        </w:rPr>
        <w:t>（3）唱标人公布在投标截止时间前进行投标文件的投标人数量和名称</w:t>
      </w:r>
      <w:bookmarkEnd w:id="73"/>
      <w:bookmarkEnd w:id="74"/>
      <w:bookmarkEnd w:id="75"/>
      <w:bookmarkEnd w:id="76"/>
    </w:p>
    <w:p w14:paraId="224B54ED">
      <w:pPr>
        <w:keepNext w:val="0"/>
        <w:keepLines w:val="0"/>
        <w:pageBreakBefore w:val="0"/>
        <w:wordWrap w:val="0"/>
        <w:overflowPunct/>
        <w:topLinePunct w:val="0"/>
        <w:bidi w:val="0"/>
        <w:spacing w:before="181" w:line="219" w:lineRule="auto"/>
        <w:ind w:left="501"/>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77" w:name="_Toc27967"/>
      <w:bookmarkStart w:id="78" w:name="_Toc8179"/>
      <w:bookmarkStart w:id="79" w:name="_Toc20559"/>
      <w:bookmarkStart w:id="80" w:name="_Toc15860"/>
      <w:r>
        <w:rPr>
          <w:rFonts w:hint="eastAsia" w:ascii="宋体" w:hAnsi="宋体" w:eastAsia="宋体" w:cs="宋体"/>
          <w:color w:val="000000" w:themeColor="text1"/>
          <w:spacing w:val="0"/>
          <w:sz w:val="24"/>
          <w:szCs w:val="24"/>
          <w:highlight w:val="none"/>
          <w14:textFill>
            <w14:solidFill>
              <w14:schemeClr w14:val="tx1"/>
            </w14:solidFill>
          </w14:textFill>
        </w:rPr>
        <w:t>（4）招标代理机构会同交易场所工作人员对投标人的电子投标信息进行解密，</w:t>
      </w:r>
      <w:bookmarkEnd w:id="77"/>
      <w:bookmarkEnd w:id="78"/>
      <w:bookmarkEnd w:id="79"/>
      <w:bookmarkEnd w:id="80"/>
    </w:p>
    <w:p w14:paraId="0C0A9C7B">
      <w:pPr>
        <w:keepNext w:val="0"/>
        <w:keepLines w:val="0"/>
        <w:pageBreakBefore w:val="0"/>
        <w:wordWrap w:val="0"/>
        <w:overflowPunct/>
        <w:topLinePunct w:val="0"/>
        <w:bidi w:val="0"/>
        <w:spacing w:before="183" w:line="220" w:lineRule="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建设工程交易系统自动生成《投标保证缴纳情况表》和《开标一览表》。</w:t>
      </w:r>
    </w:p>
    <w:p w14:paraId="7C434C90">
      <w:pPr>
        <w:keepNext w:val="0"/>
        <w:keepLines w:val="0"/>
        <w:pageBreakBefore w:val="0"/>
        <w:wordWrap w:val="0"/>
        <w:overflowPunct/>
        <w:topLinePunct w:val="0"/>
        <w:bidi w:val="0"/>
        <w:spacing w:before="182" w:line="360" w:lineRule="auto"/>
        <w:ind w:firstLine="482" w:firstLineChars="200"/>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81" w:name="_Toc28266"/>
      <w:bookmarkStart w:id="82" w:name="_Toc28812"/>
      <w:bookmarkStart w:id="83" w:name="_Toc2199"/>
      <w:bookmarkStart w:id="84" w:name="_Toc26216"/>
      <w:r>
        <w:rPr>
          <w:rFonts w:hint="eastAsia" w:ascii="宋体" w:hAnsi="宋体" w:eastAsia="宋体" w:cs="宋体"/>
          <w:b/>
          <w:bCs/>
          <w:color w:val="000000" w:themeColor="text1"/>
          <w:spacing w:val="0"/>
          <w:sz w:val="24"/>
          <w:szCs w:val="24"/>
          <w:highlight w:val="none"/>
          <w14:textFill>
            <w14:solidFill>
              <w14:schemeClr w14:val="tx1"/>
            </w14:solidFill>
          </w14:textFill>
        </w:rPr>
        <w:t>温馨提示：因本项目实行全流程电子化招标投标，投标人无须进行现场签到，可</w:t>
      </w:r>
      <w:bookmarkEnd w:id="81"/>
      <w:bookmarkEnd w:id="82"/>
      <w:bookmarkEnd w:id="83"/>
      <w:r>
        <w:rPr>
          <w:rFonts w:hint="eastAsia" w:ascii="宋体" w:hAnsi="宋体" w:eastAsia="宋体" w:cs="宋体"/>
          <w:b/>
          <w:bCs/>
          <w:color w:val="000000" w:themeColor="text1"/>
          <w:spacing w:val="0"/>
          <w:sz w:val="24"/>
          <w:szCs w:val="24"/>
          <w:highlight w:val="none"/>
          <w14:textFill>
            <w14:solidFill>
              <w14:schemeClr w14:val="tx1"/>
            </w14:solidFill>
          </w14:textFill>
        </w:rPr>
        <w:t>登录交易平台观看开标实况、提出异议或进行澄清、确认等操作，对开标事项的异议未在开标期间提出的，招标</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人不</w:t>
      </w:r>
      <w:r>
        <w:rPr>
          <w:rFonts w:hint="eastAsia" w:ascii="宋体" w:hAnsi="宋体" w:eastAsia="宋体" w:cs="宋体"/>
          <w:b/>
          <w:bCs/>
          <w:color w:val="000000" w:themeColor="text1"/>
          <w:spacing w:val="0"/>
          <w:sz w:val="24"/>
          <w:szCs w:val="24"/>
          <w:highlight w:val="none"/>
          <w14:textFill>
            <w14:solidFill>
              <w14:schemeClr w14:val="tx1"/>
            </w14:solidFill>
          </w14:textFill>
        </w:rPr>
        <w:t>予受理。具体按招标文件和系统操作手册为准。</w:t>
      </w:r>
      <w:bookmarkEnd w:id="84"/>
    </w:p>
    <w:p w14:paraId="29DDC04A">
      <w:pPr>
        <w:keepNext w:val="0"/>
        <w:keepLines w:val="0"/>
        <w:pageBreakBefore w:val="0"/>
        <w:wordWrap w:val="0"/>
        <w:overflowPunct/>
        <w:topLinePunct w:val="0"/>
        <w:bidi w:val="0"/>
        <w:spacing w:before="143" w:line="299" w:lineRule="auto"/>
        <w:ind w:left="11" w:right="80" w:firstLine="48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14.3  </w:t>
      </w:r>
      <w:r>
        <w:rPr>
          <w:rFonts w:hint="eastAsia" w:ascii="宋体" w:hAnsi="宋体" w:eastAsia="宋体" w:cs="宋体"/>
          <w:color w:val="000000" w:themeColor="text1"/>
          <w:spacing w:val="0"/>
          <w:sz w:val="24"/>
          <w:szCs w:val="24"/>
          <w:highlight w:val="none"/>
          <w14:textFill>
            <w14:solidFill>
              <w14:schemeClr w14:val="tx1"/>
            </w14:solidFill>
          </w14:textFill>
        </w:rPr>
        <w:t>投标人对开标相关事项（如开标程序等）有异议的，必须在开标期间和开标现场提出，招标人或其授权的招标代理机构应当场作出答复，并记录在案。对开标事项的异议未在开标期间和开标现场提出的，招标人不予受理。</w:t>
      </w:r>
    </w:p>
    <w:p w14:paraId="1DB30EA2">
      <w:pPr>
        <w:keepNext w:val="0"/>
        <w:keepLines w:val="0"/>
        <w:pageBreakBefore w:val="0"/>
        <w:wordWrap w:val="0"/>
        <w:overflowPunct/>
        <w:topLinePunct w:val="0"/>
        <w:bidi w:val="0"/>
        <w:spacing w:before="155" w:line="279" w:lineRule="auto"/>
        <w:ind w:left="8" w:right="82" w:firstLine="487"/>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14.4 </w:t>
      </w:r>
      <w:r>
        <w:rPr>
          <w:rFonts w:hint="eastAsia" w:ascii="宋体" w:hAnsi="宋体" w:eastAsia="宋体" w:cs="宋体"/>
          <w:color w:val="000000" w:themeColor="text1"/>
          <w:spacing w:val="0"/>
          <w:sz w:val="24"/>
          <w:szCs w:val="24"/>
          <w:highlight w:val="none"/>
          <w14:textFill>
            <w14:solidFill>
              <w14:schemeClr w14:val="tx1"/>
            </w14:solidFill>
          </w14:textFill>
        </w:rPr>
        <w:t>招标代理机构将资料原件（如有）、《开标一览表》以及其他有关资料移交评标委员会。</w:t>
      </w:r>
    </w:p>
    <w:p w14:paraId="2E809B78">
      <w:pPr>
        <w:keepNext w:val="0"/>
        <w:keepLines w:val="0"/>
        <w:pageBreakBefore w:val="0"/>
        <w:wordWrap w:val="0"/>
        <w:overflowPunct/>
        <w:topLinePunct w:val="0"/>
        <w:bidi w:val="0"/>
        <w:spacing w:before="78" w:line="221" w:lineRule="auto"/>
        <w:ind w:left="496"/>
        <w:outlineLvl w:val="2"/>
        <w:rPr>
          <w:rFonts w:hint="eastAsia" w:ascii="宋体" w:hAnsi="宋体" w:eastAsia="宋体" w:cs="宋体"/>
          <w:color w:val="000000" w:themeColor="text1"/>
          <w:spacing w:val="0"/>
          <w:highlight w:val="none"/>
          <w14:textFill>
            <w14:solidFill>
              <w14:schemeClr w14:val="tx1"/>
            </w14:solidFill>
          </w14:textFill>
        </w:rPr>
      </w:pPr>
      <w:bookmarkStart w:id="85" w:name="_Toc21970"/>
      <w:bookmarkStart w:id="86" w:name="_Toc961"/>
      <w:r>
        <w:rPr>
          <w:rFonts w:hint="eastAsia" w:ascii="宋体" w:hAnsi="宋体" w:eastAsia="宋体" w:cs="宋体"/>
          <w:b/>
          <w:bCs/>
          <w:color w:val="000000" w:themeColor="text1"/>
          <w:spacing w:val="0"/>
          <w:sz w:val="24"/>
          <w:szCs w:val="24"/>
          <w:highlight w:val="none"/>
          <w14:textFill>
            <w14:solidFill>
              <w14:schemeClr w14:val="tx1"/>
            </w14:solidFill>
          </w14:textFill>
        </w:rPr>
        <w:t>15 ．评标</w:t>
      </w:r>
      <w:bookmarkEnd w:id="85"/>
      <w:bookmarkEnd w:id="86"/>
    </w:p>
    <w:p w14:paraId="6B3E0F13">
      <w:pPr>
        <w:keepNext w:val="0"/>
        <w:keepLines w:val="0"/>
        <w:pageBreakBefore w:val="0"/>
        <w:wordWrap w:val="0"/>
        <w:overflowPunct/>
        <w:topLinePunct w:val="0"/>
        <w:bidi w:val="0"/>
        <w:spacing w:before="78" w:line="331" w:lineRule="auto"/>
        <w:ind w:left="8" w:right="65" w:firstLine="480"/>
        <w:rPr>
          <w:rFonts w:hint="eastAsia" w:ascii="宋体" w:hAnsi="宋体" w:eastAsia="宋体" w:cs="宋体"/>
          <w:color w:val="000000" w:themeColor="text1"/>
          <w:spacing w:val="0"/>
          <w:sz w:val="24"/>
          <w:szCs w:val="24"/>
          <w:highlight w:val="none"/>
          <w14:textFill>
            <w14:solidFill>
              <w14:schemeClr w14:val="tx1"/>
            </w14:solidFill>
          </w14:textFill>
        </w:rPr>
      </w:pPr>
      <w:bookmarkStart w:id="87" w:name="bookmark124"/>
      <w:bookmarkEnd w:id="87"/>
      <w:r>
        <w:rPr>
          <w:rFonts w:hint="eastAsia" w:ascii="宋体" w:hAnsi="宋体" w:eastAsia="宋体" w:cs="宋体"/>
          <w:color w:val="000000" w:themeColor="text1"/>
          <w:spacing w:val="0"/>
          <w:sz w:val="24"/>
          <w:szCs w:val="24"/>
          <w:highlight w:val="none"/>
          <w14:textFill>
            <w14:solidFill>
              <w14:schemeClr w14:val="tx1"/>
            </w14:solidFill>
          </w14:textFill>
        </w:rPr>
        <w:t>评标分为初步评审和详细评审两个阶段，由评标委员会在有关部门的监督下，严格按照本招标文件指定的评标方法，对投标人的投标文件进行审查、评审。评标委员会完成评标后，向招标人推荐</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3  </w:t>
      </w:r>
      <w:r>
        <w:rPr>
          <w:rFonts w:hint="eastAsia" w:ascii="宋体" w:hAnsi="宋体" w:eastAsia="宋体" w:cs="宋体"/>
          <w:color w:val="000000" w:themeColor="text1"/>
          <w:spacing w:val="0"/>
          <w:sz w:val="24"/>
          <w:szCs w:val="24"/>
          <w:highlight w:val="none"/>
          <w14:textFill>
            <w14:solidFill>
              <w14:schemeClr w14:val="tx1"/>
            </w14:solidFill>
          </w14:textFill>
        </w:rPr>
        <w:t>个中标候选人，并向招标人提交由全体评标委员会成员签字的评标报告。</w:t>
      </w:r>
    </w:p>
    <w:p w14:paraId="1AE0EC81">
      <w:pPr>
        <w:keepNext w:val="0"/>
        <w:keepLines w:val="0"/>
        <w:pageBreakBefore w:val="0"/>
        <w:wordWrap w:val="0"/>
        <w:overflowPunct/>
        <w:topLinePunct w:val="0"/>
        <w:bidi w:val="0"/>
        <w:spacing w:before="38" w:line="219"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15.1  </w:t>
      </w:r>
      <w:r>
        <w:rPr>
          <w:rFonts w:hint="eastAsia" w:ascii="宋体" w:hAnsi="宋体" w:eastAsia="宋体" w:cs="宋体"/>
          <w:color w:val="000000" w:themeColor="text1"/>
          <w:spacing w:val="0"/>
          <w:sz w:val="24"/>
          <w:szCs w:val="24"/>
          <w:highlight w:val="none"/>
          <w14:textFill>
            <w14:solidFill>
              <w14:schemeClr w14:val="tx1"/>
            </w14:solidFill>
          </w14:textFill>
        </w:rPr>
        <w:t>评标委员会</w:t>
      </w:r>
    </w:p>
    <w:p w14:paraId="31B92F0C">
      <w:pPr>
        <w:keepNext w:val="0"/>
        <w:keepLines w:val="0"/>
        <w:pageBreakBefore w:val="0"/>
        <w:wordWrap w:val="0"/>
        <w:overflowPunct/>
        <w:topLinePunct w:val="0"/>
        <w:bidi w:val="0"/>
        <w:spacing w:before="155" w:line="324" w:lineRule="auto"/>
        <w:ind w:left="10" w:right="65" w:firstLine="48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15.1.1 </w:t>
      </w:r>
      <w:r>
        <w:rPr>
          <w:rFonts w:hint="eastAsia" w:ascii="宋体" w:hAnsi="宋体" w:eastAsia="宋体" w:cs="宋体"/>
          <w:color w:val="000000" w:themeColor="text1"/>
          <w:spacing w:val="0"/>
          <w:sz w:val="24"/>
          <w:szCs w:val="24"/>
          <w:highlight w:val="none"/>
          <w14:textFill>
            <w14:solidFill>
              <w14:schemeClr w14:val="tx1"/>
            </w14:solidFill>
          </w14:textFill>
        </w:rPr>
        <w:t>评标委员会由</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5 </w:t>
      </w:r>
      <w:r>
        <w:rPr>
          <w:rFonts w:hint="eastAsia" w:ascii="宋体" w:hAnsi="宋体" w:eastAsia="宋体" w:cs="宋体"/>
          <w:color w:val="000000" w:themeColor="text1"/>
          <w:spacing w:val="0"/>
          <w:sz w:val="24"/>
          <w:szCs w:val="24"/>
          <w:highlight w:val="none"/>
          <w14:textFill>
            <w14:solidFill>
              <w14:schemeClr w14:val="tx1"/>
            </w14:solidFill>
          </w14:textFill>
        </w:rPr>
        <w:t>人组成，其中招标人代表</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0 </w:t>
      </w:r>
      <w:r>
        <w:rPr>
          <w:rFonts w:hint="eastAsia" w:ascii="宋体" w:hAnsi="宋体" w:eastAsia="宋体" w:cs="宋体"/>
          <w:color w:val="000000" w:themeColor="text1"/>
          <w:spacing w:val="0"/>
          <w:sz w:val="24"/>
          <w:szCs w:val="24"/>
          <w:highlight w:val="none"/>
          <w14:textFill>
            <w14:solidFill>
              <w14:schemeClr w14:val="tx1"/>
            </w14:solidFill>
          </w14:textFill>
        </w:rPr>
        <w:t>人，专家</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5 </w:t>
      </w:r>
      <w:r>
        <w:rPr>
          <w:rFonts w:hint="eastAsia" w:ascii="宋体" w:hAnsi="宋体" w:eastAsia="宋体" w:cs="宋体"/>
          <w:color w:val="000000" w:themeColor="text1"/>
          <w:spacing w:val="0"/>
          <w:sz w:val="24"/>
          <w:szCs w:val="24"/>
          <w:highlight w:val="none"/>
          <w14:textFill>
            <w14:solidFill>
              <w14:schemeClr w14:val="tx1"/>
            </w14:solidFill>
          </w14:textFill>
        </w:rPr>
        <w:t>人。专家从</w:t>
      </w:r>
      <w:r>
        <w:rPr>
          <w:rFonts w:hint="eastAsia" w:ascii="宋体" w:hAnsi="宋体" w:eastAsia="宋体" w:cs="宋体"/>
          <w:color w:val="000000" w:themeColor="text1"/>
          <w:spacing w:val="0"/>
          <w:sz w:val="24"/>
          <w:szCs w:val="24"/>
          <w:highlight w:val="none"/>
          <w:u w:val="none"/>
          <w14:textFill>
            <w14:solidFill>
              <w14:schemeClr w14:val="tx1"/>
            </w14:solidFill>
          </w14:textFill>
        </w:rPr>
        <w:t>广东省综合评标评审专家库</w:t>
      </w:r>
      <w:r>
        <w:rPr>
          <w:rFonts w:hint="eastAsia" w:ascii="宋体" w:hAnsi="宋体" w:eastAsia="宋体" w:cs="宋体"/>
          <w:color w:val="000000" w:themeColor="text1"/>
          <w:spacing w:val="0"/>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u w:val="single"/>
          <w14:textFill>
            <w14:solidFill>
              <w14:schemeClr w14:val="tx1"/>
            </w14:solidFill>
          </w14:textFill>
        </w:rPr>
        <w:t>韶关区域</w:t>
      </w:r>
      <w:r>
        <w:rPr>
          <w:rFonts w:hint="eastAsia" w:ascii="宋体" w:hAnsi="宋体" w:eastAsia="宋体" w:cs="宋体"/>
          <w:color w:val="000000" w:themeColor="text1"/>
          <w:spacing w:val="0"/>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中随机抽取，其中技术类专家</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3 </w:t>
      </w:r>
      <w:r>
        <w:rPr>
          <w:rFonts w:hint="eastAsia" w:ascii="宋体" w:hAnsi="宋体" w:eastAsia="宋体" w:cs="宋体"/>
          <w:color w:val="000000" w:themeColor="text1"/>
          <w:spacing w:val="0"/>
          <w:sz w:val="24"/>
          <w:szCs w:val="24"/>
          <w:highlight w:val="none"/>
          <w14:textFill>
            <w14:solidFill>
              <w14:schemeClr w14:val="tx1"/>
            </w14:solidFill>
          </w14:textFill>
        </w:rPr>
        <w:t>人，经济类专家</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2 </w:t>
      </w:r>
      <w:r>
        <w:rPr>
          <w:rFonts w:hint="eastAsia" w:ascii="宋体" w:hAnsi="宋体" w:eastAsia="宋体" w:cs="宋体"/>
          <w:color w:val="000000" w:themeColor="text1"/>
          <w:spacing w:val="0"/>
          <w:sz w:val="24"/>
          <w:szCs w:val="24"/>
          <w:highlight w:val="none"/>
          <w14:textFill>
            <w14:solidFill>
              <w14:schemeClr w14:val="tx1"/>
            </w14:solidFill>
          </w14:textFill>
        </w:rPr>
        <w:t>人。评标委员会设负责人，由评标委员会成员推举产生。评标委员会负责人与评标委员会的其他成员有同等的表决权。</w:t>
      </w:r>
    </w:p>
    <w:p w14:paraId="3773E95D">
      <w:pPr>
        <w:keepNext w:val="0"/>
        <w:keepLines w:val="0"/>
        <w:pageBreakBefore w:val="0"/>
        <w:wordWrap w:val="0"/>
        <w:overflowPunct/>
        <w:topLinePunct w:val="0"/>
        <w:bidi w:val="0"/>
        <w:spacing w:before="32" w:line="280" w:lineRule="auto"/>
        <w:ind w:left="13" w:right="7" w:firstLine="56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15.1.2  </w:t>
      </w:r>
      <w:r>
        <w:rPr>
          <w:rFonts w:hint="eastAsia" w:ascii="宋体" w:hAnsi="宋体" w:eastAsia="宋体" w:cs="宋体"/>
          <w:color w:val="000000" w:themeColor="text1"/>
          <w:spacing w:val="0"/>
          <w:sz w:val="24"/>
          <w:szCs w:val="24"/>
          <w:highlight w:val="none"/>
          <w14:textFill>
            <w14:solidFill>
              <w14:schemeClr w14:val="tx1"/>
            </w14:solidFill>
          </w14:textFill>
        </w:rPr>
        <w:t>评标委员会应认真、公正、诚实、廉洁地履行职责。有下列情形之一的，不得担任评标委员会成员：</w:t>
      </w:r>
    </w:p>
    <w:p w14:paraId="630ECC06">
      <w:pPr>
        <w:keepNext w:val="0"/>
        <w:keepLines w:val="0"/>
        <w:pageBreakBefore w:val="0"/>
        <w:wordWrap w:val="0"/>
        <w:overflowPunct/>
        <w:topLinePunct w:val="0"/>
        <w:bidi w:val="0"/>
        <w:spacing w:before="154" w:line="220" w:lineRule="auto"/>
        <w:ind w:left="5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（1）投标人或投标人主要负责人的近亲属；</w:t>
      </w:r>
    </w:p>
    <w:p w14:paraId="6812A920">
      <w:pPr>
        <w:keepNext w:val="0"/>
        <w:keepLines w:val="0"/>
        <w:pageBreakBefore w:val="0"/>
        <w:wordWrap w:val="0"/>
        <w:overflowPunct/>
        <w:topLinePunct w:val="0"/>
        <w:bidi w:val="0"/>
        <w:spacing w:before="153" w:line="220" w:lineRule="auto"/>
        <w:ind w:left="5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（2）项目主管部门或者行政监督部门的人员；</w:t>
      </w:r>
    </w:p>
    <w:p w14:paraId="4E3A1FF1">
      <w:pPr>
        <w:keepNext w:val="0"/>
        <w:keepLines w:val="0"/>
        <w:pageBreakBefore w:val="0"/>
        <w:wordWrap w:val="0"/>
        <w:overflowPunct/>
        <w:topLinePunct w:val="0"/>
        <w:bidi w:val="0"/>
        <w:spacing w:before="155" w:line="221" w:lineRule="auto"/>
        <w:ind w:left="5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（3）与投标人有经济利益关系，可能影响对投标公正评审的；</w:t>
      </w:r>
    </w:p>
    <w:p w14:paraId="6C955D4C">
      <w:pPr>
        <w:keepNext w:val="0"/>
        <w:keepLines w:val="0"/>
        <w:pageBreakBefore w:val="0"/>
        <w:wordWrap w:val="0"/>
        <w:overflowPunct/>
        <w:topLinePunct w:val="0"/>
        <w:bidi w:val="0"/>
        <w:spacing w:before="153" w:line="279" w:lineRule="auto"/>
        <w:ind w:left="8" w:right="65" w:firstLine="57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（4）曾因在招标、评标以及其他与招标投标有关活动中从事违法行为而受过行政处罚或刑事处罚的。</w:t>
      </w:r>
    </w:p>
    <w:p w14:paraId="3C4B0D01">
      <w:pPr>
        <w:keepNext w:val="0"/>
        <w:keepLines w:val="0"/>
        <w:pageBreakBefore w:val="0"/>
        <w:wordWrap w:val="0"/>
        <w:overflowPunct/>
        <w:topLinePunct w:val="0"/>
        <w:bidi w:val="0"/>
        <w:spacing w:before="155" w:line="219" w:lineRule="auto"/>
        <w:ind w:left="48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评标委员会成员有以上情形之一的，应主动提出回避。</w:t>
      </w:r>
    </w:p>
    <w:p w14:paraId="779D0486">
      <w:pPr>
        <w:keepNext w:val="0"/>
        <w:keepLines w:val="0"/>
        <w:pageBreakBefore w:val="0"/>
        <w:wordWrap w:val="0"/>
        <w:overflowPunct/>
        <w:topLinePunct w:val="0"/>
        <w:bidi w:val="0"/>
        <w:spacing w:before="154" w:line="279" w:lineRule="auto"/>
        <w:ind w:left="8" w:right="65" w:firstLine="48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15.1.3  </w:t>
      </w:r>
      <w:r>
        <w:rPr>
          <w:rFonts w:hint="eastAsia" w:ascii="宋体" w:hAnsi="宋体" w:eastAsia="宋体" w:cs="宋体"/>
          <w:color w:val="000000" w:themeColor="text1"/>
          <w:spacing w:val="0"/>
          <w:sz w:val="24"/>
          <w:szCs w:val="24"/>
          <w:highlight w:val="none"/>
          <w14:textFill>
            <w14:solidFill>
              <w14:schemeClr w14:val="tx1"/>
            </w14:solidFill>
          </w14:textFill>
        </w:rPr>
        <w:t>评标全过程实行封闭式管理，在中标结果公布前，禁止评标委员会成员以任何方式私下接触投标人。</w:t>
      </w:r>
    </w:p>
    <w:p w14:paraId="4E1CA66A">
      <w:pPr>
        <w:keepNext w:val="0"/>
        <w:keepLines w:val="0"/>
        <w:pageBreakBefore w:val="0"/>
        <w:wordWrap w:val="0"/>
        <w:overflowPunct/>
        <w:topLinePunct w:val="0"/>
        <w:bidi w:val="0"/>
        <w:spacing w:before="157" w:line="298" w:lineRule="auto"/>
        <w:ind w:left="11" w:right="65" w:firstLine="48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15.1.4  </w:t>
      </w:r>
      <w:r>
        <w:rPr>
          <w:rFonts w:hint="eastAsia" w:ascii="宋体" w:hAnsi="宋体" w:eastAsia="宋体" w:cs="宋体"/>
          <w:color w:val="000000" w:themeColor="text1"/>
          <w:spacing w:val="0"/>
          <w:sz w:val="24"/>
          <w:szCs w:val="24"/>
          <w:highlight w:val="none"/>
          <w14:textFill>
            <w14:solidFill>
              <w14:schemeClr w14:val="tx1"/>
            </w14:solidFill>
          </w14:textFill>
        </w:rPr>
        <w:t>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2761184C">
      <w:pPr>
        <w:keepNext w:val="0"/>
        <w:keepLines w:val="0"/>
        <w:pageBreakBefore w:val="0"/>
        <w:wordWrap w:val="0"/>
        <w:overflowPunct/>
        <w:topLinePunct w:val="0"/>
        <w:bidi w:val="0"/>
        <w:spacing w:before="156" w:line="309" w:lineRule="auto"/>
        <w:ind w:left="8" w:right="65" w:firstLine="56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15.1.5  </w:t>
      </w:r>
      <w:r>
        <w:rPr>
          <w:rFonts w:hint="eastAsia" w:ascii="宋体" w:hAnsi="宋体" w:eastAsia="宋体" w:cs="宋体"/>
          <w:color w:val="000000" w:themeColor="text1"/>
          <w:spacing w:val="0"/>
          <w:sz w:val="24"/>
          <w:szCs w:val="24"/>
          <w:highlight w:val="none"/>
          <w14:textFill>
            <w14:solidFill>
              <w14:schemeClr w14:val="tx1"/>
            </w14:solidFill>
          </w14:textFill>
        </w:rPr>
        <w:t>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3267A2AD">
      <w:pPr>
        <w:keepNext w:val="0"/>
        <w:keepLines w:val="0"/>
        <w:pageBreakBefore w:val="0"/>
        <w:wordWrap w:val="0"/>
        <w:overflowPunct/>
        <w:topLinePunct w:val="0"/>
        <w:bidi w:val="0"/>
        <w:spacing w:before="79" w:line="221" w:lineRule="auto"/>
        <w:ind w:left="577"/>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15.2  </w:t>
      </w:r>
      <w:r>
        <w:rPr>
          <w:rFonts w:hint="eastAsia" w:ascii="宋体" w:hAnsi="宋体" w:eastAsia="宋体" w:cs="宋体"/>
          <w:color w:val="000000" w:themeColor="text1"/>
          <w:spacing w:val="0"/>
          <w:sz w:val="24"/>
          <w:szCs w:val="24"/>
          <w:highlight w:val="none"/>
          <w14:textFill>
            <w14:solidFill>
              <w14:schemeClr w14:val="tx1"/>
            </w14:solidFill>
          </w14:textFill>
        </w:rPr>
        <w:t>评标方法</w:t>
      </w:r>
    </w:p>
    <w:p w14:paraId="31CCE9AE">
      <w:pPr>
        <w:keepNext w:val="0"/>
        <w:keepLines w:val="0"/>
        <w:pageBreakBefore w:val="0"/>
        <w:wordWrap w:val="0"/>
        <w:overflowPunct/>
        <w:topLinePunct w:val="0"/>
        <w:bidi w:val="0"/>
        <w:spacing w:before="78" w:line="326" w:lineRule="auto"/>
        <w:ind w:left="231" w:right="181" w:firstLine="560"/>
        <w:rPr>
          <w:rFonts w:hint="eastAsia" w:ascii="宋体" w:hAnsi="宋体" w:eastAsia="宋体" w:cs="宋体"/>
          <w:color w:val="000000" w:themeColor="text1"/>
          <w:spacing w:val="0"/>
          <w:highlight w:val="none"/>
          <w14:textFill>
            <w14:solidFill>
              <w14:schemeClr w14:val="tx1"/>
            </w14:solidFill>
          </w14:textFill>
        </w:rPr>
      </w:pPr>
      <w:bookmarkStart w:id="88" w:name="bookmark125"/>
      <w:bookmarkEnd w:id="88"/>
      <w:r>
        <w:rPr>
          <w:rFonts w:hint="eastAsia" w:ascii="宋体" w:hAnsi="宋体" w:eastAsia="宋体" w:cs="宋体"/>
          <w:color w:val="000000" w:themeColor="text1"/>
          <w:spacing w:val="0"/>
          <w:sz w:val="24"/>
          <w:szCs w:val="24"/>
          <w:highlight w:val="none"/>
          <w14:textFill>
            <w14:solidFill>
              <w14:schemeClr w14:val="tx1"/>
            </w14:solidFill>
          </w14:textFill>
        </w:rPr>
        <w:t>根据有关法律、法规的相关规定，结合本招标项目资金来源和规模特点，本次招标采用</w:t>
      </w:r>
      <w:r>
        <w:rPr>
          <w:rFonts w:hint="eastAsia" w:ascii="宋体" w:hAnsi="宋体" w:eastAsia="宋体" w:cs="宋体"/>
          <w:b/>
          <w:bCs/>
          <w:color w:val="000000" w:themeColor="text1"/>
          <w:spacing w:val="0"/>
          <w:sz w:val="24"/>
          <w:szCs w:val="24"/>
          <w:highlight w:val="none"/>
          <w:u w:val="single"/>
          <w14:textFill>
            <w14:solidFill>
              <w14:schemeClr w14:val="tx1"/>
            </w14:solidFill>
          </w14:textFill>
        </w:rPr>
        <w:t xml:space="preserve"> 综合评估法 </w:t>
      </w:r>
      <w:r>
        <w:rPr>
          <w:rFonts w:hint="eastAsia" w:ascii="宋体" w:hAnsi="宋体" w:eastAsia="宋体" w:cs="宋体"/>
          <w:color w:val="000000" w:themeColor="text1"/>
          <w:spacing w:val="0"/>
          <w:sz w:val="24"/>
          <w:szCs w:val="24"/>
          <w:highlight w:val="none"/>
          <w:u w:val="singl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评标方法名称）进行评标。</w:t>
      </w:r>
    </w:p>
    <w:p w14:paraId="444FBDD2">
      <w:pPr>
        <w:keepNext w:val="0"/>
        <w:keepLines w:val="0"/>
        <w:pageBreakBefore w:val="0"/>
        <w:wordWrap w:val="0"/>
        <w:overflowPunct/>
        <w:topLinePunct w:val="0"/>
        <w:bidi w:val="0"/>
        <w:spacing w:before="154" w:line="269" w:lineRule="auto"/>
        <w:ind w:left="220" w:right="33" w:firstLine="496"/>
        <w:rPr>
          <w:rFonts w:hint="eastAsia" w:ascii="宋体" w:hAnsi="宋体" w:eastAsia="宋体" w:cs="宋体"/>
          <w:color w:val="000000" w:themeColor="text1"/>
          <w:spacing w:val="0"/>
          <w:sz w:val="25"/>
          <w:szCs w:val="25"/>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15.3  </w:t>
      </w:r>
      <w:r>
        <w:rPr>
          <w:rFonts w:hint="eastAsia" w:ascii="宋体" w:hAnsi="宋体" w:eastAsia="宋体" w:cs="宋体"/>
          <w:color w:val="000000" w:themeColor="text1"/>
          <w:spacing w:val="0"/>
          <w:sz w:val="24"/>
          <w:szCs w:val="24"/>
          <w:highlight w:val="none"/>
          <w14:textFill>
            <w14:solidFill>
              <w14:schemeClr w14:val="tx1"/>
            </w14:solidFill>
          </w14:textFill>
        </w:rPr>
        <w:t>评审范围：评标委员会应对所有投标人的投标文件进行评审。</w:t>
      </w:r>
    </w:p>
    <w:p w14:paraId="0A158934">
      <w:pPr>
        <w:keepNext w:val="0"/>
        <w:keepLines w:val="0"/>
        <w:pageBreakBefore w:val="0"/>
        <w:wordWrap w:val="0"/>
        <w:overflowPunct/>
        <w:topLinePunct w:val="0"/>
        <w:bidi w:val="0"/>
        <w:spacing w:before="153" w:line="220" w:lineRule="auto"/>
        <w:ind w:left="71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15.4  </w:t>
      </w:r>
      <w:r>
        <w:rPr>
          <w:rFonts w:hint="eastAsia" w:ascii="宋体" w:hAnsi="宋体" w:eastAsia="宋体" w:cs="宋体"/>
          <w:color w:val="000000" w:themeColor="text1"/>
          <w:spacing w:val="0"/>
          <w:sz w:val="24"/>
          <w:szCs w:val="24"/>
          <w:highlight w:val="none"/>
          <w14:textFill>
            <w14:solidFill>
              <w14:schemeClr w14:val="tx1"/>
            </w14:solidFill>
          </w14:textFill>
        </w:rPr>
        <w:t>初步评审阶段</w:t>
      </w:r>
    </w:p>
    <w:p w14:paraId="0814EC29">
      <w:pPr>
        <w:keepNext w:val="0"/>
        <w:keepLines w:val="0"/>
        <w:pageBreakBefore w:val="0"/>
        <w:wordWrap w:val="0"/>
        <w:overflowPunct/>
        <w:topLinePunct w:val="0"/>
        <w:bidi w:val="0"/>
        <w:spacing w:before="153" w:line="220" w:lineRule="auto"/>
        <w:ind w:left="70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初步评审阶段分为资格评审、形式评审和响应性评审三个环节。</w:t>
      </w:r>
    </w:p>
    <w:p w14:paraId="58B00498">
      <w:pPr>
        <w:keepNext w:val="0"/>
        <w:keepLines w:val="0"/>
        <w:pageBreakBefore w:val="0"/>
        <w:tabs>
          <w:tab w:val="left" w:pos="3360"/>
        </w:tabs>
        <w:wordWrap w:val="0"/>
        <w:overflowPunct/>
        <w:topLinePunct w:val="0"/>
        <w:bidi w:val="0"/>
        <w:spacing w:before="155" w:line="279" w:lineRule="auto"/>
        <w:ind w:left="719" w:right="6040" w:rightChars="0" w:hanging="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15.4.1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资格评审环节 资格评审事项</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包括</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18695609">
      <w:pPr>
        <w:keepNext w:val="0"/>
        <w:keepLines w:val="0"/>
        <w:pageBreakBefore w:val="0"/>
        <w:wordWrap w:val="0"/>
        <w:overflowPunct/>
        <w:topLinePunct w:val="0"/>
        <w:bidi w:val="0"/>
        <w:spacing w:before="152" w:line="315" w:lineRule="auto"/>
        <w:ind w:left="23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（1）投标人是否符合本章第三节第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2.4 </w:t>
      </w:r>
      <w:r>
        <w:rPr>
          <w:rFonts w:hint="eastAsia" w:ascii="宋体" w:hAnsi="宋体" w:eastAsia="宋体" w:cs="宋体"/>
          <w:color w:val="000000" w:themeColor="text1"/>
          <w:spacing w:val="0"/>
          <w:sz w:val="24"/>
          <w:szCs w:val="24"/>
          <w:highlight w:val="none"/>
          <w14:textFill>
            <w14:solidFill>
              <w14:schemeClr w14:val="tx1"/>
            </w14:solidFill>
          </w14:textFill>
        </w:rPr>
        <w:t>条“禁止投标条款 ”规定。如果“禁止投标条款 ”包括失信惩戒的，投标人信用信息的获取采用现场实时查询的方式实施。由</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评标委员会</w:t>
      </w:r>
      <w:r>
        <w:rPr>
          <w:rFonts w:hint="eastAsia" w:ascii="宋体" w:hAnsi="宋体" w:eastAsia="宋体" w:cs="宋体"/>
          <w:color w:val="000000" w:themeColor="text1"/>
          <w:spacing w:val="0"/>
          <w:sz w:val="24"/>
          <w:szCs w:val="24"/>
          <w:highlight w:val="none"/>
          <w14:textFill>
            <w14:solidFill>
              <w14:schemeClr w14:val="tx1"/>
            </w14:solidFill>
          </w14:textFill>
        </w:rPr>
        <w:t xml:space="preserve">登录信用中国网站（https://www.creditchina.gov.cn），在企业查询界面下载和打印《法人和非法人组织公共信用信息报告》。 </w:t>
      </w:r>
    </w:p>
    <w:p w14:paraId="375F7385">
      <w:pPr>
        <w:keepNext w:val="0"/>
        <w:keepLines w:val="0"/>
        <w:pageBreakBefore w:val="0"/>
        <w:wordWrap w:val="0"/>
        <w:overflowPunct/>
        <w:topLinePunct w:val="0"/>
        <w:bidi w:val="0"/>
        <w:spacing w:before="155" w:line="219" w:lineRule="auto"/>
        <w:ind w:left="72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（2）投标人名称是否与营业执照、资质证书、安全生产许可证一致。</w:t>
      </w:r>
    </w:p>
    <w:p w14:paraId="164D7887">
      <w:pPr>
        <w:keepNext w:val="0"/>
        <w:keepLines w:val="0"/>
        <w:pageBreakBefore w:val="0"/>
        <w:widowControl/>
        <w:kinsoku w:val="0"/>
        <w:wordWrap w:val="0"/>
        <w:overflowPunct/>
        <w:topLinePunct w:val="0"/>
        <w:autoSpaceDE w:val="0"/>
        <w:autoSpaceDN w:val="0"/>
        <w:bidi w:val="0"/>
        <w:adjustRightInd w:val="0"/>
        <w:snapToGrid w:val="0"/>
        <w:spacing w:before="155" w:line="286" w:lineRule="auto"/>
        <w:ind w:left="232" w:right="96" w:firstLine="488"/>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（3）投标人的资质是否符合招标文件规定；其营业执照、资质证书、安全生产许可证（含实时网页查询页，可参考网址 https://zlaq.mohurd.gov.cn/fwmh/bjxcjgl/fwm</w:t>
      </w:r>
      <w:bookmarkStart w:id="89" w:name="bookmark126"/>
      <w:bookmarkEnd w:id="89"/>
      <w:r>
        <w:rPr>
          <w:rFonts w:hint="eastAsia" w:ascii="宋体" w:hAnsi="宋体" w:eastAsia="宋体" w:cs="宋体"/>
          <w:color w:val="000000" w:themeColor="text1"/>
          <w:spacing w:val="0"/>
          <w:position w:val="3"/>
          <w:sz w:val="24"/>
          <w:szCs w:val="24"/>
          <w:highlight w:val="none"/>
          <w14:textFill>
            <w14:solidFill>
              <w14:schemeClr w14:val="tx1"/>
            </w14:solidFill>
          </w14:textFill>
        </w:rPr>
        <w:t>h/pages/construction_safety/qyaqscxkz/qyaqscxkz）是否合法、有效、准确。</w:t>
      </w:r>
    </w:p>
    <w:p w14:paraId="540CBBB1">
      <w:pPr>
        <w:keepNext w:val="0"/>
        <w:keepLines w:val="0"/>
        <w:pageBreakBefore w:val="0"/>
        <w:wordWrap w:val="0"/>
        <w:overflowPunct/>
        <w:topLinePunct w:val="0"/>
        <w:bidi w:val="0"/>
        <w:spacing w:before="144" w:line="219"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（4）《项目经理简历表》中拟派项目经理是否与《开标一览表》一致。</w:t>
      </w:r>
    </w:p>
    <w:p w14:paraId="6B9B0D89">
      <w:pPr>
        <w:keepNext w:val="0"/>
        <w:keepLines w:val="0"/>
        <w:pageBreakBefore w:val="0"/>
        <w:wordWrap w:val="0"/>
        <w:overflowPunct/>
        <w:topLinePunct w:val="0"/>
        <w:bidi w:val="0"/>
        <w:spacing w:before="151" w:line="315" w:lineRule="auto"/>
        <w:ind w:left="11" w:firstLine="48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拟派项目经理、项目技术负责人、专职安全员的条件是否符合招标文件规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33FF0F7A">
      <w:pPr>
        <w:keepNext w:val="0"/>
        <w:keepLines w:val="0"/>
        <w:pageBreakBefore w:val="0"/>
        <w:wordWrap w:val="0"/>
        <w:overflowPunct/>
        <w:topLinePunct w:val="0"/>
        <w:bidi w:val="0"/>
        <w:spacing w:before="156" w:line="298" w:lineRule="auto"/>
        <w:ind w:left="9" w:firstLine="49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12F54F61">
      <w:pPr>
        <w:keepNext w:val="0"/>
        <w:keepLines w:val="0"/>
        <w:pageBreakBefore w:val="0"/>
        <w:wordWrap w:val="0"/>
        <w:overflowPunct/>
        <w:topLinePunct w:val="0"/>
        <w:bidi w:val="0"/>
        <w:spacing w:before="155" w:line="360" w:lineRule="auto"/>
        <w:ind w:left="8" w:right="2" w:firstLine="49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（7）投标人为外省建筑企业的，是否按规定在“进粤企业和人员诚信信息登记平台 ”录入企业及其拟派人员有关信息并通过数据规范检查。</w:t>
      </w:r>
    </w:p>
    <w:p w14:paraId="27E19AD3">
      <w:pPr>
        <w:keepNext w:val="0"/>
        <w:keepLines w:val="0"/>
        <w:pageBreakBefore w:val="0"/>
        <w:wordWrap w:val="0"/>
        <w:overflowPunct/>
        <w:topLinePunct w:val="0"/>
        <w:bidi w:val="0"/>
        <w:spacing w:before="15" w:line="360" w:lineRule="auto"/>
        <w:ind w:right="2" w:firstLine="482" w:firstLineChars="200"/>
        <w:jc w:val="both"/>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90" w:name="_Toc22778"/>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15.4.2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形式评审环节</w:t>
      </w:r>
    </w:p>
    <w:p w14:paraId="72253524">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形式评审事</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项包括</w:t>
      </w:r>
      <w:bookmarkEnd w:id="90"/>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p>
    <w:p w14:paraId="4EA57E30">
      <w:pPr>
        <w:keepNext w:val="0"/>
        <w:keepLines w:val="0"/>
        <w:pageBreakBefore w:val="0"/>
        <w:wordWrap w:val="0"/>
        <w:overflowPunct/>
        <w:topLinePunct w:val="0"/>
        <w:bidi w:val="0"/>
        <w:spacing w:before="40" w:line="360" w:lineRule="auto"/>
        <w:ind w:left="501"/>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91" w:name="_Toc20481"/>
      <w:bookmarkStart w:id="92" w:name="_Toc4914"/>
      <w:bookmarkStart w:id="93" w:name="_Toc13304"/>
      <w:bookmarkStart w:id="94" w:name="_Toc23632"/>
      <w:r>
        <w:rPr>
          <w:rFonts w:hint="eastAsia" w:ascii="宋体" w:hAnsi="宋体" w:eastAsia="宋体" w:cs="宋体"/>
          <w:color w:val="000000" w:themeColor="text1"/>
          <w:spacing w:val="0"/>
          <w:sz w:val="24"/>
          <w:szCs w:val="24"/>
          <w:highlight w:val="none"/>
          <w14:textFill>
            <w14:solidFill>
              <w14:schemeClr w14:val="tx1"/>
            </w14:solidFill>
          </w14:textFill>
        </w:rPr>
        <w:t>（1）各分册是否按招标文件规定加盖电子印章。</w:t>
      </w:r>
      <w:bookmarkEnd w:id="91"/>
      <w:bookmarkEnd w:id="92"/>
      <w:bookmarkEnd w:id="93"/>
      <w:bookmarkEnd w:id="94"/>
    </w:p>
    <w:p w14:paraId="1B27A302">
      <w:pPr>
        <w:keepNext w:val="0"/>
        <w:keepLines w:val="0"/>
        <w:pageBreakBefore w:val="0"/>
        <w:wordWrap w:val="0"/>
        <w:overflowPunct/>
        <w:topLinePunct w:val="0"/>
        <w:bidi w:val="0"/>
        <w:spacing w:before="15" w:line="360" w:lineRule="auto"/>
        <w:ind w:firstLine="480" w:firstLineChars="200"/>
        <w:outlineLvl w:val="9"/>
        <w:rPr>
          <w:rFonts w:hint="eastAsia" w:ascii="宋体" w:hAnsi="宋体" w:eastAsia="宋体" w:cs="宋体"/>
          <w:color w:val="000000" w:themeColor="text1"/>
          <w:spacing w:val="0"/>
          <w:sz w:val="24"/>
          <w:szCs w:val="24"/>
          <w:highlight w:val="none"/>
          <w:lang w:eastAsia="zh-CN"/>
          <w14:textFill>
            <w14:solidFill>
              <w14:schemeClr w14:val="tx1"/>
            </w14:solidFill>
          </w14:textFill>
        </w:rPr>
      </w:pPr>
      <w:bookmarkStart w:id="95" w:name="_Toc28409"/>
      <w:bookmarkStart w:id="96" w:name="_Toc10806"/>
      <w:bookmarkStart w:id="97" w:name="_Toc27432"/>
      <w:bookmarkStart w:id="98" w:name="_Toc12756"/>
      <w:r>
        <w:rPr>
          <w:rFonts w:hint="eastAsia" w:ascii="宋体" w:hAnsi="宋体" w:eastAsia="宋体" w:cs="宋体"/>
          <w:color w:val="000000" w:themeColor="text1"/>
          <w:spacing w:val="0"/>
          <w:sz w:val="24"/>
          <w:szCs w:val="24"/>
          <w:highlight w:val="none"/>
          <w14:textFill>
            <w14:solidFill>
              <w14:schemeClr w14:val="tx1"/>
            </w14:solidFill>
          </w14:textFill>
        </w:rPr>
        <w:t>（2）本节第</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10.2.2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目、第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10.3.2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目、第</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10.4.3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目中规定的“所有投标人均应提</w:t>
      </w:r>
      <w:bookmarkEnd w:id="95"/>
      <w:bookmarkEnd w:id="96"/>
      <w:bookmarkEnd w:id="97"/>
      <w:r>
        <w:rPr>
          <w:rFonts w:hint="eastAsia" w:ascii="宋体" w:hAnsi="宋体" w:eastAsia="宋体" w:cs="宋体"/>
          <w:color w:val="000000" w:themeColor="text1"/>
          <w:spacing w:val="0"/>
          <w:sz w:val="24"/>
          <w:szCs w:val="24"/>
          <w:highlight w:val="none"/>
          <w14:textFill>
            <w14:solidFill>
              <w14:schemeClr w14:val="tx1"/>
            </w14:solidFill>
          </w14:textFill>
        </w:rPr>
        <w:t>供 ”的组成内容（包括该组成内容的所附资料）是否完整、齐全</w:t>
      </w:r>
      <w:bookmarkEnd w:id="98"/>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p>
    <w:p w14:paraId="15AF52E2">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99" w:name="_Toc9581"/>
      <w:bookmarkStart w:id="100" w:name="_Toc22691"/>
      <w:bookmarkStart w:id="101" w:name="_Toc15678"/>
      <w:bookmarkStart w:id="102" w:name="_Toc17918"/>
      <w:r>
        <w:rPr>
          <w:rFonts w:hint="eastAsia" w:ascii="宋体" w:hAnsi="宋体" w:eastAsia="宋体" w:cs="宋体"/>
          <w:color w:val="000000" w:themeColor="text1"/>
          <w:spacing w:val="0"/>
          <w:sz w:val="24"/>
          <w:szCs w:val="24"/>
          <w:highlight w:val="none"/>
          <w:lang w:eastAsia="zh-CN"/>
          <w14:textFill>
            <w14:solidFill>
              <w14:schemeClr w14:val="tx1"/>
            </w14:solidFill>
          </w14:textFill>
        </w:rPr>
        <w:t>（3）</w:t>
      </w:r>
      <w:r>
        <w:rPr>
          <w:rFonts w:hint="eastAsia" w:ascii="宋体" w:hAnsi="宋体" w:eastAsia="宋体" w:cs="宋体"/>
          <w:color w:val="000000" w:themeColor="text1"/>
          <w:spacing w:val="0"/>
          <w:sz w:val="24"/>
          <w:szCs w:val="24"/>
          <w:highlight w:val="none"/>
          <w14:textFill>
            <w14:solidFill>
              <w14:schemeClr w14:val="tx1"/>
            </w14:solidFill>
          </w14:textFill>
        </w:rPr>
        <w:t>施工组织设计采用“暗标 ”方式进行评审的，施工组织设计的规格颜色、文字排版、正文篇幅（若有）是否符合规定；其任何部位是否出现手写以及涂改、行间插字或删除痕迹；其任何部位是否出现投标人的名称和其它可识别投标人身份的字符、徽标、人员名称以及其他特殊标记。</w:t>
      </w:r>
      <w:bookmarkEnd w:id="99"/>
      <w:bookmarkEnd w:id="100"/>
      <w:bookmarkEnd w:id="101"/>
      <w:bookmarkEnd w:id="102"/>
    </w:p>
    <w:p w14:paraId="5B0B29C4">
      <w:pPr>
        <w:keepNext w:val="0"/>
        <w:keepLines w:val="0"/>
        <w:pageBreakBefore w:val="0"/>
        <w:wordWrap w:val="0"/>
        <w:overflowPunct/>
        <w:topLinePunct w:val="0"/>
        <w:bidi w:val="0"/>
        <w:spacing w:before="15" w:line="360" w:lineRule="auto"/>
        <w:ind w:right="2" w:firstLine="482" w:firstLineChars="200"/>
        <w:jc w:val="both"/>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103" w:name="_Toc22562"/>
      <w:bookmarkStart w:id="104" w:name="_Toc14202"/>
      <w:bookmarkStart w:id="105" w:name="_Toc22642"/>
      <w:bookmarkStart w:id="106" w:name="_Toc16645"/>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15.4.3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响应性评审环节 </w:t>
      </w:r>
    </w:p>
    <w:p w14:paraId="69F5E200">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响应性评项包括：</w:t>
      </w:r>
      <w:bookmarkEnd w:id="103"/>
      <w:bookmarkEnd w:id="104"/>
      <w:bookmarkEnd w:id="105"/>
      <w:bookmarkEnd w:id="106"/>
    </w:p>
    <w:p w14:paraId="0A2173BC">
      <w:pPr>
        <w:keepNext w:val="0"/>
        <w:keepLines w:val="0"/>
        <w:pageBreakBefore w:val="0"/>
        <w:wordWrap w:val="0"/>
        <w:overflowPunct/>
        <w:topLinePunct w:val="0"/>
        <w:bidi w:val="0"/>
        <w:spacing w:before="155" w:line="360" w:lineRule="auto"/>
        <w:ind w:left="9" w:firstLine="49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（1）投标有效期、质量标准、工期等是否响应招标文件实质性要求；是否擅自修改、遗漏《投标函》《各项承诺一览表》的实质性内容。</w:t>
      </w:r>
    </w:p>
    <w:p w14:paraId="5225B394">
      <w:pPr>
        <w:keepNext w:val="0"/>
        <w:keepLines w:val="0"/>
        <w:pageBreakBefore w:val="0"/>
        <w:wordWrap w:val="0"/>
        <w:overflowPunct/>
        <w:topLinePunct w:val="0"/>
        <w:bidi w:val="0"/>
        <w:spacing w:before="152" w:line="360"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（2）编制《投标总价》的造价工程师，其注册证书是否合法、有效。</w:t>
      </w:r>
    </w:p>
    <w:p w14:paraId="407B50B8">
      <w:pPr>
        <w:keepNext w:val="0"/>
        <w:keepLines w:val="0"/>
        <w:pageBreakBefore w:val="0"/>
        <w:wordWrap w:val="0"/>
        <w:overflowPunct/>
        <w:topLinePunct w:val="0"/>
        <w:bidi w:val="0"/>
        <w:spacing w:before="158" w:line="360" w:lineRule="auto"/>
        <w:ind w:left="21" w:right="2" w:firstLine="4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（3）投标人委托造价咨询单位编制《投标总价》的，是否在《投标总价扉页》（即扉—3）“投标人 ”栏目加盖造价咨询人公章；是否提供造价咨询人的营业执照副本彩色扫描件；</w:t>
      </w:r>
    </w:p>
    <w:p w14:paraId="33F4A496">
      <w:pPr>
        <w:keepNext w:val="0"/>
        <w:keepLines w:val="0"/>
        <w:pageBreakBefore w:val="0"/>
        <w:wordWrap w:val="0"/>
        <w:overflowPunct/>
        <w:topLinePunct w:val="0"/>
        <w:bidi w:val="0"/>
        <w:spacing w:before="158" w:line="328" w:lineRule="auto"/>
        <w:ind w:left="9" w:firstLine="491"/>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（4）投标总价是否唯一；投标总价是否超出</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最高投标限价</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安全生产措施费</w:t>
      </w:r>
      <w:r>
        <w:rPr>
          <w:rFonts w:hint="eastAsia" w:ascii="宋体" w:hAnsi="宋体" w:eastAsia="宋体" w:cs="宋体"/>
          <w:color w:val="000000" w:themeColor="text1"/>
          <w:spacing w:val="0"/>
          <w:sz w:val="24"/>
          <w:szCs w:val="24"/>
          <w:highlight w:val="none"/>
          <w14:textFill>
            <w14:solidFill>
              <w14:schemeClr w14:val="tx1"/>
            </w14:solidFill>
          </w14:textFill>
        </w:rPr>
        <w:t>是否达到最低要求；暂列金额、暂估价是否按照招标工程量清单统一报价；投标人是否以低于成本的价格竞标。</w:t>
      </w:r>
    </w:p>
    <w:p w14:paraId="0FEFD797">
      <w:pPr>
        <w:keepNext w:val="0"/>
        <w:keepLines w:val="0"/>
        <w:pageBreakBefore w:val="0"/>
        <w:wordWrap w:val="0"/>
        <w:overflowPunct/>
        <w:topLinePunct w:val="0"/>
        <w:bidi w:val="0"/>
        <w:spacing w:before="38" w:line="360" w:lineRule="auto"/>
        <w:ind w:right="2" w:firstLine="482" w:firstLineChars="200"/>
        <w:jc w:val="both"/>
        <w:rPr>
          <w:rFonts w:hint="eastAsia" w:ascii="宋体" w:hAnsi="宋体" w:eastAsia="宋体" w:cs="宋体"/>
          <w:color w:val="000000" w:themeColor="text1"/>
          <w:spacing w:val="0"/>
          <w:position w:val="-8"/>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注：如果某投标人的投标总价下浮率超过</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15% ，又未提供相应书面说明和佐证</w:t>
      </w:r>
      <w:bookmarkStart w:id="107" w:name="bookmark127"/>
      <w:bookmarkEnd w:id="107"/>
      <w:r>
        <w:rPr>
          <w:rFonts w:hint="eastAsia" w:ascii="宋体" w:hAnsi="宋体" w:eastAsia="宋体" w:cs="宋体"/>
          <w:b/>
          <w:bCs/>
          <w:color w:val="000000" w:themeColor="text1"/>
          <w:spacing w:val="0"/>
          <w:sz w:val="24"/>
          <w:szCs w:val="24"/>
          <w:highlight w:val="none"/>
          <w14:textFill>
            <w14:solidFill>
              <w14:schemeClr w14:val="tx1"/>
            </w14:solidFill>
          </w14:textFill>
        </w:rPr>
        <w:t>材料或提供的书面说明和佐证材料不能令人信服的，评标委员会应认定其以低于成本的价格竞标，并否决其投标。评标委员会接受该投标人的投标总价而未否决其投标的，应在评标报告中说明判断理由。投标总价下浮率＝（1－投标总价÷</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最高投标限价</w:t>
      </w:r>
      <w:r>
        <w:rPr>
          <w:rFonts w:hint="eastAsia" w:ascii="宋体" w:hAnsi="宋体" w:eastAsia="宋体" w:cs="宋体"/>
          <w:b/>
          <w:bCs/>
          <w:color w:val="000000" w:themeColor="text1"/>
          <w:spacing w:val="0"/>
          <w:sz w:val="24"/>
          <w:szCs w:val="24"/>
          <w:highlight w:val="none"/>
          <w14:textFill>
            <w14:solidFill>
              <w14:schemeClr w14:val="tx1"/>
            </w14:solidFill>
          </w14:textFill>
        </w:rPr>
        <w:t>）×100% 。</w:t>
      </w:r>
    </w:p>
    <w:p w14:paraId="2485C4DD">
      <w:pPr>
        <w:keepNext w:val="0"/>
        <w:keepLines w:val="0"/>
        <w:pageBreakBefore w:val="0"/>
        <w:wordWrap w:val="0"/>
        <w:overflowPunct/>
        <w:topLinePunct w:val="0"/>
        <w:bidi w:val="0"/>
        <w:spacing w:before="157" w:line="360" w:lineRule="auto"/>
        <w:ind w:left="11" w:right="114" w:firstLine="501" w:firstLineChars="209"/>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（5）施工组织设计的质量、进度保障措施是否符合国家和省市现行有关规范、规定、标准，是否能实现工程质量、进度管理目标。</w:t>
      </w:r>
    </w:p>
    <w:p w14:paraId="27A6EA2D">
      <w:pPr>
        <w:keepNext w:val="0"/>
        <w:keepLines w:val="0"/>
        <w:pageBreakBefore w:val="0"/>
        <w:wordWrap w:val="0"/>
        <w:overflowPunct/>
        <w:topLinePunct w:val="0"/>
        <w:bidi w:val="0"/>
        <w:spacing w:before="82" w:line="211" w:lineRule="auto"/>
        <w:ind w:left="580"/>
        <w:outlineLvl w:val="9"/>
        <w:rPr>
          <w:rFonts w:hint="eastAsia" w:ascii="宋体" w:hAnsi="宋体" w:eastAsia="宋体" w:cs="宋体"/>
          <w:color w:val="000000" w:themeColor="text1"/>
          <w:spacing w:val="0"/>
          <w:sz w:val="25"/>
          <w:szCs w:val="25"/>
          <w:highlight w:val="none"/>
          <w14:textFill>
            <w14:solidFill>
              <w14:schemeClr w14:val="tx1"/>
            </w14:solidFill>
          </w14:textFill>
        </w:rPr>
      </w:pPr>
      <w:bookmarkStart w:id="108" w:name="_Toc18204"/>
      <w:bookmarkStart w:id="109" w:name="_Toc15367"/>
      <w:bookmarkStart w:id="110" w:name="_Toc19814"/>
      <w:bookmarkStart w:id="111" w:name="_Toc32114"/>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15.4.4  </w:t>
      </w:r>
      <w:r>
        <w:rPr>
          <w:rFonts w:hint="eastAsia" w:ascii="宋体" w:hAnsi="宋体" w:eastAsia="宋体" w:cs="宋体"/>
          <w:color w:val="000000" w:themeColor="text1"/>
          <w:spacing w:val="0"/>
          <w:sz w:val="24"/>
          <w:szCs w:val="24"/>
          <w:highlight w:val="none"/>
          <w14:textFill>
            <w14:solidFill>
              <w14:schemeClr w14:val="tx1"/>
            </w14:solidFill>
          </w14:textFill>
        </w:rPr>
        <w:t>否决投标说明</w:t>
      </w:r>
      <w:bookmarkEnd w:id="108"/>
      <w:bookmarkEnd w:id="109"/>
      <w:bookmarkEnd w:id="110"/>
      <w:bookmarkEnd w:id="111"/>
    </w:p>
    <w:p w14:paraId="71D5DBDC">
      <w:pPr>
        <w:keepNext w:val="0"/>
        <w:keepLines w:val="0"/>
        <w:pageBreakBefore w:val="0"/>
        <w:wordWrap w:val="0"/>
        <w:overflowPunct/>
        <w:topLinePunct w:val="0"/>
        <w:bidi w:val="0"/>
        <w:spacing w:before="152" w:line="333" w:lineRule="auto"/>
        <w:ind w:left="11" w:right="175" w:firstLine="561"/>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初步评审阶段各个环节否决投标的全部条件，在本章第四节“否决投标条件 ”第</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条至第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4 </w:t>
      </w:r>
      <w:r>
        <w:rPr>
          <w:rFonts w:hint="eastAsia" w:ascii="宋体" w:hAnsi="宋体" w:eastAsia="宋体" w:cs="宋体"/>
          <w:color w:val="000000" w:themeColor="text1"/>
          <w:spacing w:val="0"/>
          <w:sz w:val="24"/>
          <w:szCs w:val="24"/>
          <w:highlight w:val="none"/>
          <w14:textFill>
            <w14:solidFill>
              <w14:schemeClr w14:val="tx1"/>
            </w14:solidFill>
          </w14:textFill>
        </w:rPr>
        <w:t>条中集中列示。投标人有其中所列任何一种情形的，由评标委员会否决其投标。在初步评审阶段任何环节被否决的投标人，不进入下一环节（或阶段）评审。在初步评审阶段任何环节</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评标委员会经评审，认为所有投标都不符合招标文件要求的，可否决所有投标，项目的所有投标被否决的，招标人应依法重新组织招标。</w:t>
      </w:r>
    </w:p>
    <w:p w14:paraId="132A65C3">
      <w:pPr>
        <w:keepNext w:val="0"/>
        <w:keepLines w:val="0"/>
        <w:pageBreakBefore w:val="0"/>
        <w:wordWrap w:val="0"/>
        <w:overflowPunct/>
        <w:topLinePunct w:val="0"/>
        <w:bidi w:val="0"/>
        <w:spacing w:before="78" w:line="221" w:lineRule="auto"/>
        <w:ind w:left="5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drawing>
          <wp:anchor distT="0" distB="0" distL="114300" distR="114300" simplePos="0" relativeHeight="251663360"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8"/>
                    <a:stretch>
                      <a:fillRect/>
                    </a:stretch>
                  </pic:blipFill>
                  <pic:spPr>
                    <a:xfrm>
                      <a:off x="0" y="0"/>
                      <a:ext cx="6350" cy="279400"/>
                    </a:xfrm>
                    <a:prstGeom prst="rect">
                      <a:avLst/>
                    </a:prstGeom>
                    <a:noFill/>
                    <a:ln>
                      <a:noFill/>
                    </a:ln>
                  </pic:spPr>
                </pic:pic>
              </a:graphicData>
            </a:graphic>
          </wp:anchor>
        </w:drawing>
      </w:r>
      <w:bookmarkStart w:id="112" w:name="bookmark128"/>
      <w:bookmarkEnd w:id="112"/>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15.5  </w:t>
      </w:r>
      <w:r>
        <w:rPr>
          <w:rFonts w:hint="eastAsia" w:ascii="宋体" w:hAnsi="宋体" w:eastAsia="宋体" w:cs="宋体"/>
          <w:color w:val="000000" w:themeColor="text1"/>
          <w:spacing w:val="0"/>
          <w:sz w:val="24"/>
          <w:szCs w:val="24"/>
          <w:highlight w:val="none"/>
          <w14:textFill>
            <w14:solidFill>
              <w14:schemeClr w14:val="tx1"/>
            </w14:solidFill>
          </w14:textFill>
        </w:rPr>
        <w:t>详细评审阶段</w:t>
      </w:r>
    </w:p>
    <w:p w14:paraId="60660A02">
      <w:pPr>
        <w:keepNext w:val="0"/>
        <w:keepLines w:val="0"/>
        <w:pageBreakBefore w:val="0"/>
        <w:wordWrap w:val="0"/>
        <w:overflowPunct/>
        <w:topLinePunct w:val="0"/>
        <w:bidi w:val="0"/>
        <w:spacing w:before="81" w:line="211" w:lineRule="auto"/>
        <w:ind w:left="498"/>
        <w:outlineLvl w:val="9"/>
        <w:rPr>
          <w:rFonts w:hint="eastAsia" w:ascii="宋体" w:hAnsi="宋体" w:eastAsia="宋体" w:cs="宋体"/>
          <w:color w:val="000000" w:themeColor="text1"/>
          <w:spacing w:val="0"/>
          <w:sz w:val="25"/>
          <w:szCs w:val="25"/>
          <w:highlight w:val="none"/>
          <w14:textFill>
            <w14:solidFill>
              <w14:schemeClr w14:val="tx1"/>
            </w14:solidFill>
          </w14:textFill>
        </w:rPr>
      </w:pPr>
      <w:bookmarkStart w:id="113" w:name="_Toc28572"/>
      <w:bookmarkStart w:id="114" w:name="_Toc10503"/>
      <w:bookmarkStart w:id="115" w:name="_Toc4119"/>
      <w:bookmarkStart w:id="116" w:name="_Toc14991"/>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15.5.1  </w:t>
      </w:r>
      <w:r>
        <w:rPr>
          <w:rFonts w:hint="eastAsia" w:ascii="宋体" w:hAnsi="宋体" w:eastAsia="宋体" w:cs="宋体"/>
          <w:color w:val="000000" w:themeColor="text1"/>
          <w:spacing w:val="0"/>
          <w:sz w:val="24"/>
          <w:szCs w:val="24"/>
          <w:highlight w:val="none"/>
          <w14:textFill>
            <w14:solidFill>
              <w14:schemeClr w14:val="tx1"/>
            </w14:solidFill>
          </w14:textFill>
        </w:rPr>
        <w:t>“综合评估法 ”评审程序</w:t>
      </w:r>
      <w:bookmarkEnd w:id="113"/>
      <w:bookmarkEnd w:id="114"/>
      <w:bookmarkEnd w:id="115"/>
      <w:bookmarkEnd w:id="116"/>
    </w:p>
    <w:p w14:paraId="1C11D96B">
      <w:pPr>
        <w:keepNext w:val="0"/>
        <w:keepLines w:val="0"/>
        <w:pageBreakBefore w:val="0"/>
        <w:wordWrap w:val="0"/>
        <w:overflowPunct/>
        <w:topLinePunct w:val="0"/>
        <w:bidi w:val="0"/>
        <w:spacing w:before="152" w:line="329" w:lineRule="auto"/>
        <w:ind w:left="14" w:right="81"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评审内容分为商务技术和投标报价两大部分。其中，商务技术合计满分</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100</w:t>
      </w:r>
      <w:r>
        <w:rPr>
          <w:rFonts w:hint="eastAsia" w:ascii="宋体" w:hAnsi="宋体" w:eastAsia="宋体" w:cs="宋体"/>
          <w:color w:val="000000" w:themeColor="text1"/>
          <w:spacing w:val="0"/>
          <w:sz w:val="24"/>
          <w:szCs w:val="24"/>
          <w:highlight w:val="none"/>
          <w14:textFill>
            <w14:solidFill>
              <w14:schemeClr w14:val="tx1"/>
            </w14:solidFill>
          </w14:textFill>
        </w:rPr>
        <w:t>分，权重为</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40</w:t>
      </w:r>
      <w:r>
        <w:rPr>
          <w:rFonts w:hint="eastAsia" w:ascii="宋体" w:hAnsi="宋体" w:eastAsia="宋体" w:cs="宋体"/>
          <w:color w:val="000000" w:themeColor="text1"/>
          <w:spacing w:val="0"/>
          <w:sz w:val="24"/>
          <w:szCs w:val="24"/>
          <w:highlight w:val="none"/>
          <w14:textFill>
            <w14:solidFill>
              <w14:schemeClr w14:val="tx1"/>
            </w14:solidFill>
          </w14:textFill>
        </w:rPr>
        <w:t>%；投标报价满分 100 分，权重为</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60</w:t>
      </w:r>
      <w:r>
        <w:rPr>
          <w:rFonts w:hint="eastAsia" w:ascii="宋体" w:hAnsi="宋体" w:eastAsia="宋体" w:cs="宋体"/>
          <w:color w:val="000000" w:themeColor="text1"/>
          <w:spacing w:val="0"/>
          <w:sz w:val="24"/>
          <w:szCs w:val="24"/>
          <w:highlight w:val="none"/>
          <w14:textFill>
            <w14:solidFill>
              <w14:schemeClr w14:val="tx1"/>
            </w14:solidFill>
          </w14:textFill>
        </w:rPr>
        <w:t>% 。两大部分权重之和应为 100%。</w:t>
      </w:r>
    </w:p>
    <w:p w14:paraId="3ABDDFFD">
      <w:pPr>
        <w:keepNext w:val="0"/>
        <w:keepLines w:val="0"/>
        <w:pageBreakBefore w:val="0"/>
        <w:wordWrap w:val="0"/>
        <w:overflowPunct/>
        <w:topLinePunct w:val="0"/>
        <w:bidi w:val="0"/>
        <w:spacing w:before="153" w:line="324" w:lineRule="auto"/>
        <w:ind w:left="14" w:right="81" w:firstLine="49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除特别注明外，综合得分以及商务技术得分、投标报价得分的中间过程计算值和最终值，均按“ 四舍五入 ”原则精确到两位小数。</w:t>
      </w:r>
    </w:p>
    <w:p w14:paraId="11F14EEB">
      <w:pPr>
        <w:keepNext w:val="0"/>
        <w:keepLines w:val="0"/>
        <w:pageBreakBefore w:val="0"/>
        <w:wordWrap w:val="0"/>
        <w:overflowPunct/>
        <w:topLinePunct w:val="0"/>
        <w:bidi w:val="0"/>
        <w:spacing w:before="38" w:line="220" w:lineRule="auto"/>
        <w:ind w:left="503"/>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117" w:name="_Toc22949"/>
      <w:bookmarkStart w:id="118" w:name="_Toc10398"/>
      <w:bookmarkStart w:id="119" w:name="_Toc17510"/>
      <w:bookmarkStart w:id="120" w:name="_Toc18029"/>
      <w:r>
        <w:rPr>
          <w:rFonts w:hint="eastAsia" w:ascii="宋体" w:hAnsi="宋体" w:eastAsia="宋体" w:cs="宋体"/>
          <w:color w:val="000000" w:themeColor="text1"/>
          <w:spacing w:val="0"/>
          <w:sz w:val="24"/>
          <w:szCs w:val="24"/>
          <w:highlight w:val="none"/>
          <w14:textFill>
            <w14:solidFill>
              <w14:schemeClr w14:val="tx1"/>
            </w14:solidFill>
          </w14:textFill>
        </w:rPr>
        <w:t>（1）商务技术得分 M</w:t>
      </w:r>
      <w:bookmarkEnd w:id="117"/>
      <w:bookmarkEnd w:id="118"/>
      <w:bookmarkEnd w:id="119"/>
      <w:bookmarkEnd w:id="120"/>
    </w:p>
    <w:p w14:paraId="7F4E18BB">
      <w:pPr>
        <w:keepNext w:val="0"/>
        <w:keepLines w:val="0"/>
        <w:pageBreakBefore w:val="0"/>
        <w:wordWrap w:val="0"/>
        <w:overflowPunct/>
        <w:topLinePunct w:val="0"/>
        <w:bidi w:val="0"/>
        <w:spacing w:before="153" w:line="279" w:lineRule="auto"/>
        <w:ind w:left="15" w:right="81"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a </w:t>
      </w:r>
      <w:r>
        <w:rPr>
          <w:rFonts w:hint="eastAsia" w:ascii="宋体" w:hAnsi="宋体" w:eastAsia="宋体" w:cs="宋体"/>
          <w:color w:val="000000" w:themeColor="text1"/>
          <w:spacing w:val="0"/>
          <w:sz w:val="24"/>
          <w:szCs w:val="24"/>
          <w:highlight w:val="none"/>
          <w14:textFill>
            <w14:solidFill>
              <w14:schemeClr w14:val="tx1"/>
            </w14:solidFill>
          </w14:textFill>
        </w:rPr>
        <w:t>．评标委员会按照《综合评分表》商务部分指定的评分标准对各评分因素进行打分。各评分因素得分之和即为某投标人的商务得分 M</w:t>
      </w:r>
      <w:r>
        <w:rPr>
          <w:rFonts w:hint="eastAsia" w:ascii="宋体" w:hAnsi="宋体" w:eastAsia="宋体" w:cs="宋体"/>
          <w:color w:val="000000" w:themeColor="text1"/>
          <w:spacing w:val="0"/>
          <w:position w:val="-1"/>
          <w:sz w:val="15"/>
          <w:szCs w:val="15"/>
          <w:highlight w:val="none"/>
          <w14:textFill>
            <w14:solidFill>
              <w14:schemeClr w14:val="tx1"/>
            </w14:solidFill>
          </w14:textFill>
        </w:rPr>
        <w:t>1</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20931295">
      <w:pPr>
        <w:keepNext w:val="0"/>
        <w:keepLines w:val="0"/>
        <w:pageBreakBefore w:val="0"/>
        <w:wordWrap w:val="0"/>
        <w:overflowPunct/>
        <w:topLinePunct w:val="0"/>
        <w:bidi w:val="0"/>
        <w:spacing w:before="154" w:line="299" w:lineRule="auto"/>
        <w:ind w:left="12" w:right="81" w:firstLine="47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b </w:t>
      </w:r>
      <w:r>
        <w:rPr>
          <w:rFonts w:hint="eastAsia" w:ascii="宋体" w:hAnsi="宋体" w:eastAsia="宋体" w:cs="宋体"/>
          <w:color w:val="000000" w:themeColor="text1"/>
          <w:spacing w:val="0"/>
          <w:sz w:val="24"/>
          <w:szCs w:val="24"/>
          <w:highlight w:val="none"/>
          <w14:textFill>
            <w14:solidFill>
              <w14:schemeClr w14:val="tx1"/>
            </w14:solidFill>
          </w14:textFill>
        </w:rPr>
        <w:t>．评标委员会各成员独立按照《综合评分表》技术部分（施工组织设计）指定的评分标准对各评分因素进行打分，累加后得出技术评分。将评标委员会所有成员的技术评分去掉最高分和最低分后，取算术平均值，即为某投标人的技术得分 M</w:t>
      </w:r>
      <w:r>
        <w:rPr>
          <w:rFonts w:hint="eastAsia" w:ascii="宋体" w:hAnsi="宋体" w:eastAsia="宋体" w:cs="宋体"/>
          <w:color w:val="000000" w:themeColor="text1"/>
          <w:spacing w:val="0"/>
          <w:position w:val="-1"/>
          <w:sz w:val="15"/>
          <w:szCs w:val="15"/>
          <w:highlight w:val="none"/>
          <w14:textFill>
            <w14:solidFill>
              <w14:schemeClr w14:val="tx1"/>
            </w14:solidFill>
          </w14:textFill>
        </w:rPr>
        <w:t>2</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0C018EDE">
      <w:pPr>
        <w:keepNext w:val="0"/>
        <w:keepLines w:val="0"/>
        <w:pageBreakBefore w:val="0"/>
        <w:wordWrap w:val="0"/>
        <w:overflowPunct/>
        <w:topLinePunct w:val="0"/>
        <w:bidi w:val="0"/>
        <w:spacing w:before="155" w:line="231" w:lineRule="auto"/>
        <w:ind w:left="491"/>
        <w:rPr>
          <w:rFonts w:hint="eastAsia" w:ascii="宋体" w:hAnsi="宋体" w:eastAsia="宋体" w:cs="宋体"/>
          <w:color w:val="000000" w:themeColor="text1"/>
          <w:spacing w:val="0"/>
          <w:sz w:val="15"/>
          <w:szCs w:val="15"/>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c </w:t>
      </w:r>
      <w:r>
        <w:rPr>
          <w:rFonts w:hint="eastAsia" w:ascii="宋体" w:hAnsi="宋体" w:eastAsia="宋体" w:cs="宋体"/>
          <w:color w:val="000000" w:themeColor="text1"/>
          <w:spacing w:val="0"/>
          <w:sz w:val="24"/>
          <w:szCs w:val="24"/>
          <w:highlight w:val="none"/>
          <w14:textFill>
            <w14:solidFill>
              <w14:schemeClr w14:val="tx1"/>
            </w14:solidFill>
          </w14:textFill>
        </w:rPr>
        <w:t>．M ＝M</w:t>
      </w:r>
      <w:r>
        <w:rPr>
          <w:rFonts w:hint="eastAsia" w:ascii="宋体" w:hAnsi="宋体" w:eastAsia="宋体" w:cs="宋体"/>
          <w:color w:val="000000" w:themeColor="text1"/>
          <w:spacing w:val="0"/>
          <w:position w:val="-1"/>
          <w:sz w:val="15"/>
          <w:szCs w:val="15"/>
          <w:highlight w:val="none"/>
          <w14:textFill>
            <w14:solidFill>
              <w14:schemeClr w14:val="tx1"/>
            </w14:solidFill>
          </w14:textFill>
        </w:rPr>
        <w:t>1</w:t>
      </w:r>
      <w:r>
        <w:rPr>
          <w:rFonts w:hint="eastAsia" w:ascii="宋体" w:hAnsi="宋体" w:eastAsia="宋体" w:cs="宋体"/>
          <w:color w:val="000000" w:themeColor="text1"/>
          <w:spacing w:val="0"/>
          <w:sz w:val="24"/>
          <w:szCs w:val="24"/>
          <w:highlight w:val="none"/>
          <w14:textFill>
            <w14:solidFill>
              <w14:schemeClr w14:val="tx1"/>
            </w14:solidFill>
          </w14:textFill>
        </w:rPr>
        <w:t>＋M</w:t>
      </w:r>
      <w:r>
        <w:rPr>
          <w:rFonts w:hint="eastAsia" w:ascii="宋体" w:hAnsi="宋体" w:eastAsia="宋体" w:cs="宋体"/>
          <w:color w:val="000000" w:themeColor="text1"/>
          <w:spacing w:val="0"/>
          <w:position w:val="-1"/>
          <w:sz w:val="15"/>
          <w:szCs w:val="15"/>
          <w:highlight w:val="none"/>
          <w14:textFill>
            <w14:solidFill>
              <w14:schemeClr w14:val="tx1"/>
            </w14:solidFill>
          </w14:textFill>
        </w:rPr>
        <w:t>2</w:t>
      </w:r>
    </w:p>
    <w:p w14:paraId="277B94CD">
      <w:pPr>
        <w:keepNext w:val="0"/>
        <w:keepLines w:val="0"/>
        <w:pageBreakBefore w:val="0"/>
        <w:wordWrap w:val="0"/>
        <w:overflowPunct/>
        <w:topLinePunct w:val="0"/>
        <w:bidi w:val="0"/>
        <w:spacing w:before="139" w:line="220"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式中：M</w:t>
      </w:r>
      <w:r>
        <w:rPr>
          <w:rFonts w:hint="eastAsia" w:ascii="宋体" w:hAnsi="宋体" w:eastAsia="宋体" w:cs="宋体"/>
          <w:color w:val="000000" w:themeColor="text1"/>
          <w:spacing w:val="0"/>
          <w:position w:val="-1"/>
          <w:sz w:val="15"/>
          <w:szCs w:val="15"/>
          <w:highlight w:val="none"/>
          <w14:textFill>
            <w14:solidFill>
              <w14:schemeClr w14:val="tx1"/>
            </w14:solidFill>
          </w14:textFill>
        </w:rPr>
        <w:t>1</w:t>
      </w:r>
      <w:r>
        <w:rPr>
          <w:rFonts w:hint="eastAsia" w:ascii="宋体" w:hAnsi="宋体" w:eastAsia="宋体" w:cs="宋体"/>
          <w:color w:val="000000" w:themeColor="text1"/>
          <w:spacing w:val="0"/>
          <w:w w:val="101"/>
          <w:position w:val="-1"/>
          <w:sz w:val="15"/>
          <w:szCs w:val="15"/>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为某投标人的商务得分，M</w:t>
      </w:r>
      <w:r>
        <w:rPr>
          <w:rFonts w:hint="eastAsia" w:ascii="宋体" w:hAnsi="宋体" w:eastAsia="宋体" w:cs="宋体"/>
          <w:color w:val="000000" w:themeColor="text1"/>
          <w:spacing w:val="0"/>
          <w:position w:val="-1"/>
          <w:sz w:val="15"/>
          <w:szCs w:val="15"/>
          <w:highlight w:val="none"/>
          <w14:textFill>
            <w14:solidFill>
              <w14:schemeClr w14:val="tx1"/>
            </w14:solidFill>
          </w14:textFill>
        </w:rPr>
        <w:t xml:space="preserve">2 </w:t>
      </w:r>
      <w:r>
        <w:rPr>
          <w:rFonts w:hint="eastAsia" w:ascii="宋体" w:hAnsi="宋体" w:eastAsia="宋体" w:cs="宋体"/>
          <w:color w:val="000000" w:themeColor="text1"/>
          <w:spacing w:val="0"/>
          <w:sz w:val="24"/>
          <w:szCs w:val="24"/>
          <w:highlight w:val="none"/>
          <w14:textFill>
            <w14:solidFill>
              <w14:schemeClr w14:val="tx1"/>
            </w14:solidFill>
          </w14:textFill>
        </w:rPr>
        <w:t>为某投标人的技术得分。</w:t>
      </w:r>
    </w:p>
    <w:p w14:paraId="6B037580">
      <w:pPr>
        <w:keepNext w:val="0"/>
        <w:keepLines w:val="0"/>
        <w:pageBreakBefore w:val="0"/>
        <w:wordWrap w:val="0"/>
        <w:overflowPunct/>
        <w:topLinePunct w:val="0"/>
        <w:bidi w:val="0"/>
        <w:spacing w:before="153" w:line="219" w:lineRule="auto"/>
        <w:ind w:left="503"/>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121" w:name="_Toc27609"/>
      <w:bookmarkStart w:id="122" w:name="_Toc14059"/>
      <w:bookmarkStart w:id="123" w:name="_Toc16136"/>
      <w:bookmarkStart w:id="124" w:name="_Toc3958"/>
      <w:r>
        <w:rPr>
          <w:rFonts w:hint="eastAsia" w:ascii="宋体" w:hAnsi="宋体" w:eastAsia="宋体" w:cs="宋体"/>
          <w:color w:val="000000" w:themeColor="text1"/>
          <w:spacing w:val="0"/>
          <w:sz w:val="24"/>
          <w:szCs w:val="24"/>
          <w:highlight w:val="none"/>
          <w14:textFill>
            <w14:solidFill>
              <w14:schemeClr w14:val="tx1"/>
            </w14:solidFill>
          </w14:textFill>
        </w:rPr>
        <w:t>（2）投标报价得分 N</w:t>
      </w:r>
      <w:bookmarkEnd w:id="121"/>
      <w:bookmarkEnd w:id="122"/>
      <w:bookmarkEnd w:id="123"/>
      <w:bookmarkEnd w:id="124"/>
    </w:p>
    <w:p w14:paraId="1BB7535A">
      <w:pPr>
        <w:keepNext w:val="0"/>
        <w:keepLines w:val="0"/>
        <w:pageBreakBefore w:val="0"/>
        <w:wordWrap w:val="0"/>
        <w:overflowPunct/>
        <w:topLinePunct w:val="0"/>
        <w:bidi w:val="0"/>
        <w:spacing w:before="157" w:line="219" w:lineRule="auto"/>
        <w:ind w:firstLine="482" w:firstLineChars="20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a </w:t>
      </w:r>
      <w:r>
        <w:rPr>
          <w:rFonts w:hint="eastAsia" w:ascii="宋体" w:hAnsi="宋体" w:eastAsia="宋体" w:cs="宋体"/>
          <w:color w:val="000000" w:themeColor="text1"/>
          <w:spacing w:val="0"/>
          <w:sz w:val="24"/>
          <w:szCs w:val="24"/>
          <w:highlight w:val="none"/>
          <w14:textFill>
            <w14:solidFill>
              <w14:schemeClr w14:val="tx1"/>
            </w14:solidFill>
          </w14:textFill>
        </w:rPr>
        <w:t>．评标委员会按照《综合评分表》投标报价部分指定的方法计算评标基准价 D。</w:t>
      </w:r>
    </w:p>
    <w:p w14:paraId="58AA9DB6">
      <w:pPr>
        <w:keepNext w:val="0"/>
        <w:keepLines w:val="0"/>
        <w:pageBreakBefore w:val="0"/>
        <w:wordWrap w:val="0"/>
        <w:overflowPunct/>
        <w:topLinePunct w:val="0"/>
        <w:bidi w:val="0"/>
        <w:spacing w:before="155" w:line="299" w:lineRule="auto"/>
        <w:ind w:left="12" w:right="83" w:firstLine="47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b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．采用内插法计算某投标人的投标报价得分 N ，即当投标人的投标总价等于评标基准价时得 100 分，每高于评标基准价一个百分点扣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 分,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每低于评标基准价一个百分点扣 </w:t>
      </w:r>
      <w:r>
        <w:rPr>
          <w:rFonts w:hint="eastAsia" w:ascii="宋体" w:hAnsi="宋体" w:eastAsia="宋体" w:cs="宋体"/>
          <w:b/>
          <w:bCs/>
          <w:color w:val="000000" w:themeColor="text1"/>
          <w:spacing w:val="0"/>
          <w:sz w:val="24"/>
          <w:szCs w:val="24"/>
          <w:highlight w:val="none"/>
          <w14:textFill>
            <w14:solidFill>
              <w14:schemeClr w14:val="tx1"/>
            </w14:solidFill>
          </w14:textFill>
        </w:rPr>
        <w:t>0.5 分</w:t>
      </w:r>
      <w:r>
        <w:rPr>
          <w:rFonts w:hint="eastAsia" w:ascii="宋体" w:hAnsi="宋体" w:eastAsia="宋体" w:cs="宋体"/>
          <w:color w:val="000000" w:themeColor="text1"/>
          <w:spacing w:val="0"/>
          <w:sz w:val="24"/>
          <w:szCs w:val="24"/>
          <w:highlight w:val="none"/>
          <w14:textFill>
            <w14:solidFill>
              <w14:schemeClr w14:val="tx1"/>
            </w14:solidFill>
          </w14:textFill>
        </w:rPr>
        <w:t>，扣完为止。公式如下：</w:t>
      </w:r>
    </w:p>
    <w:p w14:paraId="232F1429">
      <w:pPr>
        <w:keepNext w:val="0"/>
        <w:keepLines w:val="0"/>
        <w:pageBreakBefore w:val="0"/>
        <w:wordWrap w:val="0"/>
        <w:overflowPunct/>
        <w:topLinePunct w:val="0"/>
        <w:bidi w:val="0"/>
        <w:spacing w:before="118" w:line="333" w:lineRule="exact"/>
        <w:ind w:left="241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3"/>
          <w:sz w:val="24"/>
          <w:szCs w:val="24"/>
          <w:highlight w:val="none"/>
          <w14:textFill>
            <w14:solidFill>
              <w14:schemeClr w14:val="tx1"/>
            </w14:solidFill>
          </w14:textFill>
        </w:rPr>
        <w:t>N ＝100－（| Di－D | ÷D） × 100×E</w:t>
      </w:r>
    </w:p>
    <w:p w14:paraId="6B667673">
      <w:pPr>
        <w:keepNext w:val="0"/>
        <w:keepLines w:val="0"/>
        <w:pageBreakBefore w:val="0"/>
        <w:wordWrap w:val="0"/>
        <w:overflowPunct/>
        <w:topLinePunct w:val="0"/>
        <w:bidi w:val="0"/>
        <w:spacing w:before="106" w:line="316" w:lineRule="auto"/>
        <w:ind w:left="7" w:right="17" w:firstLine="48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式中：D 为评标基准价；Di为某投标人的投标总价；E 为扣分因子，当 Di＞D时，E ＝</w:t>
      </w:r>
      <w:r>
        <w:rPr>
          <w:rFonts w:hint="eastAsia" w:ascii="宋体" w:hAnsi="宋体" w:eastAsia="宋体" w:cs="宋体"/>
          <w:b/>
          <w:bCs/>
          <w:color w:val="000000" w:themeColor="text1"/>
          <w:spacing w:val="0"/>
          <w:sz w:val="24"/>
          <w:szCs w:val="24"/>
          <w:highlight w:val="none"/>
          <w14:textFill>
            <w14:solidFill>
              <w14:schemeClr w14:val="tx1"/>
            </w14:solidFill>
          </w14:textFill>
        </w:rPr>
        <w:t>1 ；</w:t>
      </w:r>
      <w:r>
        <w:rPr>
          <w:rFonts w:hint="eastAsia" w:ascii="宋体" w:hAnsi="宋体" w:eastAsia="宋体" w:cs="宋体"/>
          <w:color w:val="000000" w:themeColor="text1"/>
          <w:spacing w:val="0"/>
          <w:sz w:val="24"/>
          <w:szCs w:val="24"/>
          <w:highlight w:val="none"/>
          <w14:textFill>
            <w14:solidFill>
              <w14:schemeClr w14:val="tx1"/>
            </w14:solidFill>
          </w14:textFill>
        </w:rPr>
        <w:t>当 Di＜D</w:t>
      </w:r>
      <w:r>
        <w:rPr>
          <w:rFonts w:hint="eastAsia" w:ascii="宋体" w:hAnsi="宋体" w:eastAsia="宋体" w:cs="宋体"/>
          <w:color w:val="000000" w:themeColor="text1"/>
          <w:spacing w:val="0"/>
          <w:w w:val="10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时，E </w:t>
      </w:r>
      <w:r>
        <w:rPr>
          <w:rFonts w:hint="eastAsia" w:ascii="宋体" w:hAnsi="宋体" w:eastAsia="宋体" w:cs="宋体"/>
          <w:b/>
          <w:bCs/>
          <w:color w:val="000000" w:themeColor="text1"/>
          <w:spacing w:val="0"/>
          <w:sz w:val="24"/>
          <w:szCs w:val="24"/>
          <w:highlight w:val="none"/>
          <w14:textFill>
            <w14:solidFill>
              <w14:schemeClr w14:val="tx1"/>
            </w14:solidFill>
          </w14:textFill>
        </w:rPr>
        <w:t>＝0.5</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w:t>
      </w:r>
    </w:p>
    <w:p w14:paraId="6F340CA9">
      <w:pPr>
        <w:keepNext w:val="0"/>
        <w:keepLines w:val="0"/>
        <w:pageBreakBefore w:val="0"/>
        <w:wordWrap w:val="0"/>
        <w:overflowPunct/>
        <w:topLinePunct w:val="0"/>
        <w:bidi w:val="0"/>
        <w:spacing w:before="95" w:line="220" w:lineRule="auto"/>
        <w:ind w:left="503"/>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125" w:name="_Toc3861"/>
      <w:bookmarkStart w:id="126" w:name="_Toc4990"/>
      <w:bookmarkStart w:id="127" w:name="_Toc7915"/>
      <w:bookmarkStart w:id="128" w:name="_Toc576"/>
      <w:r>
        <w:rPr>
          <w:rFonts w:hint="eastAsia" w:ascii="宋体" w:hAnsi="宋体" w:eastAsia="宋体" w:cs="宋体"/>
          <w:color w:val="000000" w:themeColor="text1"/>
          <w:spacing w:val="0"/>
          <w:sz w:val="24"/>
          <w:szCs w:val="24"/>
          <w:highlight w:val="none"/>
          <w14:textFill>
            <w14:solidFill>
              <w14:schemeClr w14:val="tx1"/>
            </w14:solidFill>
          </w14:textFill>
        </w:rPr>
        <w:t>（3）综合得分</w:t>
      </w:r>
      <w:bookmarkEnd w:id="125"/>
      <w:bookmarkEnd w:id="126"/>
      <w:bookmarkEnd w:id="127"/>
      <w:bookmarkEnd w:id="128"/>
    </w:p>
    <w:p w14:paraId="50217631">
      <w:pPr>
        <w:keepNext w:val="0"/>
        <w:keepLines w:val="0"/>
        <w:pageBreakBefore w:val="0"/>
        <w:wordWrap w:val="0"/>
        <w:overflowPunct/>
        <w:topLinePunct w:val="0"/>
        <w:bidi w:val="0"/>
        <w:spacing w:before="153" w:line="220" w:lineRule="auto"/>
        <w:ind w:left="49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综合得分换算为百分制，满分 100 分，公式如下：</w:t>
      </w:r>
    </w:p>
    <w:p w14:paraId="215CB6BC">
      <w:pPr>
        <w:keepNext w:val="0"/>
        <w:keepLines w:val="0"/>
        <w:pageBreakBefore w:val="0"/>
        <w:wordWrap w:val="0"/>
        <w:overflowPunct/>
        <w:topLinePunct w:val="0"/>
        <w:bidi w:val="0"/>
        <w:spacing w:before="155" w:line="324" w:lineRule="auto"/>
        <w:ind w:left="496" w:right="532" w:hanging="3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综合得分＝M÷商务技术合计满分×100×商务技术权重＋N×投标报价权重</w:t>
      </w:r>
    </w:p>
    <w:p w14:paraId="390CA99F">
      <w:pPr>
        <w:keepNext w:val="0"/>
        <w:keepLines w:val="0"/>
        <w:pageBreakBefore w:val="0"/>
        <w:wordWrap w:val="0"/>
        <w:overflowPunct/>
        <w:topLinePunct w:val="0"/>
        <w:bidi w:val="0"/>
        <w:spacing w:before="155" w:line="324" w:lineRule="auto"/>
        <w:ind w:left="496" w:right="532" w:hanging="3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式中：M 为商务技术得分，N 为投标报价得分。</w:t>
      </w:r>
    </w:p>
    <w:p w14:paraId="07CFCF80">
      <w:pPr>
        <w:keepNext w:val="0"/>
        <w:keepLines w:val="0"/>
        <w:pageBreakBefore w:val="0"/>
        <w:wordWrap w:val="0"/>
        <w:overflowPunct/>
        <w:topLinePunct w:val="0"/>
        <w:bidi w:val="0"/>
        <w:spacing w:before="37" w:line="219" w:lineRule="auto"/>
        <w:ind w:left="503"/>
        <w:outlineLvl w:val="9"/>
        <w:rPr>
          <w:rFonts w:hint="eastAsia" w:ascii="宋体" w:hAnsi="宋体" w:eastAsia="宋体" w:cs="宋体"/>
          <w:color w:val="000000" w:themeColor="text1"/>
          <w:spacing w:val="0"/>
          <w:highlight w:val="none"/>
          <w14:textFill>
            <w14:solidFill>
              <w14:schemeClr w14:val="tx1"/>
            </w14:solidFill>
          </w14:textFill>
        </w:rPr>
      </w:pPr>
      <w:bookmarkStart w:id="129" w:name="_Toc25214"/>
      <w:bookmarkStart w:id="130" w:name="_Toc32384"/>
      <w:bookmarkStart w:id="131" w:name="_Toc2885"/>
      <w:bookmarkStart w:id="132" w:name="_Toc30671"/>
      <w:r>
        <w:rPr>
          <w:rFonts w:hint="eastAsia" w:ascii="宋体" w:hAnsi="宋体" w:eastAsia="宋体" w:cs="宋体"/>
          <w:color w:val="000000" w:themeColor="text1"/>
          <w:spacing w:val="0"/>
          <w:sz w:val="24"/>
          <w:szCs w:val="24"/>
          <w:highlight w:val="none"/>
          <w14:textFill>
            <w14:solidFill>
              <w14:schemeClr w14:val="tx1"/>
            </w14:solidFill>
          </w14:textFill>
        </w:rPr>
        <w:t>（4）评标委员会汇总、比较所有投标人的综合得分后，取综合得分最高的投标</w:t>
      </w:r>
      <w:bookmarkEnd w:id="129"/>
      <w:bookmarkEnd w:id="130"/>
      <w:bookmarkEnd w:id="131"/>
      <w:bookmarkEnd w:id="132"/>
    </w:p>
    <w:p w14:paraId="24898226">
      <w:pPr>
        <w:keepNext w:val="0"/>
        <w:keepLines w:val="0"/>
        <w:pageBreakBefore w:val="0"/>
        <w:wordWrap w:val="0"/>
        <w:overflowPunct/>
        <w:topLinePunct w:val="0"/>
        <w:bidi w:val="0"/>
        <w:spacing w:before="78" w:line="329" w:lineRule="auto"/>
        <w:ind w:left="276" w:right="263" w:hanging="1"/>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人为第一中标候选人，取综合得分第二、第三高的投标人为第二、第三中标候选人。 如果最高综合得分相同，取投标总价低者为第一中标候选人，并依此确定第二、第三 中标候选人。如果最高综合得分相同，投标总价也相同，由评标委员会投票确定。</w:t>
      </w:r>
    </w:p>
    <w:p w14:paraId="22C172D9">
      <w:pPr>
        <w:keepNext w:val="0"/>
        <w:keepLines w:val="0"/>
        <w:pageBreakBefore w:val="0"/>
        <w:wordWrap w:val="0"/>
        <w:overflowPunct/>
        <w:topLinePunct w:val="0"/>
        <w:bidi w:val="0"/>
        <w:rPr>
          <w:rFonts w:hint="eastAsia" w:ascii="宋体" w:hAnsi="宋体" w:eastAsia="宋体" w:cs="宋体"/>
          <w:b/>
          <w:bCs/>
          <w:color w:val="000000" w:themeColor="text1"/>
          <w:spacing w:val="0"/>
          <w:sz w:val="30"/>
          <w:szCs w:val="30"/>
          <w:highlight w:val="none"/>
          <w14:textFill>
            <w14:solidFill>
              <w14:schemeClr w14:val="tx1"/>
            </w14:solidFill>
          </w14:textFill>
        </w:rPr>
      </w:pPr>
      <w:bookmarkStart w:id="133" w:name="_Toc16801"/>
      <w:bookmarkStart w:id="134" w:name="_Toc17375"/>
      <w:bookmarkStart w:id="135" w:name="_Toc3020"/>
      <w:r>
        <w:rPr>
          <w:rFonts w:hint="eastAsia" w:ascii="宋体" w:hAnsi="宋体" w:eastAsia="宋体" w:cs="宋体"/>
          <w:b/>
          <w:bCs/>
          <w:color w:val="000000" w:themeColor="text1"/>
          <w:spacing w:val="0"/>
          <w:sz w:val="30"/>
          <w:szCs w:val="30"/>
          <w:highlight w:val="none"/>
          <w14:textFill>
            <w14:solidFill>
              <w14:schemeClr w14:val="tx1"/>
            </w14:solidFill>
          </w14:textFill>
        </w:rPr>
        <w:br w:type="page"/>
      </w:r>
    </w:p>
    <w:p w14:paraId="042A8A28">
      <w:pPr>
        <w:keepNext w:val="0"/>
        <w:keepLines w:val="0"/>
        <w:pageBreakBefore w:val="0"/>
        <w:wordWrap w:val="0"/>
        <w:overflowPunct/>
        <w:topLinePunct w:val="0"/>
        <w:bidi w:val="0"/>
        <w:spacing w:before="98" w:line="221" w:lineRule="auto"/>
        <w:ind w:left="4248"/>
        <w:outlineLvl w:val="9"/>
        <w:rPr>
          <w:rFonts w:hint="eastAsia" w:ascii="宋体" w:hAnsi="宋体" w:eastAsia="宋体" w:cs="宋体"/>
          <w:b/>
          <w:bCs/>
          <w:color w:val="000000" w:themeColor="text1"/>
          <w:spacing w:val="0"/>
          <w:sz w:val="30"/>
          <w:szCs w:val="30"/>
          <w:highlight w:val="none"/>
          <w14:textFill>
            <w14:solidFill>
              <w14:schemeClr w14:val="tx1"/>
            </w14:solidFill>
          </w14:textFill>
        </w:rPr>
      </w:pPr>
      <w:r>
        <w:rPr>
          <w:rFonts w:hint="eastAsia" w:ascii="宋体" w:hAnsi="宋体" w:eastAsia="宋体" w:cs="宋体"/>
          <w:b/>
          <w:bCs/>
          <w:color w:val="000000" w:themeColor="text1"/>
          <w:spacing w:val="0"/>
          <w:sz w:val="30"/>
          <w:szCs w:val="30"/>
          <w:highlight w:val="none"/>
          <w14:textFill>
            <w14:solidFill>
              <w14:schemeClr w14:val="tx1"/>
            </w14:solidFill>
          </w14:textFill>
        </w:rPr>
        <w:t>综合评分表</w:t>
      </w:r>
      <w:bookmarkEnd w:id="133"/>
      <w:bookmarkEnd w:id="134"/>
      <w:bookmarkEnd w:id="135"/>
    </w:p>
    <w:tbl>
      <w:tblPr>
        <w:tblStyle w:val="14"/>
        <w:tblW w:w="10307" w:type="dxa"/>
        <w:jc w:val="center"/>
        <w:tblLayout w:type="fixed"/>
        <w:tblCellMar>
          <w:top w:w="0" w:type="dxa"/>
          <w:left w:w="108" w:type="dxa"/>
          <w:bottom w:w="0" w:type="dxa"/>
          <w:right w:w="108" w:type="dxa"/>
        </w:tblCellMar>
      </w:tblPr>
      <w:tblGrid>
        <w:gridCol w:w="1216"/>
        <w:gridCol w:w="3733"/>
        <w:gridCol w:w="5358"/>
      </w:tblGrid>
      <w:tr w14:paraId="496476D5">
        <w:tblPrEx>
          <w:tblCellMar>
            <w:top w:w="0" w:type="dxa"/>
            <w:left w:w="108" w:type="dxa"/>
            <w:bottom w:w="0" w:type="dxa"/>
            <w:right w:w="108" w:type="dxa"/>
          </w:tblCellMar>
        </w:tblPrEx>
        <w:trPr>
          <w:trHeight w:val="587" w:hRule="exact"/>
          <w:jc w:val="center"/>
        </w:trPr>
        <w:tc>
          <w:tcPr>
            <w:tcW w:w="10307"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14:paraId="4B82839E">
            <w:pPr>
              <w:widowControl w:val="0"/>
              <w:tabs>
                <w:tab w:val="left" w:pos="1354"/>
                <w:tab w:val="left" w:pos="1459"/>
                <w:tab w:val="center" w:pos="3902"/>
                <w:tab w:val="right" w:pos="7805"/>
              </w:tabs>
              <w:wordWrap w:val="0"/>
              <w:spacing w:after="0" w:line="240" w:lineRule="auto"/>
              <w:jc w:val="both"/>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bidi="ar-SA"/>
                <w14:textFill>
                  <w14:solidFill>
                    <w14:schemeClr w14:val="tx1"/>
                  </w14:solidFill>
                </w14:textFill>
              </w:rPr>
              <w:t>商务部分，满分：</w:t>
            </w:r>
            <w:r>
              <w:rPr>
                <w:rFonts w:hint="eastAsia" w:ascii="宋体" w:hAnsi="宋体" w:eastAsia="宋体" w:cs="宋体"/>
                <w:b/>
                <w:bCs/>
                <w:snapToGrid w:val="0"/>
                <w:color w:val="000000" w:themeColor="text1"/>
                <w:kern w:val="0"/>
                <w:sz w:val="24"/>
                <w:szCs w:val="24"/>
                <w:highlight w:val="none"/>
                <w:u w:val="single"/>
                <w:lang w:val="en-US" w:eastAsia="zh-CN" w:bidi="ar-SA"/>
                <w14:textFill>
                  <w14:solidFill>
                    <w14:schemeClr w14:val="tx1"/>
                  </w14:solidFill>
                </w14:textFill>
              </w:rPr>
              <w:t xml:space="preserve">  80  </w:t>
            </w:r>
            <w:r>
              <w:rPr>
                <w:rFonts w:hint="eastAsia" w:ascii="宋体" w:hAnsi="宋体" w:eastAsia="宋体" w:cs="宋体"/>
                <w:b/>
                <w:bCs/>
                <w:snapToGrid w:val="0"/>
                <w:color w:val="000000" w:themeColor="text1"/>
                <w:kern w:val="0"/>
                <w:sz w:val="24"/>
                <w:szCs w:val="24"/>
                <w:highlight w:val="none"/>
                <w:lang w:val="en-US" w:eastAsia="zh-CN" w:bidi="ar-SA"/>
                <w14:textFill>
                  <w14:solidFill>
                    <w14:schemeClr w14:val="tx1"/>
                  </w14:solidFill>
                </w14:textFill>
              </w:rPr>
              <w:t>分。</w:t>
            </w:r>
          </w:p>
        </w:tc>
      </w:tr>
      <w:tr w14:paraId="7FEA8820">
        <w:tblPrEx>
          <w:tblCellMar>
            <w:top w:w="0" w:type="dxa"/>
            <w:left w:w="108" w:type="dxa"/>
            <w:bottom w:w="0" w:type="dxa"/>
            <w:right w:w="108" w:type="dxa"/>
          </w:tblCellMar>
        </w:tblPrEx>
        <w:trPr>
          <w:trHeight w:val="583"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CA743F0">
            <w:pPr>
              <w:widowControl w:val="0"/>
              <w:tabs>
                <w:tab w:val="left" w:pos="1354"/>
                <w:tab w:val="left" w:pos="1459"/>
                <w:tab w:val="center" w:pos="3902"/>
                <w:tab w:val="right" w:pos="7805"/>
              </w:tabs>
              <w:wordWrap w:val="0"/>
              <w:adjustRightInd w:val="0"/>
              <w:spacing w:after="0" w:line="240" w:lineRule="auto"/>
              <w:jc w:val="cente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评分因素</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7858857E">
            <w:pPr>
              <w:widowControl w:val="0"/>
              <w:tabs>
                <w:tab w:val="left" w:pos="1354"/>
                <w:tab w:val="left" w:pos="1459"/>
                <w:tab w:val="center" w:pos="3902"/>
                <w:tab w:val="right" w:pos="7805"/>
              </w:tabs>
              <w:wordWrap w:val="0"/>
              <w:adjustRightInd w:val="0"/>
              <w:spacing w:after="0" w:line="240" w:lineRule="auto"/>
              <w:jc w:val="cente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评分标准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3918AC3D">
            <w:pPr>
              <w:widowControl w:val="0"/>
              <w:tabs>
                <w:tab w:val="left" w:pos="1354"/>
                <w:tab w:val="left" w:pos="1459"/>
                <w:tab w:val="center" w:pos="3902"/>
                <w:tab w:val="right" w:pos="7805"/>
              </w:tabs>
              <w:wordWrap w:val="0"/>
              <w:adjustRightInd w:val="0"/>
              <w:spacing w:after="0" w:line="240" w:lineRule="auto"/>
              <w:jc w:val="cente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备注</w:t>
            </w:r>
          </w:p>
        </w:tc>
      </w:tr>
      <w:tr w14:paraId="5E057B61">
        <w:tblPrEx>
          <w:tblCellMar>
            <w:top w:w="0" w:type="dxa"/>
            <w:left w:w="108" w:type="dxa"/>
            <w:bottom w:w="0" w:type="dxa"/>
            <w:right w:w="108" w:type="dxa"/>
          </w:tblCellMar>
        </w:tblPrEx>
        <w:trPr>
          <w:trHeight w:val="8334"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0EE99718">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企业奖项</w:t>
            </w:r>
          </w:p>
          <w:p w14:paraId="6257824B">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（10分）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03697864">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企业近</w:t>
            </w:r>
            <w:r>
              <w:rPr>
                <w:rFonts w:hint="eastAsia" w:ascii="宋体" w:hAnsi="宋体" w:eastAsia="宋体" w:cs="宋体"/>
                <w:snapToGrid w:val="0"/>
                <w:color w:val="000000" w:themeColor="text1"/>
                <w:kern w:val="0"/>
                <w:sz w:val="21"/>
                <w:szCs w:val="21"/>
                <w:highlight w:val="none"/>
                <w:u w:val="single"/>
                <w:lang w:eastAsia="zh-CN"/>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u w:val="single"/>
                <w:lang w:val="en-US" w:eastAsia="zh-CN"/>
                <w14:textFill>
                  <w14:solidFill>
                    <w14:schemeClr w14:val="tx1"/>
                  </w14:solidFill>
                </w14:textFill>
              </w:rPr>
              <w:t>3</w:t>
            </w:r>
            <w:r>
              <w:rPr>
                <w:rFonts w:hint="eastAsia" w:ascii="宋体" w:hAnsi="宋体" w:eastAsia="宋体" w:cs="宋体"/>
                <w:snapToGrid w:val="0"/>
                <w:color w:val="000000" w:themeColor="text1"/>
                <w:kern w:val="0"/>
                <w:sz w:val="21"/>
                <w:szCs w:val="21"/>
                <w:highlight w:val="none"/>
                <w:u w:val="single"/>
                <w:lang w:eastAsia="zh-CN"/>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年来（202</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年1月1日至今）获得</w:t>
            </w:r>
            <w:r>
              <w:rPr>
                <w:rFonts w:hint="eastAsia" w:ascii="宋体" w:hAnsi="宋体" w:eastAsia="宋体" w:cs="宋体"/>
                <w:snapToGrid w:val="0"/>
                <w:color w:val="000000" w:themeColor="text1"/>
                <w:kern w:val="0"/>
                <w:sz w:val="21"/>
                <w:szCs w:val="21"/>
                <w:highlight w:val="none"/>
                <w:u w:val="single"/>
                <w:lang w:eastAsia="zh-CN"/>
                <w14:textFill>
                  <w14:solidFill>
                    <w14:schemeClr w14:val="tx1"/>
                  </w14:solidFill>
                </w14:textFill>
              </w:rPr>
              <w:t xml:space="preserve"> 市政 </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工程类奖项情况：</w:t>
            </w:r>
          </w:p>
          <w:p w14:paraId="7F9089E6">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1．获得国家级奖项的，每个得</w:t>
            </w:r>
            <w:r>
              <w:rPr>
                <w:rFonts w:hint="eastAsia" w:ascii="宋体" w:hAnsi="宋体" w:eastAsia="宋体" w:cs="宋体"/>
                <w:snapToGrid w:val="0"/>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u w:val="single"/>
                <w:lang w:eastAsia="zh-CN"/>
                <w14:textFill>
                  <w14:solidFill>
                    <w14:schemeClr w14:val="tx1"/>
                  </w14:solidFill>
                </w14:textFill>
              </w:rPr>
              <w:t>8</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分。</w:t>
            </w:r>
          </w:p>
          <w:p w14:paraId="3E683BFA">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2．获得省级奖项的，每个得</w:t>
            </w:r>
            <w:r>
              <w:rPr>
                <w:rFonts w:hint="eastAsia" w:ascii="宋体" w:hAnsi="宋体" w:eastAsia="宋体" w:cs="宋体"/>
                <w:snapToGrid w:val="0"/>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u w:val="single"/>
                <w:lang w:eastAsia="zh-CN"/>
                <w14:textFill>
                  <w14:solidFill>
                    <w14:schemeClr w14:val="tx1"/>
                  </w14:solidFill>
                </w14:textFill>
              </w:rPr>
              <w:t>4</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分。</w:t>
            </w:r>
          </w:p>
          <w:p w14:paraId="3F5EF6E5">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3．获得地市级奖项的，每个得</w:t>
            </w:r>
            <w:r>
              <w:rPr>
                <w:rFonts w:hint="eastAsia" w:ascii="宋体" w:hAnsi="宋体" w:eastAsia="宋体" w:cs="宋体"/>
                <w:snapToGrid w:val="0"/>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u w:val="single"/>
                <w:lang w:eastAsia="zh-CN"/>
                <w14:textFill>
                  <w14:solidFill>
                    <w14:schemeClr w14:val="tx1"/>
                  </w14:solidFill>
                </w14:textFill>
              </w:rPr>
              <w:t>2</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分。</w:t>
            </w:r>
          </w:p>
          <w:p w14:paraId="4C9D96CB">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4．以上奖项均未获得的，不予计分。</w:t>
            </w:r>
          </w:p>
          <w:p w14:paraId="1CE4A1B0">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5．本项最高得10分。</w:t>
            </w:r>
          </w:p>
        </w:tc>
        <w:tc>
          <w:tcPr>
            <w:tcW w:w="5358" w:type="dxa"/>
            <w:tcBorders>
              <w:top w:val="single" w:color="auto" w:sz="4" w:space="0"/>
              <w:left w:val="single" w:color="auto" w:sz="4" w:space="0"/>
              <w:bottom w:val="single" w:color="auto" w:sz="4" w:space="0"/>
              <w:right w:val="single" w:color="auto" w:sz="4" w:space="0"/>
            </w:tcBorders>
            <w:noWrap w:val="0"/>
            <w:vAlign w:val="top"/>
          </w:tcPr>
          <w:p w14:paraId="6E72DBCB">
            <w:pPr>
              <w:keepNext w:val="0"/>
              <w:keepLines w:val="0"/>
              <w:pageBreakBefore w:val="0"/>
              <w:widowControl w:val="0"/>
              <w:kinsoku/>
              <w:wordWrap w:val="0"/>
              <w:overflowPunct/>
              <w:topLinePunct w:val="0"/>
              <w:autoSpaceDE/>
              <w:autoSpaceDN/>
              <w:bidi w:val="0"/>
              <w:adjustRightInd w:val="0"/>
              <w:snapToGrid w:val="0"/>
              <w:spacing w:line="336" w:lineRule="auto"/>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1．允许投标人提交多个业绩，但同一业绩只按最高级别奖项计分一次。</w:t>
            </w:r>
          </w:p>
          <w:p w14:paraId="758591B7">
            <w:pPr>
              <w:keepNext w:val="0"/>
              <w:keepLines w:val="0"/>
              <w:pageBreakBefore w:val="0"/>
              <w:widowControl w:val="0"/>
              <w:kinsoku/>
              <w:wordWrap w:val="0"/>
              <w:overflowPunct/>
              <w:topLinePunct w:val="0"/>
              <w:autoSpaceDE/>
              <w:autoSpaceDN/>
              <w:bidi w:val="0"/>
              <w:adjustRightInd w:val="0"/>
              <w:snapToGrid w:val="0"/>
              <w:spacing w:line="336" w:lineRule="auto"/>
              <w:jc w:val="both"/>
              <w:textAlignment w:val="auto"/>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2．需附有关奖项证明复印件（或打印件或扫描件)，</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同时提供原件供核对。（奖项如电子证书的除外）</w:t>
            </w:r>
          </w:p>
          <w:p w14:paraId="7685F405">
            <w:pPr>
              <w:keepNext w:val="0"/>
              <w:keepLines w:val="0"/>
              <w:pageBreakBefore w:val="0"/>
              <w:widowControl w:val="0"/>
              <w:kinsoku/>
              <w:wordWrap w:val="0"/>
              <w:overflowPunct/>
              <w:topLinePunct w:val="0"/>
              <w:autoSpaceDE/>
              <w:autoSpaceDN/>
              <w:bidi w:val="0"/>
              <w:adjustRightInd w:val="0"/>
              <w:snapToGrid w:val="0"/>
              <w:spacing w:line="336" w:lineRule="auto"/>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3．颁发机构限定以下范围：</w:t>
            </w:r>
          </w:p>
          <w:p w14:paraId="03DF09F5">
            <w:pPr>
              <w:keepNext w:val="0"/>
              <w:keepLines w:val="0"/>
              <w:pageBreakBefore w:val="0"/>
              <w:widowControl/>
              <w:overflowPunct/>
              <w:topLinePunct w:val="0"/>
              <w:bidi w:val="0"/>
              <w:adjustRightInd w:val="0"/>
              <w:snapToGrid w:val="0"/>
              <w:spacing w:line="336" w:lineRule="auto"/>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①国家级奖项：</w:t>
            </w:r>
            <w:r>
              <w:rPr>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国务院、住建部、国家级相关行业协会；</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（相关协会需经民政部门备案）</w:t>
            </w:r>
          </w:p>
          <w:p w14:paraId="304D7F29">
            <w:pPr>
              <w:keepNext w:val="0"/>
              <w:keepLines w:val="0"/>
              <w:pageBreakBefore w:val="0"/>
              <w:widowControl/>
              <w:overflowPunct/>
              <w:topLinePunct w:val="0"/>
              <w:bidi w:val="0"/>
              <w:adjustRightInd w:val="0"/>
              <w:snapToGrid w:val="0"/>
              <w:spacing w:line="336" w:lineRule="auto"/>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②省级奖项：</w:t>
            </w:r>
            <w:r>
              <w:rPr>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省级人民政府、省级住建部门、省级相关行业协会；</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（相关协会需经民政部门备案）</w:t>
            </w:r>
          </w:p>
          <w:p w14:paraId="3CFA3789">
            <w:pPr>
              <w:keepNext w:val="0"/>
              <w:keepLines w:val="0"/>
              <w:pageBreakBefore w:val="0"/>
              <w:widowControl w:val="0"/>
              <w:kinsoku/>
              <w:wordWrap w:val="0"/>
              <w:overflowPunct/>
              <w:topLinePunct w:val="0"/>
              <w:autoSpaceDE/>
              <w:autoSpaceDN/>
              <w:bidi w:val="0"/>
              <w:adjustRightInd w:val="0"/>
              <w:snapToGrid w:val="0"/>
              <w:spacing w:line="336" w:lineRule="auto"/>
              <w:jc w:val="both"/>
              <w:textAlignment w:val="auto"/>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t>③地市级奖项：</w:t>
            </w:r>
            <w:r>
              <w:rPr>
                <w:rFonts w:hint="eastAsia" w:ascii="宋体" w:hAnsi="宋体" w:eastAsia="宋体" w:cs="宋体"/>
                <w:snapToGrid/>
                <w:color w:val="000000" w:themeColor="text1"/>
                <w:kern w:val="0"/>
                <w:sz w:val="21"/>
                <w:szCs w:val="21"/>
                <w:highlight w:val="none"/>
                <w:u w:val="single"/>
                <w:lang w:eastAsia="zh-CN"/>
                <w14:textFill>
                  <w14:solidFill>
                    <w14:schemeClr w14:val="tx1"/>
                  </w14:solidFill>
                </w14:textFill>
              </w:rPr>
              <w:t xml:space="preserve"> 地市级人民政府、地市级住建部门、</w:t>
            </w:r>
            <w:r>
              <w:rPr>
                <w:rFonts w:hint="eastAsia" w:ascii="宋体" w:hAnsi="宋体" w:eastAsia="宋体" w:cs="宋体"/>
                <w:snapToGrid/>
                <w:color w:val="000000" w:themeColor="text1"/>
                <w:kern w:val="0"/>
                <w:sz w:val="21"/>
                <w:szCs w:val="21"/>
                <w:highlight w:val="none"/>
                <w:u w:val="single"/>
                <w:lang w:val="en-US" w:eastAsia="zh-CN"/>
                <w14:textFill>
                  <w14:solidFill>
                    <w14:schemeClr w14:val="tx1"/>
                  </w14:solidFill>
                </w14:textFill>
              </w:rPr>
              <w:t>地</w:t>
            </w:r>
            <w:r>
              <w:rPr>
                <w:rFonts w:hint="eastAsia" w:ascii="宋体" w:hAnsi="宋体" w:eastAsia="宋体" w:cs="宋体"/>
                <w:snapToGrid/>
                <w:color w:val="000000" w:themeColor="text1"/>
                <w:kern w:val="0"/>
                <w:sz w:val="21"/>
                <w:szCs w:val="21"/>
                <w:highlight w:val="none"/>
                <w:u w:val="single"/>
                <w:lang w:eastAsia="zh-CN"/>
                <w14:textFill>
                  <w14:solidFill>
                    <w14:schemeClr w14:val="tx1"/>
                  </w14:solidFill>
                </w14:textFill>
              </w:rPr>
              <w:t>市级相关行业协会。</w:t>
            </w:r>
            <w:r>
              <w:rPr>
                <w:rFonts w:hint="eastAsia" w:ascii="宋体" w:hAnsi="宋体" w:eastAsia="宋体" w:cs="宋体"/>
                <w:b/>
                <w:bCs/>
                <w:snapToGrid/>
                <w:color w:val="000000" w:themeColor="text1"/>
                <w:kern w:val="0"/>
                <w:sz w:val="21"/>
                <w:szCs w:val="21"/>
                <w:highlight w:val="none"/>
                <w:lang w:eastAsia="zh-CN"/>
                <w14:textFill>
                  <w14:solidFill>
                    <w14:schemeClr w14:val="tx1"/>
                  </w14:solidFill>
                </w14:textFill>
              </w:rPr>
              <w:t>（相关协会需经民政部门备案）</w:t>
            </w:r>
          </w:p>
          <w:p w14:paraId="1A85A8EB">
            <w:pPr>
              <w:keepNext w:val="0"/>
              <w:keepLines w:val="0"/>
              <w:pageBreakBefore w:val="0"/>
              <w:widowControl w:val="0"/>
              <w:kinsoku/>
              <w:wordWrap w:val="0"/>
              <w:overflowPunct/>
              <w:topLinePunct w:val="0"/>
              <w:autoSpaceDE/>
              <w:autoSpaceDN/>
              <w:bidi w:val="0"/>
              <w:adjustRightInd w:val="0"/>
              <w:snapToGrid w:val="0"/>
              <w:spacing w:line="336" w:lineRule="auto"/>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4．获奖时间以奖项证明的落款日期为准。</w:t>
            </w:r>
          </w:p>
          <w:p w14:paraId="105AC442">
            <w:pPr>
              <w:keepNext w:val="0"/>
              <w:keepLines w:val="0"/>
              <w:pageBreakBefore w:val="0"/>
              <w:widowControl w:val="0"/>
              <w:kinsoku/>
              <w:wordWrap w:val="0"/>
              <w:overflowPunct/>
              <w:topLinePunct w:val="0"/>
              <w:autoSpaceDE/>
              <w:autoSpaceDN/>
              <w:bidi w:val="0"/>
              <w:adjustRightInd w:val="0"/>
              <w:snapToGrid w:val="0"/>
              <w:spacing w:line="336" w:lineRule="auto"/>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5．任一奖项有以下情形之一的，该奖项视为无效，不予计分：</w:t>
            </w:r>
          </w:p>
          <w:p w14:paraId="00180854">
            <w:pPr>
              <w:keepNext w:val="0"/>
              <w:keepLines w:val="0"/>
              <w:pageBreakBefore w:val="0"/>
              <w:widowControl w:val="0"/>
              <w:kinsoku/>
              <w:wordWrap w:val="0"/>
              <w:overflowPunct/>
              <w:topLinePunct w:val="0"/>
              <w:autoSpaceDE/>
              <w:autoSpaceDN/>
              <w:bidi w:val="0"/>
              <w:adjustRightInd w:val="0"/>
              <w:snapToGrid w:val="0"/>
              <w:spacing w:line="336" w:lineRule="auto"/>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①未提供奖项原件的；</w:t>
            </w:r>
          </w:p>
          <w:p w14:paraId="72068150">
            <w:pPr>
              <w:keepNext w:val="0"/>
              <w:keepLines w:val="0"/>
              <w:pageBreakBefore w:val="0"/>
              <w:widowControl w:val="0"/>
              <w:kinsoku/>
              <w:wordWrap w:val="0"/>
              <w:overflowPunct/>
              <w:topLinePunct w:val="0"/>
              <w:autoSpaceDE/>
              <w:autoSpaceDN/>
              <w:bidi w:val="0"/>
              <w:adjustRightInd w:val="0"/>
              <w:snapToGrid w:val="0"/>
              <w:spacing w:line="336" w:lineRule="auto"/>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②奖项不属于指定类别的；</w:t>
            </w:r>
          </w:p>
          <w:p w14:paraId="72615D82">
            <w:pPr>
              <w:keepNext w:val="0"/>
              <w:keepLines w:val="0"/>
              <w:pageBreakBefore w:val="0"/>
              <w:widowControl w:val="0"/>
              <w:kinsoku/>
              <w:wordWrap w:val="0"/>
              <w:overflowPunct/>
              <w:topLinePunct w:val="0"/>
              <w:autoSpaceDE/>
              <w:autoSpaceDN/>
              <w:bidi w:val="0"/>
              <w:adjustRightInd w:val="0"/>
              <w:snapToGrid w:val="0"/>
              <w:spacing w:line="336" w:lineRule="auto"/>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③颁发机构不符合要求的；</w:t>
            </w:r>
          </w:p>
          <w:p w14:paraId="50671278">
            <w:pPr>
              <w:keepNext w:val="0"/>
              <w:keepLines w:val="0"/>
              <w:pageBreakBefore w:val="0"/>
              <w:widowControl w:val="0"/>
              <w:kinsoku/>
              <w:wordWrap w:val="0"/>
              <w:overflowPunct/>
              <w:topLinePunct w:val="0"/>
              <w:autoSpaceDE/>
              <w:autoSpaceDN/>
              <w:bidi w:val="0"/>
              <w:adjustRightInd w:val="0"/>
              <w:snapToGrid w:val="0"/>
              <w:spacing w:line="336" w:lineRule="auto"/>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④获奖时间不符合要求的。</w:t>
            </w:r>
          </w:p>
          <w:p w14:paraId="724F0499">
            <w:pPr>
              <w:keepNext w:val="0"/>
              <w:keepLines w:val="0"/>
              <w:pageBreakBefore w:val="0"/>
              <w:widowControl w:val="0"/>
              <w:kinsoku/>
              <w:wordWrap w:val="0"/>
              <w:overflowPunct/>
              <w:topLinePunct w:val="0"/>
              <w:autoSpaceDE/>
              <w:autoSpaceDN/>
              <w:bidi w:val="0"/>
              <w:adjustRightInd w:val="0"/>
              <w:snapToGrid w:val="0"/>
              <w:spacing w:line="336" w:lineRule="auto"/>
              <w:jc w:val="both"/>
              <w:textAlignment w:val="auto"/>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组成联合体时，由牵头人提供以上资料。</w:t>
            </w:r>
          </w:p>
          <w:p w14:paraId="2EA52FCC">
            <w:pPr>
              <w:keepNext w:val="0"/>
              <w:keepLines w:val="0"/>
              <w:pageBreakBefore w:val="0"/>
              <w:widowControl w:val="0"/>
              <w:kinsoku/>
              <w:wordWrap w:val="0"/>
              <w:overflowPunct/>
              <w:topLinePunct w:val="0"/>
              <w:autoSpaceDE/>
              <w:autoSpaceDN/>
              <w:bidi w:val="0"/>
              <w:adjustRightInd w:val="0"/>
              <w:snapToGrid w:val="0"/>
              <w:spacing w:line="336" w:lineRule="auto"/>
              <w:jc w:val="both"/>
              <w:textAlignment w:val="auto"/>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说明：以上所称“要求”均指本表评分标准及备注的要求，下同。</w:t>
            </w:r>
          </w:p>
        </w:tc>
      </w:tr>
      <w:tr w14:paraId="7FD4FA97">
        <w:tblPrEx>
          <w:tblCellMar>
            <w:top w:w="0" w:type="dxa"/>
            <w:left w:w="108" w:type="dxa"/>
            <w:bottom w:w="0" w:type="dxa"/>
            <w:right w:w="108" w:type="dxa"/>
          </w:tblCellMar>
        </w:tblPrEx>
        <w:trPr>
          <w:trHeight w:val="3901"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8835313">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项目经理</w:t>
            </w:r>
          </w:p>
          <w:p w14:paraId="79B0DF69">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综合素质</w:t>
            </w:r>
          </w:p>
          <w:p w14:paraId="2FCEAE3A">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（10分）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4D7B583D">
            <w:pPr>
              <w:widowControl/>
              <w:kinsoku/>
              <w:autoSpaceDE/>
              <w:autoSpaceDN/>
              <w:adjustRightInd/>
              <w:snapToGrid/>
              <w:spacing w:line="360" w:lineRule="auto"/>
              <w:jc w:val="left"/>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eastAsia="zh-CN" w:bidi="ar"/>
                <w14:textFill>
                  <w14:solidFill>
                    <w14:schemeClr w14:val="tx1"/>
                  </w14:solidFill>
                </w14:textFill>
              </w:rPr>
              <w:t xml:space="preserve">项目经理工程类技术职称情况： </w:t>
            </w:r>
          </w:p>
          <w:p w14:paraId="08DCBCA6">
            <w:pPr>
              <w:widowControl/>
              <w:kinsoku/>
              <w:autoSpaceDE/>
              <w:autoSpaceDN/>
              <w:adjustRightInd/>
              <w:snapToGrid/>
              <w:spacing w:line="360" w:lineRule="auto"/>
              <w:jc w:val="left"/>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w:t>
            </w:r>
            <w:r>
              <w:rPr>
                <w:rFonts w:hint="eastAsia" w:ascii="宋体" w:hAnsi="宋体" w:eastAsia="宋体" w:cs="宋体"/>
                <w:snapToGrid/>
                <w:color w:val="000000" w:themeColor="text1"/>
                <w:kern w:val="0"/>
                <w:sz w:val="21"/>
                <w:szCs w:val="21"/>
                <w:highlight w:val="none"/>
                <w:lang w:eastAsia="zh-CN" w:bidi="ar"/>
                <w14:textFill>
                  <w14:solidFill>
                    <w14:schemeClr w14:val="tx1"/>
                  </w14:solidFill>
                </w14:textFill>
              </w:rPr>
              <w:t>具备工程师或以上职称的，得</w:t>
            </w: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 xml:space="preserve"> </w:t>
            </w:r>
            <w:r>
              <w:rPr>
                <w:rFonts w:hint="eastAsia" w:ascii="宋体" w:hAnsi="宋体" w:eastAsia="宋体" w:cs="宋体"/>
                <w:snapToGrid/>
                <w:color w:val="000000" w:themeColor="text1"/>
                <w:kern w:val="0"/>
                <w:sz w:val="21"/>
                <w:szCs w:val="21"/>
                <w:highlight w:val="none"/>
                <w:u w:val="single"/>
                <w:lang w:val="en-US" w:eastAsia="zh-CN" w:bidi="ar"/>
                <w14:textFill>
                  <w14:solidFill>
                    <w14:schemeClr w14:val="tx1"/>
                  </w14:solidFill>
                </w14:textFill>
              </w:rPr>
              <w:t>1</w:t>
            </w:r>
            <w:r>
              <w:rPr>
                <w:rFonts w:hint="eastAsia" w:ascii="宋体" w:hAnsi="宋体" w:eastAsia="宋体" w:cs="宋体"/>
                <w:snapToGrid/>
                <w:color w:val="000000" w:themeColor="text1"/>
                <w:kern w:val="0"/>
                <w:sz w:val="21"/>
                <w:szCs w:val="21"/>
                <w:highlight w:val="none"/>
                <w:u w:val="single"/>
                <w:lang w:eastAsia="zh-CN" w:bidi="ar"/>
                <w14:textFill>
                  <w14:solidFill>
                    <w14:schemeClr w14:val="tx1"/>
                  </w14:solidFill>
                </w14:textFill>
              </w:rPr>
              <w:t xml:space="preserve">0 </w:t>
            </w:r>
            <w:r>
              <w:rPr>
                <w:rFonts w:hint="eastAsia" w:ascii="宋体" w:hAnsi="宋体" w:eastAsia="宋体" w:cs="宋体"/>
                <w:snapToGrid/>
                <w:color w:val="000000" w:themeColor="text1"/>
                <w:kern w:val="0"/>
                <w:sz w:val="21"/>
                <w:szCs w:val="21"/>
                <w:highlight w:val="none"/>
                <w:lang w:eastAsia="zh-CN" w:bidi="ar"/>
                <w14:textFill>
                  <w14:solidFill>
                    <w14:schemeClr w14:val="tx1"/>
                  </w14:solidFill>
                </w14:textFill>
              </w:rPr>
              <w:t xml:space="preserve">分。 </w:t>
            </w:r>
          </w:p>
          <w:p w14:paraId="0749EA70">
            <w:pPr>
              <w:widowControl/>
              <w:kinsoku/>
              <w:autoSpaceDE/>
              <w:autoSpaceDN/>
              <w:adjustRightInd/>
              <w:snapToGrid/>
              <w:spacing w:line="360" w:lineRule="auto"/>
              <w:jc w:val="left"/>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eastAsia="zh-CN" w:bidi="ar"/>
                <w14:textFill>
                  <w14:solidFill>
                    <w14:schemeClr w14:val="tx1"/>
                  </w14:solidFill>
                </w14:textFill>
              </w:rPr>
              <w:t>2</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snapToGrid/>
                <w:color w:val="000000" w:themeColor="text1"/>
                <w:kern w:val="0"/>
                <w:sz w:val="21"/>
                <w:szCs w:val="21"/>
                <w:highlight w:val="none"/>
                <w:lang w:eastAsia="zh-CN" w:bidi="ar"/>
                <w14:textFill>
                  <w14:solidFill>
                    <w14:schemeClr w14:val="tx1"/>
                  </w14:solidFill>
                </w14:textFill>
              </w:rPr>
              <w:t>具备助理工程师职称的，得</w:t>
            </w:r>
            <w:r>
              <w:rPr>
                <w:rFonts w:hint="eastAsia" w:ascii="宋体" w:hAnsi="宋体" w:eastAsia="宋体" w:cs="宋体"/>
                <w:snapToGrid/>
                <w:color w:val="000000" w:themeColor="text1"/>
                <w:kern w:val="0"/>
                <w:sz w:val="21"/>
                <w:szCs w:val="21"/>
                <w:highlight w:val="none"/>
                <w:u w:val="single"/>
                <w:lang w:eastAsia="zh-CN" w:bidi="ar"/>
                <w14:textFill>
                  <w14:solidFill>
                    <w14:schemeClr w14:val="tx1"/>
                  </w14:solidFill>
                </w14:textFill>
              </w:rPr>
              <w:t xml:space="preserve"> 5 </w:t>
            </w:r>
            <w:r>
              <w:rPr>
                <w:rFonts w:hint="eastAsia" w:ascii="宋体" w:hAnsi="宋体" w:eastAsia="宋体" w:cs="宋体"/>
                <w:snapToGrid/>
                <w:color w:val="000000" w:themeColor="text1"/>
                <w:kern w:val="0"/>
                <w:sz w:val="21"/>
                <w:szCs w:val="21"/>
                <w:highlight w:val="none"/>
                <w:lang w:eastAsia="zh-CN" w:bidi="ar"/>
                <w14:textFill>
                  <w14:solidFill>
                    <w14:schemeClr w14:val="tx1"/>
                  </w14:solidFill>
                </w14:textFill>
              </w:rPr>
              <w:t xml:space="preserve">分。 </w:t>
            </w:r>
          </w:p>
          <w:p w14:paraId="7F4B6F44">
            <w:pPr>
              <w:widowControl/>
              <w:kinsoku/>
              <w:autoSpaceDE/>
              <w:autoSpaceDN/>
              <w:adjustRightInd/>
              <w:snapToGrid/>
              <w:spacing w:line="360" w:lineRule="auto"/>
              <w:jc w:val="left"/>
              <w:textAlignment w:val="auto"/>
              <w:rPr>
                <w:rFonts w:hint="eastAsia" w:ascii="宋体" w:hAnsi="宋体" w:eastAsia="宋体" w:cs="宋体"/>
                <w:snapToGrid/>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eastAsia="zh-CN" w:bidi="ar"/>
                <w14:textFill>
                  <w14:solidFill>
                    <w14:schemeClr w14:val="tx1"/>
                  </w14:solidFill>
                </w14:textFill>
              </w:rPr>
              <w:t>3</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snapToGrid/>
                <w:color w:val="000000" w:themeColor="text1"/>
                <w:kern w:val="0"/>
                <w:sz w:val="21"/>
                <w:szCs w:val="21"/>
                <w:highlight w:val="none"/>
                <w:lang w:eastAsia="zh-CN" w:bidi="ar"/>
                <w14:textFill>
                  <w14:solidFill>
                    <w14:schemeClr w14:val="tx1"/>
                  </w14:solidFill>
                </w14:textFill>
              </w:rPr>
              <w:t>不具备以上职称的，或未提供职称证原件的，不予计分。</w:t>
            </w:r>
          </w:p>
          <w:p w14:paraId="4E075C69">
            <w:pPr>
              <w:widowControl/>
              <w:kinsoku/>
              <w:autoSpaceDE/>
              <w:autoSpaceDN/>
              <w:adjustRightInd/>
              <w:snapToGrid/>
              <w:spacing w:line="360" w:lineRule="auto"/>
              <w:jc w:val="left"/>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eastAsia="zh-CN" w:bidi="ar"/>
                <w14:textFill>
                  <w14:solidFill>
                    <w14:schemeClr w14:val="tx1"/>
                  </w14:solidFill>
                </w14:textFill>
              </w:rPr>
              <w:t>4</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．本项最高得10分。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40F4FE1B">
            <w:pPr>
              <w:widowControl w:val="0"/>
              <w:kinsoku/>
              <w:wordWrap w:val="0"/>
              <w:autoSpaceDE/>
              <w:autoSpaceDN/>
              <w:adjustRightInd w:val="0"/>
              <w:snapToGrid w:val="0"/>
              <w:spacing w:line="400" w:lineRule="exact"/>
              <w:jc w:val="both"/>
              <w:textAlignment w:val="auto"/>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．需附职称证复印件或打印件或扫描件，</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同时提供原件供核对</w:t>
            </w:r>
            <w:r>
              <w:rPr>
                <w:rFonts w:hint="eastAsia" w:ascii="宋体" w:hAnsi="宋体" w:eastAsia="宋体" w:cs="宋体"/>
                <w:b/>
                <w:bCs/>
                <w:snapToGrid/>
                <w:color w:val="000000" w:themeColor="text1"/>
                <w:kern w:val="2"/>
                <w:sz w:val="21"/>
                <w:szCs w:val="21"/>
                <w:highlight w:val="none"/>
                <w:lang w:eastAsia="zh-CN"/>
                <w14:textFill>
                  <w14:solidFill>
                    <w14:schemeClr w14:val="tx1"/>
                  </w14:solidFill>
                </w14:textFill>
              </w:rPr>
              <w:t>（职称证为电子证书打印件的除外）</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w:t>
            </w:r>
          </w:p>
          <w:p w14:paraId="49427E4D">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组成联合体时，由牵头人提供以上资料。</w:t>
            </w:r>
          </w:p>
        </w:tc>
      </w:tr>
      <w:tr w14:paraId="6FAFD7C7">
        <w:tblPrEx>
          <w:tblCellMar>
            <w:top w:w="0" w:type="dxa"/>
            <w:left w:w="108" w:type="dxa"/>
            <w:bottom w:w="0" w:type="dxa"/>
            <w:right w:w="108" w:type="dxa"/>
          </w:tblCellMar>
        </w:tblPrEx>
        <w:trPr>
          <w:trHeight w:val="5268"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89596E4">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企业业绩</w:t>
            </w:r>
          </w:p>
          <w:p w14:paraId="25290D1E">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（15分）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2B99F5A0">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企业近</w:t>
            </w:r>
            <w:r>
              <w:rPr>
                <w:rFonts w:hint="eastAsia" w:ascii="宋体" w:hAnsi="宋体" w:eastAsia="宋体" w:cs="宋体"/>
                <w:snapToGrid w:val="0"/>
                <w:color w:val="000000" w:themeColor="text1"/>
                <w:kern w:val="0"/>
                <w:sz w:val="21"/>
                <w:szCs w:val="21"/>
                <w:highlight w:val="none"/>
                <w:u w:val="single"/>
                <w:lang w:eastAsia="zh-CN"/>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u w:val="single"/>
                <w:lang w:val="en-US" w:eastAsia="zh-CN"/>
                <w14:textFill>
                  <w14:solidFill>
                    <w14:schemeClr w14:val="tx1"/>
                  </w14:solidFill>
                </w14:textFill>
              </w:rPr>
              <w:t>3</w:t>
            </w:r>
            <w:r>
              <w:rPr>
                <w:rFonts w:hint="eastAsia" w:ascii="宋体" w:hAnsi="宋体" w:eastAsia="宋体" w:cs="宋体"/>
                <w:snapToGrid w:val="0"/>
                <w:color w:val="000000" w:themeColor="text1"/>
                <w:kern w:val="0"/>
                <w:sz w:val="21"/>
                <w:szCs w:val="21"/>
                <w:highlight w:val="none"/>
                <w:u w:val="single"/>
                <w:lang w:eastAsia="zh-CN"/>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年来（202</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年1月1日至今）业绩情况：</w:t>
            </w:r>
          </w:p>
          <w:p w14:paraId="4C6EBC64">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w:t>
            </w:r>
            <w:r>
              <w:rPr>
                <w:rFonts w:hint="eastAsia" w:ascii="宋体" w:hAnsi="宋体" w:eastAsia="宋体" w:cs="宋体"/>
                <w:snapToGrid w:val="0"/>
                <w:color w:val="000000" w:themeColor="text1"/>
                <w:kern w:val="0"/>
                <w:sz w:val="21"/>
                <w:szCs w:val="21"/>
                <w:highlight w:val="none"/>
                <w:u w:val="single"/>
                <w:lang w:eastAsia="zh-CN"/>
                <w14:textFill>
                  <w14:solidFill>
                    <w14:schemeClr w14:val="tx1"/>
                  </w14:solidFill>
                </w14:textFill>
              </w:rPr>
              <w:t xml:space="preserve">承接 </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过类似工程的，每个得</w:t>
            </w:r>
            <w:r>
              <w:rPr>
                <w:rFonts w:hint="eastAsia" w:ascii="宋体" w:hAnsi="宋体" w:eastAsia="宋体" w:cs="宋体"/>
                <w:snapToGrid w:val="0"/>
                <w:color w:val="000000" w:themeColor="text1"/>
                <w:kern w:val="0"/>
                <w:sz w:val="21"/>
                <w:szCs w:val="21"/>
                <w:highlight w:val="none"/>
                <w:u w:val="single"/>
                <w:lang w:eastAsia="zh-CN"/>
                <w14:textFill>
                  <w14:solidFill>
                    <w14:schemeClr w14:val="tx1"/>
                  </w14:solidFill>
                </w14:textFill>
              </w:rPr>
              <w:t xml:space="preserve"> 5 </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分。</w:t>
            </w:r>
          </w:p>
          <w:p w14:paraId="4A340033">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2．未</w:t>
            </w:r>
            <w:r>
              <w:rPr>
                <w:rFonts w:hint="eastAsia" w:ascii="宋体" w:hAnsi="宋体" w:eastAsia="宋体" w:cs="宋体"/>
                <w:snapToGrid w:val="0"/>
                <w:color w:val="000000" w:themeColor="text1"/>
                <w:kern w:val="0"/>
                <w:sz w:val="21"/>
                <w:szCs w:val="21"/>
                <w:highlight w:val="none"/>
                <w:u w:val="single"/>
                <w:lang w:eastAsia="zh-CN"/>
                <w14:textFill>
                  <w14:solidFill>
                    <w14:schemeClr w14:val="tx1"/>
                  </w14:solidFill>
                </w14:textFill>
              </w:rPr>
              <w:t xml:space="preserve"> 承接 </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过类似工程的，不予计分。</w:t>
            </w:r>
          </w:p>
          <w:p w14:paraId="4B2097C1">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 xml:space="preserve">3．本项最高得15分。 </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7038D892">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u w:val="singl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1．类似工程指：</w:t>
            </w:r>
            <w:r>
              <w:rPr>
                <w:rFonts w:hint="eastAsia" w:ascii="宋体" w:hAnsi="宋体" w:eastAsia="宋体" w:cs="宋体"/>
                <w:snapToGrid/>
                <w:color w:val="000000" w:themeColor="text1"/>
                <w:kern w:val="2"/>
                <w:sz w:val="21"/>
                <w:szCs w:val="21"/>
                <w:highlight w:val="none"/>
                <w:u w:val="single"/>
                <w:lang w:eastAsia="zh-CN"/>
                <w14:textFill>
                  <w14:solidFill>
                    <w14:schemeClr w14:val="tx1"/>
                  </w14:solidFill>
                </w14:textFill>
              </w:rPr>
              <w:t>单项工程总造价≥</w:t>
            </w:r>
            <w:r>
              <w:rPr>
                <w:rFonts w:hint="eastAsia" w:ascii="宋体" w:hAnsi="宋体" w:eastAsia="宋体" w:cs="宋体"/>
                <w:snapToGrid/>
                <w:color w:val="000000" w:themeColor="text1"/>
                <w:kern w:val="2"/>
                <w:sz w:val="21"/>
                <w:szCs w:val="21"/>
                <w:highlight w:val="none"/>
                <w:u w:val="single"/>
                <w:lang w:val="en-US" w:eastAsia="zh-CN"/>
                <w14:textFill>
                  <w14:solidFill>
                    <w14:schemeClr w14:val="tx1"/>
                  </w14:solidFill>
                </w14:textFill>
              </w:rPr>
              <w:t>28</w:t>
            </w:r>
            <w:r>
              <w:rPr>
                <w:rFonts w:hint="eastAsia" w:ascii="宋体" w:hAnsi="宋体" w:eastAsia="宋体" w:cs="宋体"/>
                <w:snapToGrid/>
                <w:color w:val="000000" w:themeColor="text1"/>
                <w:kern w:val="2"/>
                <w:sz w:val="21"/>
                <w:szCs w:val="21"/>
                <w:highlight w:val="none"/>
                <w:u w:val="single"/>
                <w:lang w:eastAsia="zh-CN"/>
                <w14:textFill>
                  <w14:solidFill>
                    <w14:schemeClr w14:val="tx1"/>
                  </w14:solidFill>
                </w14:textFill>
              </w:rPr>
              <w:t>00万元的市政公用工程类</w:t>
            </w:r>
            <w:r>
              <w:rPr>
                <w:rFonts w:hint="eastAsia" w:ascii="宋体" w:hAnsi="宋体" w:eastAsia="宋体" w:cs="宋体"/>
                <w:snapToGrid w:val="0"/>
                <w:color w:val="000000" w:themeColor="text1"/>
                <w:kern w:val="0"/>
                <w:sz w:val="21"/>
                <w:szCs w:val="21"/>
                <w:highlight w:val="none"/>
                <w:u w:val="single"/>
                <w:lang w:eastAsia="zh-CN"/>
                <w14:textFill>
                  <w14:solidFill>
                    <w14:schemeClr w14:val="tx1"/>
                  </w14:solidFill>
                </w14:textFill>
              </w:rPr>
              <w:t>。</w:t>
            </w:r>
          </w:p>
          <w:p w14:paraId="3CAF5EDD">
            <w:pPr>
              <w:widowControl w:val="0"/>
              <w:kinsoku/>
              <w:wordWrap w:val="0"/>
              <w:autoSpaceDE/>
              <w:autoSpaceDN/>
              <w:adjustRightInd w:val="0"/>
              <w:snapToGrid w:val="0"/>
              <w:spacing w:line="400" w:lineRule="exact"/>
              <w:jc w:val="both"/>
              <w:textAlignment w:val="auto"/>
              <w:rPr>
                <w:rFonts w:hint="eastAsia" w:ascii="宋体" w:hAnsi="宋体" w:eastAsia="宋体" w:cs="宋体"/>
                <w:i/>
                <w:iCs/>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2．需附有关业绩（仅限于以施工</w:t>
            </w:r>
            <w:r>
              <w:rPr>
                <w:rFonts w:hint="eastAsia" w:ascii="宋体" w:hAnsi="宋体" w:eastAsia="宋体" w:cs="宋体"/>
                <w:snapToGrid w:val="0"/>
                <w:color w:val="000000" w:themeColor="text1"/>
                <w:kern w:val="0"/>
                <w:sz w:val="21"/>
                <w:szCs w:val="21"/>
                <w:highlight w:val="none"/>
                <w:u w:val="single"/>
                <w:lang w:eastAsia="zh-CN"/>
                <w14:textFill>
                  <w14:solidFill>
                    <w14:schemeClr w14:val="tx1"/>
                  </w14:solidFill>
                </w14:textFill>
              </w:rPr>
              <w:t xml:space="preserve"> 总承包单位 </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身份参建的项目）</w:t>
            </w:r>
            <w:r>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t>合同协议书</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同时提供原件供核对</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w:t>
            </w:r>
          </w:p>
          <w:p w14:paraId="28407062">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3．业绩时间以合同协议书日期为准。</w:t>
            </w:r>
          </w:p>
          <w:p w14:paraId="02E3CF2B">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4．任一业绩有以下情形之一的，该业绩视为无效，不予计分：</w:t>
            </w:r>
          </w:p>
          <w:p w14:paraId="7613344C">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①未提供业绩证明材料原件的；</w:t>
            </w:r>
          </w:p>
          <w:p w14:paraId="4A635C72">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②业绩不属于类似工程的；</w:t>
            </w:r>
          </w:p>
          <w:p w14:paraId="48160777">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③不是以指定身份参建的；</w:t>
            </w:r>
          </w:p>
          <w:p w14:paraId="520511B4">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④业绩时间不符合要求的。</w:t>
            </w:r>
          </w:p>
          <w:p w14:paraId="7D80E4B9">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组成联合体时，由牵头人提供以上资料。</w:t>
            </w:r>
          </w:p>
        </w:tc>
      </w:tr>
      <w:tr w14:paraId="0294D982">
        <w:tblPrEx>
          <w:tblCellMar>
            <w:top w:w="0" w:type="dxa"/>
            <w:left w:w="108" w:type="dxa"/>
            <w:bottom w:w="0" w:type="dxa"/>
            <w:right w:w="108" w:type="dxa"/>
          </w:tblCellMar>
        </w:tblPrEx>
        <w:trPr>
          <w:trHeight w:val="4832"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51D89816">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企业银行</w:t>
            </w:r>
          </w:p>
          <w:p w14:paraId="791DFC8D">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资信评级</w:t>
            </w:r>
          </w:p>
          <w:p w14:paraId="5F4752D2">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（10分）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3A5D8D00">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1．银行资信评级AAA的，得</w:t>
            </w:r>
            <w:r>
              <w:rPr>
                <w:rFonts w:hint="eastAsia" w:ascii="宋体" w:hAnsi="宋体" w:eastAsia="宋体" w:cs="宋体"/>
                <w:snapToGrid w:val="0"/>
                <w:color w:val="000000" w:themeColor="text1"/>
                <w:kern w:val="0"/>
                <w:sz w:val="21"/>
                <w:szCs w:val="21"/>
                <w:highlight w:val="none"/>
                <w:u w:val="single"/>
                <w:lang w:eastAsia="zh-CN"/>
                <w14:textFill>
                  <w14:solidFill>
                    <w14:schemeClr w14:val="tx1"/>
                  </w14:solidFill>
                </w14:textFill>
              </w:rPr>
              <w:t xml:space="preserve"> 10</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分；</w:t>
            </w:r>
          </w:p>
          <w:p w14:paraId="58BBB80C">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2．银行资信评级AA（含AA＋、AA－）的，得</w:t>
            </w:r>
            <w:r>
              <w:rPr>
                <w:rFonts w:hint="eastAsia" w:ascii="宋体" w:hAnsi="宋体" w:eastAsia="宋体" w:cs="宋体"/>
                <w:snapToGrid w:val="0"/>
                <w:color w:val="000000" w:themeColor="text1"/>
                <w:kern w:val="0"/>
                <w:sz w:val="21"/>
                <w:szCs w:val="21"/>
                <w:highlight w:val="none"/>
                <w:u w:val="single"/>
                <w:lang w:eastAsia="zh-CN"/>
                <w14:textFill>
                  <w14:solidFill>
                    <w14:schemeClr w14:val="tx1"/>
                  </w14:solidFill>
                </w14:textFill>
              </w:rPr>
              <w:t xml:space="preserve"> 5 </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分。</w:t>
            </w:r>
          </w:p>
          <w:p w14:paraId="61B0B619">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3．银行资信评级A（含A＋、A－）的，得</w:t>
            </w:r>
            <w:r>
              <w:rPr>
                <w:rFonts w:hint="eastAsia" w:ascii="宋体" w:hAnsi="宋体" w:eastAsia="宋体" w:cs="宋体"/>
                <w:snapToGrid w:val="0"/>
                <w:color w:val="000000" w:themeColor="text1"/>
                <w:kern w:val="0"/>
                <w:sz w:val="21"/>
                <w:szCs w:val="21"/>
                <w:highlight w:val="none"/>
                <w:u w:val="single"/>
                <w:lang w:eastAsia="zh-CN"/>
                <w14:textFill>
                  <w14:solidFill>
                    <w14:schemeClr w14:val="tx1"/>
                  </w14:solidFill>
                </w14:textFill>
              </w:rPr>
              <w:t xml:space="preserve"> 3 </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分。</w:t>
            </w:r>
          </w:p>
          <w:p w14:paraId="73C4C36A">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4．未获得过以上评级的，或评级证书无效的，不予计分。</w:t>
            </w:r>
          </w:p>
          <w:p w14:paraId="360005DD">
            <w:pPr>
              <w:widowControl w:val="0"/>
              <w:kinsoku/>
              <w:wordWrap w:val="0"/>
              <w:autoSpaceDE/>
              <w:autoSpaceDN/>
              <w:adjustRightInd w:val="0"/>
              <w:snapToGrid w:val="0"/>
              <w:spacing w:line="400" w:lineRule="exact"/>
              <w:jc w:val="both"/>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5．本项最高得10分。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48A556E">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1．需附在有效期内的资信评级证书（证明）复印件（或打印件或扫描件)，</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同时提供原件供核对</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w:t>
            </w:r>
          </w:p>
          <w:p w14:paraId="06714EA6">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2．评级证书（证明）须由</w:t>
            </w:r>
            <w:r>
              <w:rPr>
                <w:rFonts w:hint="eastAsia" w:ascii="宋体" w:hAnsi="宋体" w:eastAsia="宋体" w:cs="宋体"/>
                <w:snapToGrid w:val="0"/>
                <w:color w:val="000000" w:themeColor="text1"/>
                <w:kern w:val="0"/>
                <w:sz w:val="21"/>
                <w:szCs w:val="21"/>
                <w:highlight w:val="none"/>
                <w:u w:val="single"/>
                <w:lang w:eastAsia="zh-CN"/>
                <w14:textFill>
                  <w14:solidFill>
                    <w14:schemeClr w14:val="tx1"/>
                  </w14:solidFill>
                </w14:textFill>
              </w:rPr>
              <w:t xml:space="preserve"> </w:t>
            </w:r>
            <w:r>
              <w:rPr>
                <w:rFonts w:hint="eastAsia" w:ascii="宋体" w:hAnsi="宋体" w:eastAsia="宋体" w:cs="宋体"/>
                <w:snapToGrid/>
                <w:color w:val="000000" w:themeColor="text1"/>
                <w:kern w:val="0"/>
                <w:sz w:val="21"/>
                <w:szCs w:val="21"/>
                <w:highlight w:val="none"/>
                <w:u w:val="single"/>
                <w:lang w:eastAsia="zh-CN"/>
                <w14:textFill>
                  <w14:solidFill>
                    <w14:schemeClr w14:val="tx1"/>
                  </w14:solidFill>
                </w14:textFill>
              </w:rPr>
              <w:t>企业基本账户开户银行</w:t>
            </w:r>
            <w:r>
              <w:rPr>
                <w:rFonts w:hint="eastAsia" w:ascii="宋体" w:hAnsi="宋体" w:eastAsia="宋体" w:cs="宋体"/>
                <w:snapToGrid w:val="0"/>
                <w:color w:val="000000" w:themeColor="text1"/>
                <w:kern w:val="0"/>
                <w:sz w:val="21"/>
                <w:szCs w:val="21"/>
                <w:highlight w:val="none"/>
                <w:u w:val="single"/>
                <w:lang w:eastAsia="zh-CN"/>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出具。</w:t>
            </w:r>
          </w:p>
          <w:p w14:paraId="3D047784">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3．评级证书（证明）有以下情形之一的，视为无效：</w:t>
            </w:r>
          </w:p>
          <w:p w14:paraId="5031EA60">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①未提供评级证书（证明）原件的；</w:t>
            </w:r>
          </w:p>
          <w:p w14:paraId="551E62AF">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②评级证书（证明）不在有效期内的；</w:t>
            </w:r>
          </w:p>
          <w:p w14:paraId="7E4937E8">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③出具机构不符合要求的。</w:t>
            </w:r>
          </w:p>
          <w:p w14:paraId="792F461C">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组成联合体时，由牵头人提供以上资料。</w:t>
            </w:r>
          </w:p>
        </w:tc>
      </w:tr>
      <w:tr w14:paraId="7A88D8D9">
        <w:tblPrEx>
          <w:tblCellMar>
            <w:top w:w="0" w:type="dxa"/>
            <w:left w:w="108" w:type="dxa"/>
            <w:bottom w:w="0" w:type="dxa"/>
            <w:right w:w="108" w:type="dxa"/>
          </w:tblCellMar>
        </w:tblPrEx>
        <w:trPr>
          <w:trHeight w:val="3461"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9793BD6">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企业管理</w:t>
            </w:r>
          </w:p>
          <w:p w14:paraId="01C5AE92">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体系认证</w:t>
            </w:r>
          </w:p>
          <w:p w14:paraId="04EB8FD0">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（6分）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0EF7A55A">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1．质量管理体系认证、职业健康安全管理体系认证、环境管理体系认证中，每获得1项认证得</w:t>
            </w:r>
            <w:r>
              <w:rPr>
                <w:rFonts w:hint="eastAsia" w:ascii="宋体" w:hAnsi="宋体" w:eastAsia="宋体" w:cs="宋体"/>
                <w:snapToGrid w:val="0"/>
                <w:color w:val="000000" w:themeColor="text1"/>
                <w:kern w:val="0"/>
                <w:sz w:val="21"/>
                <w:szCs w:val="21"/>
                <w:highlight w:val="none"/>
                <w:u w:val="single"/>
                <w:lang w:eastAsia="zh-CN"/>
                <w14:textFill>
                  <w14:solidFill>
                    <w14:schemeClr w14:val="tx1"/>
                  </w14:solidFill>
                </w14:textFill>
              </w:rPr>
              <w:t xml:space="preserve"> 2 </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分，最高得</w:t>
            </w:r>
            <w:r>
              <w:rPr>
                <w:rFonts w:hint="eastAsia" w:ascii="宋体" w:hAnsi="宋体" w:eastAsia="宋体" w:cs="宋体"/>
                <w:snapToGrid w:val="0"/>
                <w:color w:val="000000" w:themeColor="text1"/>
                <w:kern w:val="0"/>
                <w:sz w:val="21"/>
                <w:szCs w:val="21"/>
                <w:highlight w:val="none"/>
                <w:u w:val="single"/>
                <w:lang w:eastAsia="zh-CN"/>
                <w14:textFill>
                  <w14:solidFill>
                    <w14:schemeClr w14:val="tx1"/>
                  </w14:solidFill>
                </w14:textFill>
              </w:rPr>
              <w:t xml:space="preserve"> 6 </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分。</w:t>
            </w:r>
          </w:p>
          <w:p w14:paraId="4E514843">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2．未获得以上认证的，不予计分。</w:t>
            </w:r>
          </w:p>
          <w:p w14:paraId="2E912C04">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3．本项最高得6分。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408C75C">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1．需附在有效期内的认证证书复印件（或打印件或扫描件)，</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同时提供原件供核对（证书为电子证书的除外）</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w:t>
            </w:r>
          </w:p>
          <w:p w14:paraId="129A02EF">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2．任一认证证书有以下情形之一的，该认证证书视为无效，不予计分：</w:t>
            </w:r>
          </w:p>
          <w:p w14:paraId="7CA0B588">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①未提供认证证书原件的；</w:t>
            </w:r>
          </w:p>
          <w:p w14:paraId="1F3A44BF">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②认证证书不在有效期内的。</w:t>
            </w:r>
          </w:p>
          <w:p w14:paraId="0E2438ED">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组成联合体时，由牵头人提供以上资料。</w:t>
            </w:r>
          </w:p>
        </w:tc>
      </w:tr>
      <w:tr w14:paraId="76E9045D">
        <w:tblPrEx>
          <w:tblCellMar>
            <w:top w:w="0" w:type="dxa"/>
            <w:left w:w="108" w:type="dxa"/>
            <w:bottom w:w="0" w:type="dxa"/>
            <w:right w:w="108" w:type="dxa"/>
          </w:tblCellMar>
        </w:tblPrEx>
        <w:trPr>
          <w:trHeight w:val="568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2AC0755">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企业</w:t>
            </w:r>
          </w:p>
          <w:p w14:paraId="070265BC">
            <w:pPr>
              <w:widowControl w:val="0"/>
              <w:kinsoku/>
              <w:wordWrap w:val="0"/>
              <w:autoSpaceDE/>
              <w:autoSpaceDN/>
              <w:adjustRightInd w:val="0"/>
              <w:snapToGrid w:val="0"/>
              <w:spacing w:line="400" w:lineRule="exact"/>
              <w:jc w:val="center"/>
              <w:textAlignment w:val="auto"/>
              <w:rPr>
                <w:rFonts w:hint="eastAsia" w:ascii="宋体" w:hAnsi="宋体" w:eastAsia="宋体" w:cs="宋体"/>
                <w:strike/>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财务状况</w:t>
            </w:r>
          </w:p>
          <w:p w14:paraId="1C7F05B0">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（9分）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273623E1">
            <w:pPr>
              <w:widowControl w:val="0"/>
              <w:kinsoku/>
              <w:wordWrap w:val="0"/>
              <w:autoSpaceDE/>
              <w:autoSpaceDN/>
              <w:adjustRightInd w:val="0"/>
              <w:snapToGrid w:val="0"/>
              <w:spacing w:line="400" w:lineRule="exact"/>
              <w:jc w:val="left"/>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1．提供不少于</w:t>
            </w:r>
            <w:r>
              <w:rPr>
                <w:rFonts w:hint="eastAsia" w:ascii="宋体" w:hAnsi="宋体" w:eastAsia="宋体" w:cs="宋体"/>
                <w:snapToGrid w:val="0"/>
                <w:color w:val="000000" w:themeColor="text1"/>
                <w:kern w:val="0"/>
                <w:sz w:val="21"/>
                <w:szCs w:val="21"/>
                <w:highlight w:val="none"/>
                <w:u w:val="single"/>
                <w:lang w:eastAsia="zh-CN"/>
                <w14:textFill>
                  <w14:solidFill>
                    <w14:schemeClr w14:val="tx1"/>
                  </w14:solidFill>
                </w14:textFill>
              </w:rPr>
              <w:t xml:space="preserve"> 200 </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万元银行授信证明的，得4分。</w:t>
            </w:r>
          </w:p>
          <w:p w14:paraId="35F3386A">
            <w:pPr>
              <w:widowControl w:val="0"/>
              <w:kinsoku/>
              <w:wordWrap w:val="0"/>
              <w:autoSpaceDE/>
              <w:autoSpaceDN/>
              <w:adjustRightInd w:val="0"/>
              <w:snapToGrid w:val="0"/>
              <w:spacing w:line="400" w:lineRule="exact"/>
              <w:jc w:val="left"/>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2．提供投标人基本账户在本项目招标公告发布之日起至投标截止时间期间出现过至少连续3日不少于</w:t>
            </w:r>
            <w:r>
              <w:rPr>
                <w:rFonts w:hint="eastAsia" w:ascii="宋体" w:hAnsi="宋体" w:eastAsia="宋体" w:cs="宋体"/>
                <w:snapToGrid w:val="0"/>
                <w:color w:val="000000" w:themeColor="text1"/>
                <w:kern w:val="0"/>
                <w:sz w:val="21"/>
                <w:szCs w:val="21"/>
                <w:highlight w:val="none"/>
                <w:u w:val="single"/>
                <w:lang w:eastAsia="zh-CN"/>
                <w14:textFill>
                  <w14:solidFill>
                    <w14:schemeClr w14:val="tx1"/>
                  </w14:solidFill>
                </w14:textFill>
              </w:rPr>
              <w:t xml:space="preserve"> 200 </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万元存款余额资金流水证明的，得5分。</w:t>
            </w:r>
          </w:p>
          <w:p w14:paraId="6A8EE5B0">
            <w:pPr>
              <w:widowControl w:val="0"/>
              <w:kinsoku/>
              <w:wordWrap w:val="0"/>
              <w:autoSpaceDE/>
              <w:autoSpaceDN/>
              <w:adjustRightInd w:val="0"/>
              <w:snapToGrid w:val="0"/>
              <w:spacing w:line="400" w:lineRule="exact"/>
              <w:jc w:val="left"/>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3．本项最高得9分。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6EAA81D3">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1．需附在有效期内的有关证明复印件（或打印件或扫描件)，</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同时提供原件供核对</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w:t>
            </w:r>
          </w:p>
          <w:p w14:paraId="5332C1BA">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2．银行授信证明有以下情形之一的，视为无效，不予计分：</w:t>
            </w:r>
          </w:p>
          <w:p w14:paraId="7CE23F5D">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①未提供授信证明原件的；</w:t>
            </w:r>
          </w:p>
          <w:p w14:paraId="5A9991AD">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②授信证明不在有效期内的；</w:t>
            </w:r>
          </w:p>
          <w:p w14:paraId="21438D2D">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③授信额度不符合要求的；</w:t>
            </w:r>
          </w:p>
          <w:p w14:paraId="6435AAD7">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3．存款余额资金流水证明有以下情形之一的，视为无效，不予计分：</w:t>
            </w:r>
          </w:p>
          <w:p w14:paraId="2CE3B0F7">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①未提供存款证明原件的；</w:t>
            </w:r>
          </w:p>
          <w:p w14:paraId="250000A5">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②存款账户不是基本账户的；</w:t>
            </w:r>
          </w:p>
          <w:p w14:paraId="23FC785F">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③存款时间不符合要求的；</w:t>
            </w:r>
          </w:p>
          <w:p w14:paraId="4AB54F1D">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④存款额度不符合要求的。</w:t>
            </w:r>
          </w:p>
          <w:p w14:paraId="43D24B87">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组成联合体时，由牵头人提供以上资料。</w:t>
            </w:r>
          </w:p>
        </w:tc>
      </w:tr>
      <w:tr w14:paraId="4D302595">
        <w:tblPrEx>
          <w:tblCellMar>
            <w:top w:w="0" w:type="dxa"/>
            <w:left w:w="108" w:type="dxa"/>
            <w:bottom w:w="0" w:type="dxa"/>
            <w:right w:w="108" w:type="dxa"/>
          </w:tblCellMar>
        </w:tblPrEx>
        <w:trPr>
          <w:trHeight w:val="2675" w:hRule="atLeast"/>
          <w:jc w:val="center"/>
        </w:trPr>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14:paraId="0E136D80">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招标人</w:t>
            </w:r>
          </w:p>
          <w:p w14:paraId="137E0ADC">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自选项</w:t>
            </w:r>
          </w:p>
          <w:p w14:paraId="024D3943">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（20分）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7E5E253F">
            <w:pPr>
              <w:widowControl/>
              <w:kinsoku/>
              <w:autoSpaceDE/>
              <w:autoSpaceDN/>
              <w:adjustRightInd/>
              <w:snapToGrid/>
              <w:spacing w:line="360" w:lineRule="auto"/>
              <w:jc w:val="left"/>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 xml:space="preserve">1．企业近 </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年（202</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年度至</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今</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）连续</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2个年度以上（含2个年度）</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获得过省级或以上土木建筑学会颁发的科技创新先进企业证书的得</w:t>
            </w:r>
            <w:r>
              <w:rPr>
                <w:rFonts w:hint="eastAsia" w:ascii="宋体" w:hAnsi="宋体" w:eastAsia="宋体" w:cs="宋体"/>
                <w:snapToGrid w:val="0"/>
                <w:color w:val="000000" w:themeColor="text1"/>
                <w:kern w:val="0"/>
                <w:sz w:val="21"/>
                <w:szCs w:val="21"/>
                <w:highlight w:val="none"/>
                <w:u w:val="single"/>
                <w:lang w:eastAsia="zh-CN"/>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1"/>
                <w:szCs w:val="21"/>
                <w:highlight w:val="none"/>
                <w:u w:val="single"/>
                <w:lang w:eastAsia="zh-CN"/>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分；</w:t>
            </w:r>
          </w:p>
          <w:p w14:paraId="69B7101A">
            <w:pPr>
              <w:widowControl w:val="0"/>
              <w:kinsoku/>
              <w:wordWrap w:val="0"/>
              <w:autoSpaceDE/>
              <w:autoSpaceDN/>
              <w:adjustRightInd w:val="0"/>
              <w:snapToGrid w:val="0"/>
              <w:spacing w:line="360" w:lineRule="auto"/>
              <w:jc w:val="left"/>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2．其他情形的，不予计分；</w:t>
            </w:r>
          </w:p>
          <w:p w14:paraId="71462518">
            <w:pPr>
              <w:widowControl w:val="0"/>
              <w:kinsoku/>
              <w:wordWrap w:val="0"/>
              <w:autoSpaceDE/>
              <w:autoSpaceDN/>
              <w:adjustRightInd w:val="0"/>
              <w:snapToGrid w:val="0"/>
              <w:spacing w:line="360" w:lineRule="auto"/>
              <w:jc w:val="left"/>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3．本项最高得</w:t>
            </w:r>
            <w:r>
              <w:rPr>
                <w:rFonts w:hint="eastAsia" w:ascii="宋体" w:hAnsi="宋体" w:eastAsia="宋体" w:cs="宋体"/>
                <w:b/>
                <w:bCs/>
                <w:snapToGrid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38AA68D2">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1.需附相关证书复印件（或打印件或扫描件)，</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同时提供原件供核对。</w:t>
            </w:r>
          </w:p>
          <w:p w14:paraId="7DC2FD35">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2.证书须由省级或以上土木建筑学会颁发。</w:t>
            </w:r>
          </w:p>
          <w:p w14:paraId="0F5118D9">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3.未提供原件的；颁发机构、荣誉称号、获奖时间不符合评分标准和备注规定的，不予得分。</w:t>
            </w:r>
          </w:p>
          <w:p w14:paraId="3FF06620">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组成联合体时，由牵头人提供以上资料。</w:t>
            </w:r>
          </w:p>
        </w:tc>
      </w:tr>
      <w:tr w14:paraId="7197C9CC">
        <w:tblPrEx>
          <w:tblCellMar>
            <w:top w:w="0" w:type="dxa"/>
            <w:left w:w="108" w:type="dxa"/>
            <w:bottom w:w="0" w:type="dxa"/>
            <w:right w:w="108" w:type="dxa"/>
          </w:tblCellMar>
        </w:tblPrEx>
        <w:trPr>
          <w:trHeight w:val="2177" w:hRule="atLeast"/>
          <w:jc w:val="center"/>
        </w:trPr>
        <w:tc>
          <w:tcPr>
            <w:tcW w:w="1216" w:type="dxa"/>
            <w:vMerge w:val="continue"/>
            <w:tcBorders>
              <w:left w:val="single" w:color="auto" w:sz="4" w:space="0"/>
              <w:right w:val="single" w:color="auto" w:sz="4" w:space="0"/>
            </w:tcBorders>
            <w:noWrap w:val="0"/>
            <w:vAlign w:val="center"/>
          </w:tcPr>
          <w:p w14:paraId="797D7CE5">
            <w:pPr>
              <w:widowControl w:val="0"/>
              <w:kinsoku/>
              <w:wordWrap w:val="0"/>
              <w:autoSpaceDE/>
              <w:autoSpaceDN/>
              <w:adjustRightInd w:val="0"/>
              <w:snapToGrid w:val="0"/>
              <w:spacing w:line="400" w:lineRule="exact"/>
              <w:jc w:val="center"/>
              <w:textAlignment w:val="auto"/>
              <w:rPr>
                <w:rFonts w:hint="eastAsia" w:ascii="宋体" w:hAnsi="宋体" w:eastAsia="宋体" w:cs="宋体"/>
                <w:b/>
                <w:bCs/>
                <w:snapToGrid/>
                <w:color w:val="000000" w:themeColor="text1"/>
                <w:kern w:val="0"/>
                <w:sz w:val="21"/>
                <w:szCs w:val="21"/>
                <w:highlight w:val="none"/>
                <w:lang w:eastAsia="zh-CN" w:bidi="ar"/>
                <w14:textFill>
                  <w14:solidFill>
                    <w14:schemeClr w14:val="tx1"/>
                  </w14:solidFill>
                </w14:textFill>
              </w:rPr>
            </w:pPr>
          </w:p>
        </w:tc>
        <w:tc>
          <w:tcPr>
            <w:tcW w:w="3733" w:type="dxa"/>
            <w:tcBorders>
              <w:top w:val="single" w:color="auto" w:sz="4" w:space="0"/>
              <w:left w:val="single" w:color="auto" w:sz="4" w:space="0"/>
              <w:bottom w:val="single" w:color="auto" w:sz="4" w:space="0"/>
              <w:right w:val="single" w:color="auto" w:sz="4" w:space="0"/>
            </w:tcBorders>
            <w:noWrap w:val="0"/>
            <w:vAlign w:val="center"/>
          </w:tcPr>
          <w:p w14:paraId="2C3D0887">
            <w:pPr>
              <w:keepNext w:val="0"/>
              <w:keepLines w:val="0"/>
              <w:widowControl/>
              <w:suppressLineNumbers w:val="0"/>
              <w:kinsoku/>
              <w:autoSpaceDE/>
              <w:autoSpaceDN/>
              <w:adjustRightInd/>
              <w:snapToGrid/>
              <w:spacing w:line="360" w:lineRule="auto"/>
              <w:jc w:val="left"/>
              <w:textAlignment w:val="auto"/>
              <w:rPr>
                <w:rFonts w:hint="eastAsia" w:ascii="宋体" w:hAnsi="宋体" w:eastAsia="宋体" w:cs="宋体"/>
                <w:snapToGrid/>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SA"/>
                <w14:textFill>
                  <w14:solidFill>
                    <w14:schemeClr w14:val="tx1"/>
                  </w14:solidFill>
                </w14:textFill>
              </w:rPr>
              <w:t xml:space="preserve">1.企业近 3 年度（2022年度至今）获得过省级或以上市政行业协会颁发的市政行业协会先进单位证书的得5分； </w:t>
            </w:r>
          </w:p>
          <w:p w14:paraId="1D9B2FAA">
            <w:pPr>
              <w:keepNext w:val="0"/>
              <w:keepLines w:val="0"/>
              <w:widowControl/>
              <w:suppressLineNumbers w:val="0"/>
              <w:kinsoku/>
              <w:autoSpaceDE/>
              <w:autoSpaceDN/>
              <w:adjustRightInd/>
              <w:snapToGrid/>
              <w:spacing w:line="360" w:lineRule="auto"/>
              <w:jc w:val="left"/>
              <w:textAlignment w:val="auto"/>
              <w:rPr>
                <w:rFonts w:hint="eastAsia" w:ascii="宋体" w:hAnsi="宋体" w:eastAsia="宋体" w:cs="宋体"/>
                <w:snapToGrid/>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SA"/>
                <w14:textFill>
                  <w14:solidFill>
                    <w14:schemeClr w14:val="tx1"/>
                  </w14:solidFill>
                </w14:textFill>
              </w:rPr>
              <w:t>2.其他情形的，不予计分。</w:t>
            </w:r>
          </w:p>
          <w:p w14:paraId="5CB866FC">
            <w:pPr>
              <w:keepNext w:val="0"/>
              <w:keepLines w:val="0"/>
              <w:widowControl/>
              <w:suppressLineNumbers w:val="0"/>
              <w:kinsoku/>
              <w:autoSpaceDE/>
              <w:autoSpaceDN/>
              <w:adjustRightInd/>
              <w:snapToGrid/>
              <w:spacing w:line="360" w:lineRule="auto"/>
              <w:jc w:val="left"/>
              <w:textAlignment w:val="auto"/>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1"/>
                <w:szCs w:val="21"/>
                <w:highlight w:val="none"/>
                <w:lang w:val="en-US" w:eastAsia="zh-CN"/>
                <w14:textFill>
                  <w14:solidFill>
                    <w14:schemeClr w14:val="tx1"/>
                  </w14:solidFill>
                </w14:textFill>
              </w:rPr>
              <w:t>3．本项最高得5分。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20A29EC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80" w:lineRule="exact"/>
              <w:ind w:left="0" w:leftChars="0" w:right="0" w:rightChars="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1.证书由省级或以上市政行业协会颁发，须提供有关证书及通知彩色扫描件。</w:t>
            </w:r>
            <w:r>
              <w:rPr>
                <w:rFonts w:hint="eastAsia" w:ascii="宋体" w:hAnsi="宋体" w:eastAsia="宋体" w:cs="宋体"/>
                <w:b/>
                <w:bCs/>
                <w:snapToGrid w:val="0"/>
                <w:color w:val="000000" w:themeColor="text1"/>
                <w:kern w:val="0"/>
                <w:sz w:val="21"/>
                <w:szCs w:val="21"/>
                <w:highlight w:val="none"/>
                <w:lang w:val="en-US" w:eastAsia="zh-CN" w:bidi="ar-SA"/>
                <w14:textFill>
                  <w14:solidFill>
                    <w14:schemeClr w14:val="tx1"/>
                  </w14:solidFill>
                </w14:textFill>
              </w:rPr>
              <w:t>同时提供原件核对</w:t>
            </w:r>
            <w:r>
              <w:rPr>
                <w:rFonts w:hint="eastAsia" w:ascii="宋体" w:hAnsi="宋体" w:eastAsia="宋体" w:cs="宋体"/>
                <w:b w:val="0"/>
                <w:bCs w:val="0"/>
                <w:color w:val="000000" w:themeColor="text1"/>
                <w:kern w:val="2"/>
                <w:sz w:val="21"/>
                <w:szCs w:val="21"/>
                <w:highlight w:val="none"/>
                <w:u w:val="none"/>
                <w:lang w:val="en-US" w:eastAsia="zh-CN" w:bidi="ar-SA"/>
                <w14:textFill>
                  <w14:solidFill>
                    <w14:schemeClr w14:val="tx1"/>
                  </w14:solidFill>
                </w14:textFill>
              </w:rPr>
              <w:t>（电子证书除外）</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 。</w:t>
            </w:r>
          </w:p>
          <w:p w14:paraId="4FE8FC40">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80" w:lineRule="exact"/>
              <w:ind w:left="0" w:leftChars="0" w:right="0" w:rightChars="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2.颁发机构不符合要求的，按第 2 项标准处理。</w:t>
            </w:r>
          </w:p>
          <w:p w14:paraId="1393EBE6">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80" w:lineRule="exact"/>
              <w:ind w:left="0" w:leftChars="0" w:right="0" w:rightChars="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3．组成联合体时，由牵头人提供以上资料。</w:t>
            </w:r>
          </w:p>
        </w:tc>
      </w:tr>
      <w:tr w14:paraId="3932FD63">
        <w:tblPrEx>
          <w:tblCellMar>
            <w:top w:w="0" w:type="dxa"/>
            <w:left w:w="108" w:type="dxa"/>
            <w:bottom w:w="0" w:type="dxa"/>
            <w:right w:w="108" w:type="dxa"/>
          </w:tblCellMar>
        </w:tblPrEx>
        <w:trPr>
          <w:trHeight w:val="2982" w:hRule="atLeast"/>
          <w:jc w:val="center"/>
        </w:trPr>
        <w:tc>
          <w:tcPr>
            <w:tcW w:w="1216" w:type="dxa"/>
            <w:vMerge w:val="continue"/>
            <w:tcBorders>
              <w:left w:val="single" w:color="auto" w:sz="4" w:space="0"/>
              <w:right w:val="single" w:color="auto" w:sz="4" w:space="0"/>
            </w:tcBorders>
            <w:noWrap w:val="0"/>
            <w:vAlign w:val="center"/>
          </w:tcPr>
          <w:p w14:paraId="3F97E49D">
            <w:pPr>
              <w:widowControl w:val="0"/>
              <w:kinsoku/>
              <w:wordWrap w:val="0"/>
              <w:autoSpaceDE/>
              <w:autoSpaceDN/>
              <w:adjustRightInd w:val="0"/>
              <w:snapToGrid w:val="0"/>
              <w:spacing w:line="400" w:lineRule="exact"/>
              <w:jc w:val="center"/>
              <w:textAlignment w:val="auto"/>
              <w:rPr>
                <w:rFonts w:hint="eastAsia" w:ascii="宋体" w:hAnsi="宋体" w:eastAsia="宋体" w:cs="宋体"/>
                <w:b/>
                <w:bCs/>
                <w:snapToGrid/>
                <w:color w:val="000000" w:themeColor="text1"/>
                <w:kern w:val="0"/>
                <w:sz w:val="21"/>
                <w:szCs w:val="21"/>
                <w:highlight w:val="none"/>
                <w:lang w:eastAsia="zh-CN" w:bidi="ar"/>
                <w14:textFill>
                  <w14:solidFill>
                    <w14:schemeClr w14:val="tx1"/>
                  </w14:solidFill>
                </w14:textFill>
              </w:rPr>
            </w:pPr>
          </w:p>
        </w:tc>
        <w:tc>
          <w:tcPr>
            <w:tcW w:w="3733" w:type="dxa"/>
            <w:tcBorders>
              <w:top w:val="single" w:color="auto" w:sz="4" w:space="0"/>
              <w:left w:val="single" w:color="auto" w:sz="4" w:space="0"/>
              <w:bottom w:val="single" w:color="auto" w:sz="4" w:space="0"/>
              <w:right w:val="single" w:color="auto" w:sz="4" w:space="0"/>
            </w:tcBorders>
            <w:noWrap w:val="0"/>
            <w:vAlign w:val="center"/>
          </w:tcPr>
          <w:p w14:paraId="43225B5C">
            <w:pPr>
              <w:widowControl w:val="0"/>
              <w:kinsoku/>
              <w:wordWrap w:val="0"/>
              <w:autoSpaceDE/>
              <w:autoSpaceDN/>
              <w:adjustRightInd w:val="0"/>
              <w:snapToGrid w:val="0"/>
              <w:spacing w:line="360" w:lineRule="auto"/>
              <w:jc w:val="left"/>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近3年来（2022年度1月1日至今）企业连续2年度以上（含2年）获得地级市及以上建筑协会颁发的“优秀典型施工企业”，得5分。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3B773E1F">
            <w:pPr>
              <w:widowControl w:val="0"/>
              <w:kinsoku/>
              <w:wordWrap w:val="0"/>
              <w:autoSpaceDE/>
              <w:autoSpaceDN/>
              <w:adjustRightInd w:val="0"/>
              <w:snapToGrid w:val="0"/>
              <w:spacing w:after="120" w:line="400" w:lineRule="exact"/>
              <w:jc w:val="both"/>
              <w:textAlignment w:val="auto"/>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1.需提供证书彩色扫描件，同时提供证书原件供核对（证书为电子证书的除外）,否则不得分。</w:t>
            </w:r>
          </w:p>
          <w:p w14:paraId="7D862A37">
            <w:pPr>
              <w:widowControl w:val="0"/>
              <w:kinsoku/>
              <w:wordWrap w:val="0"/>
              <w:autoSpaceDE/>
              <w:autoSpaceDN/>
              <w:adjustRightInd w:val="0"/>
              <w:snapToGrid w:val="0"/>
              <w:spacing w:after="120" w:line="400" w:lineRule="exact"/>
              <w:jc w:val="both"/>
              <w:textAlignment w:val="auto"/>
              <w:rPr>
                <w:rFonts w:hint="eastAsia" w:ascii="宋体" w:hAnsi="宋体" w:eastAsia="宋体" w:cs="宋体"/>
                <w:b w:val="0"/>
                <w:bCs w:val="0"/>
                <w:snapToGrid/>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2.需提供地级市及以上建设行政主管部门或地级市及以上建筑协会网站截图打印页,否则不得分。</w:t>
            </w:r>
            <w:r>
              <w:rPr>
                <w:rFonts w:hint="eastAsia" w:ascii="宋体" w:hAnsi="宋体" w:eastAsia="宋体" w:cs="宋体"/>
                <w:b/>
                <w:bCs/>
                <w:snapToGrid w:val="0"/>
                <w:color w:val="000000" w:themeColor="text1"/>
                <w:kern w:val="0"/>
                <w:sz w:val="21"/>
                <w:szCs w:val="21"/>
                <w:highlight w:val="none"/>
                <w:lang w:val="en-US" w:eastAsia="zh-CN"/>
                <w14:textFill>
                  <w14:solidFill>
                    <w14:schemeClr w14:val="tx1"/>
                  </w14:solidFill>
                </w14:textFill>
              </w:rPr>
              <w:t>（相关协会需经民政部门备案）</w:t>
            </w:r>
          </w:p>
        </w:tc>
      </w:tr>
      <w:tr w14:paraId="4A3074A7">
        <w:tblPrEx>
          <w:tblCellMar>
            <w:top w:w="0" w:type="dxa"/>
            <w:left w:w="108" w:type="dxa"/>
            <w:bottom w:w="0" w:type="dxa"/>
            <w:right w:w="108" w:type="dxa"/>
          </w:tblCellMar>
        </w:tblPrEx>
        <w:trPr>
          <w:trHeight w:val="438"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14:paraId="273DEFCE">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bidi="ar"/>
                <w14:textFill>
                  <w14:solidFill>
                    <w14:schemeClr w14:val="tx1"/>
                  </w14:solidFill>
                </w14:textFill>
              </w:rPr>
            </w:pPr>
          </w:p>
        </w:tc>
        <w:tc>
          <w:tcPr>
            <w:tcW w:w="3733" w:type="dxa"/>
            <w:tcBorders>
              <w:top w:val="single" w:color="auto" w:sz="4" w:space="0"/>
              <w:left w:val="single" w:color="auto" w:sz="4" w:space="0"/>
              <w:bottom w:val="single" w:color="auto" w:sz="4" w:space="0"/>
              <w:right w:val="single" w:color="auto" w:sz="4" w:space="0"/>
            </w:tcBorders>
            <w:noWrap w:val="0"/>
            <w:vAlign w:val="center"/>
          </w:tcPr>
          <w:p w14:paraId="00AF0514">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投标人具有在有效期内的体系认证:①合规管理体系认证证书、②安全生产标准化认证证书、③售后服务认证证书。</w:t>
            </w:r>
          </w:p>
          <w:p w14:paraId="55CBEE0F">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1.投标人同时获得上述3个认证证书且在有效期内的得5分；</w:t>
            </w:r>
          </w:p>
          <w:p w14:paraId="1AE20426">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2.投标人同时获得上述其中2个认证证书且在有效期内的得2分；</w:t>
            </w:r>
          </w:p>
          <w:p w14:paraId="6A9BF6FA">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3.投标人获得上述其中1个认证证书且在有效期内的得1分；</w:t>
            </w:r>
          </w:p>
          <w:p w14:paraId="3A23D4AD">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4.其他情形的，不予计分。</w:t>
            </w:r>
          </w:p>
          <w:p w14:paraId="3B20C2B3">
            <w:pPr>
              <w:widowControl w:val="0"/>
              <w:kinsoku/>
              <w:wordWrap w:val="0"/>
              <w:autoSpaceDE/>
              <w:autoSpaceDN/>
              <w:adjustRightInd w:val="0"/>
              <w:snapToGrid w:val="0"/>
              <w:spacing w:line="400" w:lineRule="exact"/>
              <w:jc w:val="both"/>
              <w:textAlignment w:val="auto"/>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5．本项最高得5分。</w:t>
            </w:r>
          </w:p>
        </w:tc>
        <w:tc>
          <w:tcPr>
            <w:tcW w:w="5358" w:type="dxa"/>
            <w:tcBorders>
              <w:top w:val="single" w:color="auto" w:sz="4" w:space="0"/>
              <w:left w:val="single" w:color="auto" w:sz="4" w:space="0"/>
              <w:bottom w:val="single" w:color="auto" w:sz="4" w:space="0"/>
              <w:right w:val="single" w:color="auto" w:sz="4" w:space="0"/>
            </w:tcBorders>
            <w:noWrap w:val="0"/>
            <w:vAlign w:val="top"/>
          </w:tcPr>
          <w:p w14:paraId="5D04128D">
            <w:pPr>
              <w:pStyle w:val="52"/>
              <w:spacing w:line="360" w:lineRule="auto"/>
              <w:rPr>
                <w:rFonts w:hint="eastAsia" w:ascii="宋体" w:hAnsi="宋体" w:eastAsia="宋体" w:cs="宋体"/>
                <w:b/>
                <w:bCs/>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证书须在招标公告发布日前获得，</w:t>
            </w:r>
            <w:r>
              <w:rPr>
                <w:rFonts w:hint="eastAsia" w:ascii="宋体" w:hAnsi="宋体" w:eastAsia="宋体" w:cs="宋体"/>
                <w:snapToGrid w:val="0"/>
                <w:color w:val="000000" w:themeColor="text1"/>
                <w:sz w:val="21"/>
                <w:szCs w:val="21"/>
                <w:highlight w:val="none"/>
                <w14:textFill>
                  <w14:solidFill>
                    <w14:schemeClr w14:val="tx1"/>
                  </w14:solidFill>
                </w14:textFill>
              </w:rPr>
              <w:t>需附认证证书复印件（或打印件或扫描件)，</w:t>
            </w:r>
            <w:r>
              <w:rPr>
                <w:rFonts w:hint="eastAsia" w:ascii="宋体" w:hAnsi="宋体" w:eastAsia="宋体" w:cs="宋体"/>
                <w:b/>
                <w:bCs/>
                <w:snapToGrid w:val="0"/>
                <w:color w:val="000000" w:themeColor="text1"/>
                <w:sz w:val="21"/>
                <w:szCs w:val="21"/>
                <w:highlight w:val="none"/>
                <w14:textFill>
                  <w14:solidFill>
                    <w14:schemeClr w14:val="tx1"/>
                  </w14:solidFill>
                </w14:textFill>
              </w:rPr>
              <w:t>同时提供原件供核对</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（电子证书除外）</w:t>
            </w:r>
            <w:r>
              <w:rPr>
                <w:rFonts w:hint="eastAsia" w:ascii="宋体" w:hAnsi="宋体" w:eastAsia="宋体" w:cs="宋体"/>
                <w:b/>
                <w:bCs/>
                <w:snapToGrid w:val="0"/>
                <w:color w:val="000000" w:themeColor="text1"/>
                <w:sz w:val="21"/>
                <w:szCs w:val="21"/>
                <w:highlight w:val="none"/>
                <w14:textFill>
                  <w14:solidFill>
                    <w14:schemeClr w14:val="tx1"/>
                  </w14:solidFill>
                </w14:textFill>
              </w:rPr>
              <w:t>。</w:t>
            </w:r>
          </w:p>
          <w:p w14:paraId="46F8CC3C">
            <w:pPr>
              <w:widowControl w:val="0"/>
              <w:kinsoku/>
              <w:wordWrap w:val="0"/>
              <w:autoSpaceDE/>
              <w:autoSpaceDN/>
              <w:adjustRightInd w:val="0"/>
              <w:snapToGrid w:val="0"/>
              <w:spacing w:line="400" w:lineRule="exact"/>
              <w:jc w:val="left"/>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2．体系认证证书①、需符合GB/T 35770-2022/ISO 37301：2021的要求；②、需符合GB/T 33000-2016的要求；③、需符合GB/T 27922-2011的要求。需在国家认证认可监督管理委员会官网（http://www.cnca.gov.cn/)可查，需提供网页</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查询</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截图。</w:t>
            </w:r>
          </w:p>
          <w:p w14:paraId="73ABF5E3">
            <w:pPr>
              <w:widowControl w:val="0"/>
              <w:kinsoku/>
              <w:wordWrap w:val="0"/>
              <w:autoSpaceDE/>
              <w:autoSpaceDN/>
              <w:adjustRightInd w:val="0"/>
              <w:snapToGrid w:val="0"/>
              <w:spacing w:line="400" w:lineRule="exact"/>
              <w:jc w:val="left"/>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3.任一认证证书有以下情形之一的，该认证证书视为无效，不予计分：</w:t>
            </w:r>
          </w:p>
          <w:p w14:paraId="473F14F3">
            <w:pPr>
              <w:widowControl w:val="0"/>
              <w:kinsoku/>
              <w:wordWrap w:val="0"/>
              <w:autoSpaceDE/>
              <w:autoSpaceDN/>
              <w:adjustRightInd w:val="0"/>
              <w:snapToGrid w:val="0"/>
              <w:spacing w:line="400" w:lineRule="exact"/>
              <w:jc w:val="left"/>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①未提供认证证书原件的；</w:t>
            </w:r>
          </w:p>
          <w:p w14:paraId="5095128C">
            <w:pPr>
              <w:widowControl w:val="0"/>
              <w:kinsoku/>
              <w:wordWrap w:val="0"/>
              <w:autoSpaceDE/>
              <w:autoSpaceDN/>
              <w:adjustRightInd w:val="0"/>
              <w:snapToGrid w:val="0"/>
              <w:spacing w:line="400" w:lineRule="exact"/>
              <w:jc w:val="left"/>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②认证证书不在有效期内的；</w:t>
            </w:r>
          </w:p>
          <w:p w14:paraId="66AA5561">
            <w:pPr>
              <w:widowControl w:val="0"/>
              <w:kinsoku/>
              <w:wordWrap w:val="0"/>
              <w:autoSpaceDE/>
              <w:autoSpaceDN/>
              <w:adjustRightInd w:val="0"/>
              <w:snapToGrid w:val="0"/>
              <w:spacing w:line="400" w:lineRule="exact"/>
              <w:jc w:val="left"/>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③未提供以上备注规定的网</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页查询</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截图的；</w:t>
            </w:r>
          </w:p>
          <w:p w14:paraId="5B0693C0">
            <w:pPr>
              <w:widowControl w:val="0"/>
              <w:kinsoku/>
              <w:wordWrap w:val="0"/>
              <w:autoSpaceDE/>
              <w:autoSpaceDN/>
              <w:adjustRightInd w:val="0"/>
              <w:snapToGrid w:val="0"/>
              <w:spacing w:line="400" w:lineRule="exact"/>
              <w:jc w:val="left"/>
              <w:textAlignment w:val="auto"/>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④认证时间不符合评分标准和备注规定要求的。</w:t>
            </w:r>
          </w:p>
          <w:p w14:paraId="1F1445AA">
            <w:pPr>
              <w:widowControl w:val="0"/>
              <w:kinsoku/>
              <w:wordWrap w:val="0"/>
              <w:autoSpaceDE/>
              <w:autoSpaceDN/>
              <w:adjustRightInd w:val="0"/>
              <w:snapToGrid w:val="0"/>
              <w:spacing w:line="400" w:lineRule="exact"/>
              <w:jc w:val="left"/>
              <w:textAlignment w:val="auto"/>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组成联合体时，由牵头人提供以上资料。</w:t>
            </w:r>
          </w:p>
        </w:tc>
      </w:tr>
      <w:tr w14:paraId="1373BDDF">
        <w:tblPrEx>
          <w:tblCellMar>
            <w:top w:w="0" w:type="dxa"/>
            <w:left w:w="108" w:type="dxa"/>
            <w:bottom w:w="0" w:type="dxa"/>
            <w:right w:w="108" w:type="dxa"/>
          </w:tblCellMar>
        </w:tblPrEx>
        <w:trPr>
          <w:trHeight w:val="567" w:hRule="exact"/>
          <w:jc w:val="center"/>
        </w:trPr>
        <w:tc>
          <w:tcPr>
            <w:tcW w:w="10307"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5BF7B2B0">
            <w:pPr>
              <w:widowControl w:val="0"/>
              <w:wordWrap w:val="0"/>
              <w:adjustRightInd w:val="0"/>
              <w:snapToGrid w:val="0"/>
              <w:spacing w:after="0" w:line="440" w:lineRule="exact"/>
              <w:jc w:val="left"/>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技术部分（施工组织设计），满分：</w:t>
            </w:r>
            <w:r>
              <w:rPr>
                <w:rFonts w:hint="eastAsia" w:ascii="宋体" w:hAnsi="宋体" w:eastAsia="宋体" w:cs="宋体"/>
                <w:b/>
                <w:bCs/>
                <w:color w:val="000000" w:themeColor="text1"/>
                <w:kern w:val="0"/>
                <w:sz w:val="24"/>
                <w:szCs w:val="24"/>
                <w:highlight w:val="none"/>
                <w:u w:val="single"/>
                <w:lang w:val="en-US" w:eastAsia="zh-CN" w:bidi="ar-SA"/>
                <w14:textFill>
                  <w14:solidFill>
                    <w14:schemeClr w14:val="tx1"/>
                  </w14:solidFill>
                </w14:textFill>
              </w:rPr>
              <w:t xml:space="preserve">  20  </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分。</w:t>
            </w:r>
          </w:p>
        </w:tc>
      </w:tr>
      <w:tr w14:paraId="4D8B763D">
        <w:tblPrEx>
          <w:tblCellMar>
            <w:top w:w="0" w:type="dxa"/>
            <w:left w:w="108" w:type="dxa"/>
            <w:bottom w:w="0" w:type="dxa"/>
            <w:right w:w="108" w:type="dxa"/>
          </w:tblCellMar>
        </w:tblPrEx>
        <w:trPr>
          <w:trHeight w:val="680"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57F2ED4B">
            <w:pPr>
              <w:widowControl w:val="0"/>
              <w:wordWrap w:val="0"/>
              <w:adjustRightInd w:val="0"/>
              <w:snapToGrid w:val="0"/>
              <w:spacing w:after="0" w:line="440" w:lineRule="exact"/>
              <w:jc w:val="cente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评分因素</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C971C01">
            <w:pPr>
              <w:widowControl w:val="0"/>
              <w:wordWrap w:val="0"/>
              <w:adjustRightInd w:val="0"/>
              <w:snapToGrid w:val="0"/>
              <w:spacing w:after="0" w:line="440" w:lineRule="exact"/>
              <w:jc w:val="cente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评分标准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27EB220">
            <w:pPr>
              <w:widowControl w:val="0"/>
              <w:wordWrap w:val="0"/>
              <w:adjustRightInd w:val="0"/>
              <w:snapToGrid w:val="0"/>
              <w:spacing w:after="0" w:line="440" w:lineRule="exact"/>
              <w:jc w:val="cente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备注</w:t>
            </w:r>
          </w:p>
        </w:tc>
      </w:tr>
      <w:tr w14:paraId="254B77A9">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43B1E54F">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 xml:space="preserve"> 总体概述</w:t>
            </w:r>
          </w:p>
          <w:p w14:paraId="088794EA">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bCs/>
                <w:snapToGrid w:val="0"/>
                <w:color w:val="000000" w:themeColor="text1"/>
                <w:kern w:val="0"/>
                <w:sz w:val="21"/>
                <w:szCs w:val="21"/>
                <w:highlight w:val="none"/>
                <w:u w:val="single"/>
                <w:lang w:eastAsia="zh-CN"/>
                <w14:textFill>
                  <w14:solidFill>
                    <w14:schemeClr w14:val="tx1"/>
                  </w14:solidFill>
                </w14:textFill>
              </w:rPr>
              <w:t xml:space="preserve"> 3 </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97CF9C8">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【优】得该项评分因素分值的90%～100%（含90%）。</w:t>
            </w:r>
          </w:p>
          <w:p w14:paraId="03F68CB2">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【良】得该项评分因素分值的80%～90%（含80%）。</w:t>
            </w:r>
          </w:p>
          <w:p w14:paraId="7DC3967D">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【中】得该项评分因素分值的70%～80%（含70%）。</w:t>
            </w:r>
          </w:p>
          <w:p w14:paraId="4783AE55">
            <w:pPr>
              <w:widowControl w:val="0"/>
              <w:kinsoku/>
              <w:wordWrap w:val="0"/>
              <w:autoSpaceDE/>
              <w:autoSpaceDN/>
              <w:adjustRightInd w:val="0"/>
              <w:snapToGrid w:val="0"/>
              <w:spacing w:line="400" w:lineRule="exact"/>
              <w:jc w:val="left"/>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0827108E">
            <w:pPr>
              <w:widowControl w:val="0"/>
              <w:kinsoku/>
              <w:wordWrap w:val="0"/>
              <w:autoSpaceDE/>
              <w:autoSpaceDN/>
              <w:adjustRightInd w:val="0"/>
              <w:snapToGrid w:val="0"/>
              <w:spacing w:line="400" w:lineRule="exact"/>
              <w:jc w:val="left"/>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【优】对项目总体有深刻认识，表述清晰、完整、严谨、合理，措施先进、具体、有效、成熟，采用了新技术、新工艺、新材料、新设备；施工段划分呼应总体表述，划分清晰、合理，符合规范要求。</w:t>
            </w:r>
          </w:p>
          <w:p w14:paraId="19D45C64">
            <w:pPr>
              <w:widowControl w:val="0"/>
              <w:kinsoku/>
              <w:wordWrap w:val="0"/>
              <w:autoSpaceDE/>
              <w:autoSpaceDN/>
              <w:adjustRightInd w:val="0"/>
              <w:snapToGrid w:val="0"/>
              <w:spacing w:line="400" w:lineRule="exact"/>
              <w:jc w:val="left"/>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【良】对项目总体有一定认识，表述清晰、完整，措施具体有效；施工段划分呼应总体表述，划分清晰，符合规范要求。</w:t>
            </w:r>
          </w:p>
          <w:p w14:paraId="5A1C5E10">
            <w:pPr>
              <w:widowControl w:val="0"/>
              <w:kinsoku/>
              <w:wordWrap w:val="0"/>
              <w:autoSpaceDE/>
              <w:autoSpaceDN/>
              <w:adjustRightInd w:val="0"/>
              <w:snapToGrid w:val="0"/>
              <w:spacing w:line="400" w:lineRule="exact"/>
              <w:jc w:val="left"/>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【中】对项目总体有认识，有一定的措施但部分不具体；施工段划分较合理，符合规范要求。</w:t>
            </w:r>
          </w:p>
          <w:p w14:paraId="708E3266">
            <w:pPr>
              <w:widowControl w:val="0"/>
              <w:kinsoku/>
              <w:wordWrap w:val="0"/>
              <w:autoSpaceDE/>
              <w:autoSpaceDN/>
              <w:adjustRightInd w:val="0"/>
              <w:snapToGrid w:val="0"/>
              <w:spacing w:line="400" w:lineRule="exact"/>
              <w:jc w:val="left"/>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【差】对项目认识不足，表述不清晰，措施不具体；施工段划分不合理。</w:t>
            </w:r>
          </w:p>
        </w:tc>
      </w:tr>
      <w:tr w14:paraId="00970BFE">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C1A0008">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施工总进</w:t>
            </w:r>
          </w:p>
          <w:p w14:paraId="3E59FFDA">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度计划及</w:t>
            </w:r>
          </w:p>
          <w:p w14:paraId="3C7F83AE">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保证措施</w:t>
            </w:r>
          </w:p>
          <w:p w14:paraId="7029405C">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bCs/>
                <w:snapToGrid w:val="0"/>
                <w:color w:val="000000" w:themeColor="text1"/>
                <w:kern w:val="0"/>
                <w:sz w:val="21"/>
                <w:szCs w:val="21"/>
                <w:highlight w:val="none"/>
                <w:u w:val="single"/>
                <w:lang w:eastAsia="zh-CN"/>
                <w14:textFill>
                  <w14:solidFill>
                    <w14:schemeClr w14:val="tx1"/>
                  </w14:solidFill>
                </w14:textFill>
              </w:rPr>
              <w:t xml:space="preserve">3 </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1469ECFC">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【优】得该项评分因素分值的90%～100%（含90%）。</w:t>
            </w:r>
          </w:p>
          <w:p w14:paraId="508E4D70">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【良】得该项评分因素分值的80%～90%（含80%）。</w:t>
            </w:r>
          </w:p>
          <w:p w14:paraId="0909FCC0">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【中】得该项评分因素分值的70%～80%（含70%）。</w:t>
            </w:r>
          </w:p>
          <w:p w14:paraId="5762B805">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7AF6F6C8">
            <w:pPr>
              <w:widowControl w:val="0"/>
              <w:kinsoku/>
              <w:wordWrap w:val="0"/>
              <w:autoSpaceDE/>
              <w:autoSpaceDN/>
              <w:adjustRightInd w:val="0"/>
              <w:snapToGrid w:val="0"/>
              <w:spacing w:line="400" w:lineRule="exact"/>
              <w:jc w:val="both"/>
              <w:textAlignment w:val="auto"/>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经济赔偿合理。</w:t>
            </w:r>
          </w:p>
          <w:p w14:paraId="509EEFE9">
            <w:pPr>
              <w:widowControl w:val="0"/>
              <w:kinsoku/>
              <w:wordWrap w:val="0"/>
              <w:autoSpaceDE/>
              <w:autoSpaceDN/>
              <w:adjustRightInd w:val="0"/>
              <w:snapToGrid w:val="0"/>
              <w:spacing w:line="400" w:lineRule="exact"/>
              <w:jc w:val="both"/>
              <w:textAlignment w:val="auto"/>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经济赔偿较合理。</w:t>
            </w:r>
          </w:p>
          <w:p w14:paraId="3C8D298F">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【中】关键线路基本准确，计划编制基本合理。关键节点的控制措施基本可行。人、材、机需求和进场计划与进度计划相呼应，基本满足施工需要，调配投入计划基本合理。进度违约责任承诺具体。</w:t>
            </w:r>
          </w:p>
          <w:p w14:paraId="63C0C58D">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【差】关键线路不准确，计划编制不合理。关键节点的控制不可行。人、材、机需求和进场计划与进度计划不相呼应，不能满足施工需要。没有违约责任承诺。</w:t>
            </w:r>
          </w:p>
        </w:tc>
      </w:tr>
      <w:tr w14:paraId="134D3E28">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1106622">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质量</w:t>
            </w:r>
          </w:p>
          <w:p w14:paraId="6C95406A">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保证措施</w:t>
            </w:r>
          </w:p>
          <w:p w14:paraId="6BF537AE">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（4</w:t>
            </w:r>
            <w:r>
              <w:rPr>
                <w:rFonts w:hint="eastAsia" w:ascii="宋体" w:hAnsi="宋体" w:eastAsia="宋体" w:cs="宋体"/>
                <w:b/>
                <w:bCs/>
                <w:snapToGrid w:val="0"/>
                <w:color w:val="000000" w:themeColor="text1"/>
                <w:kern w:val="0"/>
                <w:sz w:val="21"/>
                <w:szCs w:val="21"/>
                <w:highlight w:val="none"/>
                <w:u w:val="single"/>
                <w:lang w:eastAsia="zh-CN"/>
                <w14:textFill>
                  <w14:solidFill>
                    <w14:schemeClr w14:val="tx1"/>
                  </w14:solidFill>
                </w14:textFill>
              </w:rPr>
              <w:t xml:space="preserve"> </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07169F91">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【优】得该项评分因素分值的90%～100%（含90%）。</w:t>
            </w:r>
          </w:p>
          <w:p w14:paraId="38C8A5A5">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【良】得该项评分因素分值的80%～90%（含80%）。</w:t>
            </w:r>
          </w:p>
          <w:p w14:paraId="57A32068">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【中】得该项评分因素分值的70%～80%（含70%）。</w:t>
            </w:r>
          </w:p>
          <w:p w14:paraId="41682A57">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2A0D5B2F">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【优】应用新技术、新工艺、新材料、新设备，针对项目实际提出先进、可行、具体的保证措施。超过招标文件的质量要求。</w:t>
            </w:r>
          </w:p>
          <w:p w14:paraId="7A1C7711">
            <w:pPr>
              <w:widowControl w:val="0"/>
              <w:kinsoku/>
              <w:wordWrap w:val="0"/>
              <w:autoSpaceDE/>
              <w:autoSpaceDN/>
              <w:adjustRightInd w:val="0"/>
              <w:snapToGrid w:val="0"/>
              <w:spacing w:line="400" w:lineRule="exact"/>
              <w:jc w:val="both"/>
              <w:textAlignment w:val="auto"/>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【良】针对项目实际提出先进、可行、具体的保证措施。满足招标文件的质量要求。</w:t>
            </w:r>
          </w:p>
          <w:p w14:paraId="04E3373D">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【中】具体措施可行。满足招标文件的质量要求。</w:t>
            </w:r>
          </w:p>
          <w:p w14:paraId="504D8A29">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【差】措施不可行，没有质量违约责任承诺。</w:t>
            </w:r>
          </w:p>
        </w:tc>
      </w:tr>
      <w:tr w14:paraId="618E4605">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1775B00">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施工</w:t>
            </w:r>
          </w:p>
          <w:p w14:paraId="0CB53CAC">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技术措施</w:t>
            </w:r>
          </w:p>
          <w:p w14:paraId="43A7C23D">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bCs/>
                <w:snapToGrid w:val="0"/>
                <w:color w:val="000000" w:themeColor="text1"/>
                <w:kern w:val="0"/>
                <w:sz w:val="21"/>
                <w:szCs w:val="21"/>
                <w:highlight w:val="none"/>
                <w:u w:val="single"/>
                <w:lang w:eastAsia="zh-CN"/>
                <w14:textFill>
                  <w14:solidFill>
                    <w14:schemeClr w14:val="tx1"/>
                  </w14:solidFill>
                </w14:textFill>
              </w:rPr>
              <w:t xml:space="preserve"> 2 </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10FC0C54">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【优】得该项评分因素分值的90%～100%（含90%）。</w:t>
            </w:r>
          </w:p>
          <w:p w14:paraId="5CCDB2E3">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【良】得该项评分因素分值的80%～90%（含80%）。</w:t>
            </w:r>
          </w:p>
          <w:p w14:paraId="7218A4ED">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【中】得该项评分因素分值的70%～80%（含70%）。</w:t>
            </w:r>
          </w:p>
          <w:p w14:paraId="47240866">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0C30740D">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经济赔偿合理。</w:t>
            </w:r>
          </w:p>
          <w:p w14:paraId="5C0895CE">
            <w:pPr>
              <w:widowControl w:val="0"/>
              <w:kinsoku/>
              <w:wordWrap w:val="0"/>
              <w:autoSpaceDE/>
              <w:autoSpaceDN/>
              <w:adjustRightInd w:val="0"/>
              <w:snapToGrid w:val="0"/>
              <w:spacing w:line="400" w:lineRule="exact"/>
              <w:jc w:val="both"/>
              <w:textAlignment w:val="auto"/>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经济赔偿较合理。</w:t>
            </w:r>
          </w:p>
          <w:p w14:paraId="66BB7E97">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092C2A10">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【差】对项目关键技术有表述，对重点、难点有建议，解决方案不可行。采用的新技术针对性不强或验证材料不可靠，对节约投资、工期没有具体收益。无违约责任承诺。</w:t>
            </w:r>
          </w:p>
        </w:tc>
      </w:tr>
      <w:tr w14:paraId="154EA3CC">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53E44D64">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绿色施工、</w:t>
            </w:r>
          </w:p>
          <w:p w14:paraId="7110EDD6">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安全防护、</w:t>
            </w:r>
          </w:p>
          <w:p w14:paraId="586C62BC">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文明施工</w:t>
            </w:r>
          </w:p>
          <w:p w14:paraId="14073F30">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措施计划</w:t>
            </w:r>
          </w:p>
          <w:p w14:paraId="3DBD69A7">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bCs/>
                <w:snapToGrid w:val="0"/>
                <w:color w:val="000000" w:themeColor="text1"/>
                <w:kern w:val="0"/>
                <w:sz w:val="21"/>
                <w:szCs w:val="21"/>
                <w:highlight w:val="none"/>
                <w:u w:val="single"/>
                <w:lang w:eastAsia="zh-CN"/>
                <w14:textFill>
                  <w14:solidFill>
                    <w14:schemeClr w14:val="tx1"/>
                  </w14:solidFill>
                </w14:textFill>
              </w:rPr>
              <w:t xml:space="preserve"> 3 </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CEA35BF">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【优】得该项评分因素分值的90%～100%（含90%）。</w:t>
            </w:r>
          </w:p>
          <w:p w14:paraId="157FAAC3">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【良】得该项评分因素分值的80%～90%（含80%）。</w:t>
            </w:r>
          </w:p>
          <w:p w14:paraId="099AAF3D">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【中】得该项评分因素分值的70%～80%（含70%）。</w:t>
            </w:r>
          </w:p>
          <w:p w14:paraId="00B72AB7">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3E4E48FA">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【优】针对项目实际情况，有先进、具体、完整、可行的措施，采用规范准确、清晰。</w:t>
            </w:r>
          </w:p>
          <w:p w14:paraId="495EF453">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【良】针对项目实际情况，有合理的措施且具体、完整，采用规范准确。</w:t>
            </w:r>
          </w:p>
          <w:p w14:paraId="237D7185">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【中】有基本合理的措施，采用规范准确。</w:t>
            </w:r>
          </w:p>
          <w:p w14:paraId="78199B66">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【差】措施不力，采用规范不正确。</w:t>
            </w:r>
          </w:p>
        </w:tc>
      </w:tr>
      <w:tr w14:paraId="537D05BE">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356D2FFB">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施工平面</w:t>
            </w:r>
          </w:p>
          <w:p w14:paraId="038DB08F">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布置和临时设施布置</w:t>
            </w:r>
          </w:p>
          <w:p w14:paraId="5688C07A">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bCs/>
                <w:snapToGrid w:val="0"/>
                <w:color w:val="000000" w:themeColor="text1"/>
                <w:kern w:val="0"/>
                <w:sz w:val="21"/>
                <w:szCs w:val="21"/>
                <w:highlight w:val="none"/>
                <w:u w:val="single"/>
                <w:lang w:eastAsia="zh-CN"/>
                <w14:textFill>
                  <w14:solidFill>
                    <w14:schemeClr w14:val="tx1"/>
                  </w14:solidFill>
                </w14:textFill>
              </w:rPr>
              <w:t xml:space="preserve"> 2 </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305194D3">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【优】得该项评分因素分值的90%～100%（含90%）。</w:t>
            </w:r>
          </w:p>
          <w:p w14:paraId="357DB794">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【良】得该项评分因素分值的80%～90%（含80%）。</w:t>
            </w:r>
          </w:p>
          <w:p w14:paraId="117BD8F5">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【中】得该项评分因素分值的70%～80%（含70%）。</w:t>
            </w:r>
          </w:p>
          <w:p w14:paraId="01552BF3">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06A06450">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【优】总体布置有针对性、合理，较好满足施工需要，符合绿色施工、安全防护、文明施工要求。</w:t>
            </w:r>
          </w:p>
          <w:p w14:paraId="630BFE19">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【良】总体布置合理，能满足施工需要，基本符合绿色施工、安全防护、文明施工要求。</w:t>
            </w:r>
          </w:p>
          <w:p w14:paraId="4A3FC7AF">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【中】总体布置基本合理，基本满足施工需要。</w:t>
            </w:r>
          </w:p>
          <w:p w14:paraId="2F762F12">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【差】总体布置不合理，不符合绿色施工、安全防护、文明施工要求。</w:t>
            </w:r>
          </w:p>
        </w:tc>
      </w:tr>
      <w:tr w14:paraId="6CCE15C8">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45DCDF0F">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项目</w:t>
            </w:r>
          </w:p>
          <w:p w14:paraId="085BF837">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管理机构</w:t>
            </w:r>
          </w:p>
          <w:p w14:paraId="4DC794F1">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bCs/>
                <w:snapToGrid w:val="0"/>
                <w:color w:val="000000" w:themeColor="text1"/>
                <w:kern w:val="0"/>
                <w:sz w:val="21"/>
                <w:szCs w:val="21"/>
                <w:highlight w:val="none"/>
                <w:u w:val="single"/>
                <w:lang w:eastAsia="zh-CN"/>
                <w14:textFill>
                  <w14:solidFill>
                    <w14:schemeClr w14:val="tx1"/>
                  </w14:solidFill>
                </w14:textFill>
              </w:rPr>
              <w:t xml:space="preserve"> 3 </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83D101E">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【优】得该项评分因素分值的90%～100%（含90%）。</w:t>
            </w:r>
          </w:p>
          <w:p w14:paraId="6D04A045">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【良】得该项评分因素分值的80%～90%（含80%）。</w:t>
            </w:r>
          </w:p>
          <w:p w14:paraId="582308FB">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【中】得该项评分因素分值的70%～80%（含70%）。</w:t>
            </w:r>
          </w:p>
          <w:p w14:paraId="3546E812">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515DF475">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【优】组织机构形式合理，有完善的指挥系统，生产及质量、绿色施工、安全、文明施工、创优达标监控系统、联络协调系统，项目管理人员内高级职称人员20%（含20%）以上、中级职称人员</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及以上职称</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60%（含60%）以上。</w:t>
            </w:r>
          </w:p>
          <w:p w14:paraId="2D39ECFD">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【良】组织机构形式合理，指挥系统，生产及质量、绿色施工、安全、文明施工、创优达标监控系统、联络协调系统齐全，项目管理人员内高级职称人员15%～20%（含15%）、中级职称</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及以上职称</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人员50%～60%（含50%）。</w:t>
            </w:r>
          </w:p>
          <w:p w14:paraId="7EFCA87E">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【中】组织机构形式基本合理，有指挥系统，生产及质量、绿色施工、安全、文明施工、创优达标监控系统、联络协调系统，项目管理人员内高级职称人员10%～15%（含10%）、中级职称人员</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及以上职称</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40%～50%（含40%）。</w:t>
            </w:r>
          </w:p>
          <w:p w14:paraId="52DCAA1C">
            <w:pPr>
              <w:widowControl w:val="0"/>
              <w:kinsoku/>
              <w:wordWrap w:val="0"/>
              <w:autoSpaceDE/>
              <w:autoSpaceDN/>
              <w:adjustRightInd w:val="0"/>
              <w:snapToGrid w:val="0"/>
              <w:spacing w:line="400" w:lineRule="exact"/>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【差】组织机构形式合理，指挥系统，生产及质量、绿色施工、安全、文明施工、创优达标监控系统、联络协调系统不齐全，项目管理人员内高级职称人员10%以下、中级职称人员</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及以上职称</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40%以下。</w:t>
            </w:r>
          </w:p>
        </w:tc>
      </w:tr>
      <w:tr w14:paraId="3C85E566">
        <w:tblPrEx>
          <w:tblCellMar>
            <w:top w:w="0" w:type="dxa"/>
            <w:left w:w="108" w:type="dxa"/>
            <w:bottom w:w="0" w:type="dxa"/>
            <w:right w:w="108" w:type="dxa"/>
          </w:tblCellMar>
        </w:tblPrEx>
        <w:trPr>
          <w:trHeight w:val="554" w:hRule="exact"/>
          <w:jc w:val="center"/>
        </w:trPr>
        <w:tc>
          <w:tcPr>
            <w:tcW w:w="10307"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30EB054F">
            <w:pPr>
              <w:widowControl w:val="0"/>
              <w:wordWrap w:val="0"/>
              <w:adjustRightInd w:val="0"/>
              <w:snapToGrid w:val="0"/>
              <w:spacing w:line="400" w:lineRule="exact"/>
              <w:jc w:val="both"/>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bidi="ar-SA"/>
                <w14:textFill>
                  <w14:solidFill>
                    <w14:schemeClr w14:val="tx1"/>
                  </w14:solidFill>
                </w14:textFill>
              </w:rPr>
              <w:t>投标报价部分，满分：100分。</w:t>
            </w:r>
          </w:p>
        </w:tc>
      </w:tr>
      <w:tr w14:paraId="2DE83E06">
        <w:tblPrEx>
          <w:tblCellMar>
            <w:top w:w="0" w:type="dxa"/>
            <w:left w:w="108" w:type="dxa"/>
            <w:bottom w:w="0" w:type="dxa"/>
            <w:right w:w="108" w:type="dxa"/>
          </w:tblCellMar>
        </w:tblPrEx>
        <w:trPr>
          <w:trHeight w:val="451"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75F86B2">
            <w:pPr>
              <w:widowControl w:val="0"/>
              <w:kinsoku/>
              <w:autoSpaceDE/>
              <w:autoSpaceDN/>
              <w:adjustRightInd w:val="0"/>
              <w:snapToGrid/>
              <w:spacing w:line="360" w:lineRule="atLeast"/>
              <w:jc w:val="center"/>
              <w:textAlignment w:val="baseline"/>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t>评分事项</w:t>
            </w:r>
          </w:p>
        </w:tc>
        <w:tc>
          <w:tcPr>
            <w:tcW w:w="9091" w:type="dxa"/>
            <w:gridSpan w:val="2"/>
            <w:tcBorders>
              <w:top w:val="single" w:color="auto" w:sz="4" w:space="0"/>
              <w:left w:val="single" w:color="auto" w:sz="4" w:space="0"/>
              <w:bottom w:val="single" w:color="auto" w:sz="4" w:space="0"/>
              <w:right w:val="single" w:color="auto" w:sz="4" w:space="0"/>
            </w:tcBorders>
            <w:noWrap w:val="0"/>
            <w:vAlign w:val="center"/>
          </w:tcPr>
          <w:p w14:paraId="1C0A2435">
            <w:pPr>
              <w:widowControl w:val="0"/>
              <w:kinsoku/>
              <w:autoSpaceDE/>
              <w:autoSpaceDN/>
              <w:adjustRightInd w:val="0"/>
              <w:snapToGrid/>
              <w:spacing w:line="360" w:lineRule="atLeast"/>
              <w:jc w:val="center"/>
              <w:textAlignment w:val="baseline"/>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t>评分方法</w:t>
            </w:r>
          </w:p>
        </w:tc>
      </w:tr>
      <w:tr w14:paraId="4571F65B">
        <w:tblPrEx>
          <w:tblCellMar>
            <w:top w:w="0" w:type="dxa"/>
            <w:left w:w="108" w:type="dxa"/>
            <w:bottom w:w="0" w:type="dxa"/>
            <w:right w:w="108" w:type="dxa"/>
          </w:tblCellMar>
        </w:tblPrEx>
        <w:trPr>
          <w:trHeight w:val="632"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19A8768">
            <w:pPr>
              <w:widowControl w:val="0"/>
              <w:kinsoku/>
              <w:autoSpaceDE/>
              <w:autoSpaceDN/>
              <w:adjustRightInd w:val="0"/>
              <w:snapToGrid/>
              <w:spacing w:line="360" w:lineRule="atLeast"/>
              <w:jc w:val="center"/>
              <w:textAlignment w:val="baseline"/>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t>评标基准价D</w:t>
            </w:r>
          </w:p>
        </w:tc>
        <w:tc>
          <w:tcPr>
            <w:tcW w:w="9091" w:type="dxa"/>
            <w:gridSpan w:val="2"/>
            <w:tcBorders>
              <w:top w:val="single" w:color="auto" w:sz="4" w:space="0"/>
              <w:left w:val="single" w:color="auto" w:sz="4" w:space="0"/>
              <w:bottom w:val="single" w:color="auto" w:sz="4" w:space="0"/>
              <w:right w:val="single" w:color="auto" w:sz="4" w:space="0"/>
            </w:tcBorders>
            <w:noWrap w:val="0"/>
            <w:vAlign w:val="center"/>
          </w:tcPr>
          <w:p w14:paraId="4BD546C9">
            <w:pPr>
              <w:widowControl w:val="0"/>
              <w:kinsoku/>
              <w:autoSpaceDE/>
              <w:autoSpaceDN/>
              <w:adjustRightInd w:val="0"/>
              <w:snapToGrid/>
              <w:spacing w:line="360" w:lineRule="atLeast"/>
              <w:jc w:val="left"/>
              <w:textAlignment w:val="baseline"/>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t>（1）确定</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最高投标限价</w:t>
            </w:r>
            <w:r>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t>下浮系数n：用1～21号球分别代表一个下浮系数，由评委代表从这21个号码中随机抽取 3 次，每次抽取1个号码，抽出的号球不参与下次抽取。所抽取的3个号码对应下浮系数的算术平均值作为</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最高投标限价</w:t>
            </w:r>
            <w:r>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t>下浮系数n。具体号码对应的下浮系数见下表。</w:t>
            </w:r>
          </w:p>
          <w:tbl>
            <w:tblPr>
              <w:tblStyle w:val="14"/>
              <w:tblW w:w="0" w:type="auto"/>
              <w:tblInd w:w="113" w:type="dxa"/>
              <w:tblLayout w:type="fixed"/>
              <w:tblCellMar>
                <w:top w:w="0" w:type="dxa"/>
                <w:left w:w="108" w:type="dxa"/>
                <w:bottom w:w="0" w:type="dxa"/>
                <w:right w:w="108" w:type="dxa"/>
              </w:tblCellMar>
            </w:tblPr>
            <w:tblGrid>
              <w:gridCol w:w="1731"/>
              <w:gridCol w:w="938"/>
              <w:gridCol w:w="1100"/>
              <w:gridCol w:w="1050"/>
              <w:gridCol w:w="987"/>
              <w:gridCol w:w="1038"/>
              <w:gridCol w:w="925"/>
              <w:gridCol w:w="850"/>
            </w:tblGrid>
            <w:tr w14:paraId="1663BA35">
              <w:tblPrEx>
                <w:tblCellMar>
                  <w:top w:w="0" w:type="dxa"/>
                  <w:left w:w="108" w:type="dxa"/>
                  <w:bottom w:w="0" w:type="dxa"/>
                  <w:right w:w="108" w:type="dxa"/>
                </w:tblCellMar>
              </w:tblPrEx>
              <w:trPr>
                <w:trHeight w:val="446"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74B596E1">
                  <w:pPr>
                    <w:widowControl w:val="0"/>
                    <w:kinsoku/>
                    <w:autoSpaceDE/>
                    <w:autoSpaceDN/>
                    <w:adjustRightInd w:val="0"/>
                    <w:snapToGrid/>
                    <w:spacing w:line="360" w:lineRule="atLeast"/>
                    <w:jc w:val="center"/>
                    <w:textAlignment w:val="baseline"/>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t>号球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F17B70C">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B27ADAA">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00CD213">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3</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B89A54A">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4</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324A9DE">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5</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E94A0EE">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6</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792023A">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7</w:t>
                  </w:r>
                </w:p>
              </w:tc>
            </w:tr>
            <w:tr w14:paraId="4B63ADF1">
              <w:tblPrEx>
                <w:tblCellMar>
                  <w:top w:w="0" w:type="dxa"/>
                  <w:left w:w="108" w:type="dxa"/>
                  <w:bottom w:w="0" w:type="dxa"/>
                  <w:right w:w="108" w:type="dxa"/>
                </w:tblCellMar>
              </w:tblPrEx>
              <w:trPr>
                <w:trHeight w:val="637"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7FD2203B">
                  <w:pPr>
                    <w:widowControl w:val="0"/>
                    <w:kinsoku/>
                    <w:autoSpaceDE/>
                    <w:autoSpaceDN/>
                    <w:adjustRightInd w:val="0"/>
                    <w:snapToGrid/>
                    <w:spacing w:line="360" w:lineRule="atLeast"/>
                    <w:jc w:val="center"/>
                    <w:textAlignment w:val="baseline"/>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t>下浮系数（%）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87F0FF6">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1.0</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969A8EC">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01212E4">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1.2</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607D721">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1.3</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6652926">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1.4</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A7EAE6C">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BDDD000">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1.6</w:t>
                  </w:r>
                </w:p>
              </w:tc>
            </w:tr>
            <w:tr w14:paraId="1B4F4DBA">
              <w:tblPrEx>
                <w:tblCellMar>
                  <w:top w:w="0" w:type="dxa"/>
                  <w:left w:w="108" w:type="dxa"/>
                  <w:bottom w:w="0" w:type="dxa"/>
                  <w:right w:w="108" w:type="dxa"/>
                </w:tblCellMar>
              </w:tblPrEx>
              <w:trPr>
                <w:trHeight w:val="571"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4CC38C0A">
                  <w:pPr>
                    <w:widowControl w:val="0"/>
                    <w:kinsoku/>
                    <w:autoSpaceDE/>
                    <w:autoSpaceDN/>
                    <w:adjustRightInd w:val="0"/>
                    <w:snapToGrid/>
                    <w:spacing w:line="360" w:lineRule="atLeast"/>
                    <w:jc w:val="center"/>
                    <w:textAlignment w:val="baseline"/>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t>号球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30D5CA7">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8</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22A1336">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3357DF4">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10</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606BDD0">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11</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2DFD773">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12</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04BE3E8">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13</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03A78FC">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14</w:t>
                  </w:r>
                </w:p>
              </w:tc>
            </w:tr>
            <w:tr w14:paraId="084BC913">
              <w:tblPrEx>
                <w:tblCellMar>
                  <w:top w:w="0" w:type="dxa"/>
                  <w:left w:w="108" w:type="dxa"/>
                  <w:bottom w:w="0" w:type="dxa"/>
                  <w:right w:w="108" w:type="dxa"/>
                </w:tblCellMar>
              </w:tblPrEx>
              <w:trPr>
                <w:trHeight w:val="571"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16A5160E">
                  <w:pPr>
                    <w:widowControl w:val="0"/>
                    <w:kinsoku/>
                    <w:autoSpaceDE/>
                    <w:autoSpaceDN/>
                    <w:adjustRightInd w:val="0"/>
                    <w:snapToGrid/>
                    <w:spacing w:line="360" w:lineRule="atLeast"/>
                    <w:jc w:val="center"/>
                    <w:textAlignment w:val="baseline"/>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t>下浮系数（%）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F0C871D">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90CFBCB">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3445A01">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1.9</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918B4DB">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2.0</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1309048">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2.1</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34683A1">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2.2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723C874">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2.3</w:t>
                  </w:r>
                </w:p>
              </w:tc>
            </w:tr>
            <w:tr w14:paraId="2CEB3C5E">
              <w:tblPrEx>
                <w:tblCellMar>
                  <w:top w:w="0" w:type="dxa"/>
                  <w:left w:w="108" w:type="dxa"/>
                  <w:bottom w:w="0" w:type="dxa"/>
                  <w:right w:w="108" w:type="dxa"/>
                </w:tblCellMar>
              </w:tblPrEx>
              <w:trPr>
                <w:trHeight w:val="522"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75CCD3EC">
                  <w:pPr>
                    <w:widowControl w:val="0"/>
                    <w:kinsoku/>
                    <w:autoSpaceDE/>
                    <w:autoSpaceDN/>
                    <w:adjustRightInd w:val="0"/>
                    <w:snapToGrid/>
                    <w:spacing w:line="360" w:lineRule="atLeast"/>
                    <w:jc w:val="center"/>
                    <w:textAlignment w:val="baseline"/>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t>号球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C604E59">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15</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E66E502">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8B96DE2">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17</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BC245B0">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18</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2ECC96E">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19</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B8368F4">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20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727E09B">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21</w:t>
                  </w:r>
                </w:p>
              </w:tc>
            </w:tr>
            <w:tr w14:paraId="14A4B290">
              <w:tblPrEx>
                <w:tblCellMar>
                  <w:top w:w="0" w:type="dxa"/>
                  <w:left w:w="108" w:type="dxa"/>
                  <w:bottom w:w="0" w:type="dxa"/>
                  <w:right w:w="108" w:type="dxa"/>
                </w:tblCellMar>
              </w:tblPrEx>
              <w:trPr>
                <w:trHeight w:val="675"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74A763EB">
                  <w:pPr>
                    <w:widowControl w:val="0"/>
                    <w:kinsoku/>
                    <w:autoSpaceDE/>
                    <w:autoSpaceDN/>
                    <w:adjustRightInd w:val="0"/>
                    <w:snapToGrid/>
                    <w:spacing w:line="360" w:lineRule="atLeast"/>
                    <w:jc w:val="center"/>
                    <w:textAlignment w:val="baseline"/>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t>下浮系数（%）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308F7C8">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2.4</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9131F78">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2.5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C83D669">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2.6</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6186FAE">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2.7</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F38AFA1">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2.8</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AC89635">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2.9</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B775015">
                  <w:pPr>
                    <w:widowControl w:val="0"/>
                    <w:kinsoku/>
                    <w:wordWrap w:val="0"/>
                    <w:autoSpaceDE/>
                    <w:autoSpaceDN/>
                    <w:adjustRightInd w:val="0"/>
                    <w:snapToGrid w:val="0"/>
                    <w:spacing w:line="400" w:lineRule="exact"/>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3.0</w:t>
                  </w:r>
                </w:p>
              </w:tc>
            </w:tr>
          </w:tbl>
          <w:p w14:paraId="70556D9F">
            <w:pPr>
              <w:widowControl w:val="0"/>
              <w:kinsoku/>
              <w:autoSpaceDE/>
              <w:autoSpaceDN/>
              <w:adjustRightInd w:val="0"/>
              <w:snapToGrid/>
              <w:spacing w:line="360" w:lineRule="atLeast"/>
              <w:jc w:val="left"/>
              <w:textAlignment w:val="baseline"/>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t>（2）评标基准价D＝</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最高投标限价</w:t>
            </w:r>
            <w:r>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t>×（1－n）</w:t>
            </w:r>
          </w:p>
        </w:tc>
      </w:tr>
      <w:tr w14:paraId="3B7507FA">
        <w:tblPrEx>
          <w:tblCellMar>
            <w:top w:w="0" w:type="dxa"/>
            <w:left w:w="108" w:type="dxa"/>
            <w:bottom w:w="0" w:type="dxa"/>
            <w:right w:w="108" w:type="dxa"/>
          </w:tblCellMar>
        </w:tblPrEx>
        <w:trPr>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BB2A350">
            <w:pPr>
              <w:widowControl w:val="0"/>
              <w:kinsoku/>
              <w:autoSpaceDE/>
              <w:autoSpaceDN/>
              <w:adjustRightInd w:val="0"/>
              <w:snapToGrid/>
              <w:spacing w:line="360" w:lineRule="atLeast"/>
              <w:jc w:val="center"/>
              <w:textAlignment w:val="baseline"/>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t>投标报价</w:t>
            </w:r>
          </w:p>
          <w:p w14:paraId="6EB4E84E">
            <w:pPr>
              <w:widowControl w:val="0"/>
              <w:kinsoku/>
              <w:autoSpaceDE/>
              <w:autoSpaceDN/>
              <w:adjustRightInd w:val="0"/>
              <w:snapToGrid/>
              <w:spacing w:line="360" w:lineRule="atLeast"/>
              <w:jc w:val="center"/>
              <w:textAlignment w:val="baseline"/>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t>得分N</w:t>
            </w:r>
          </w:p>
        </w:tc>
        <w:tc>
          <w:tcPr>
            <w:tcW w:w="9091" w:type="dxa"/>
            <w:gridSpan w:val="2"/>
            <w:tcBorders>
              <w:top w:val="single" w:color="auto" w:sz="4" w:space="0"/>
              <w:left w:val="single" w:color="auto" w:sz="4" w:space="0"/>
              <w:bottom w:val="single" w:color="auto" w:sz="4" w:space="0"/>
              <w:right w:val="single" w:color="auto" w:sz="4" w:space="0"/>
            </w:tcBorders>
            <w:noWrap w:val="0"/>
            <w:vAlign w:val="center"/>
          </w:tcPr>
          <w:p w14:paraId="3374F709">
            <w:pPr>
              <w:widowControl w:val="0"/>
              <w:kinsoku/>
              <w:autoSpaceDE/>
              <w:autoSpaceDN/>
              <w:adjustRightInd w:val="0"/>
              <w:snapToGrid/>
              <w:spacing w:line="360" w:lineRule="atLeast"/>
              <w:jc w:val="left"/>
              <w:textAlignment w:val="baseline"/>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t>采用内插法计算某投标人的投标报价得分N，即当投标人的投标总价等于评标基准价时得100分，每高于评标基准价一个百分点扣</w:t>
            </w:r>
            <w:r>
              <w:rPr>
                <w:rFonts w:hint="eastAsia" w:ascii="宋体" w:hAnsi="宋体" w:eastAsia="宋体" w:cs="宋体"/>
                <w:b/>
                <w:bCs/>
                <w:snapToGrid/>
                <w:color w:val="000000" w:themeColor="text1"/>
                <w:kern w:val="0"/>
                <w:sz w:val="21"/>
                <w:szCs w:val="21"/>
                <w:highlight w:val="none"/>
                <w:lang w:eastAsia="zh-CN"/>
                <w14:textFill>
                  <w14:solidFill>
                    <w14:schemeClr w14:val="tx1"/>
                  </w14:solidFill>
                </w14:textFill>
              </w:rPr>
              <w:t>1分</w:t>
            </w:r>
            <w:r>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t>, 每低于评标基准价一个百分点扣</w:t>
            </w:r>
            <w:r>
              <w:rPr>
                <w:rFonts w:hint="eastAsia" w:ascii="宋体" w:hAnsi="宋体" w:eastAsia="宋体" w:cs="宋体"/>
                <w:b/>
                <w:bCs/>
                <w:snapToGrid/>
                <w:color w:val="000000" w:themeColor="text1"/>
                <w:kern w:val="0"/>
                <w:sz w:val="21"/>
                <w:szCs w:val="21"/>
                <w:highlight w:val="none"/>
                <w:lang w:eastAsia="zh-CN"/>
                <w14:textFill>
                  <w14:solidFill>
                    <w14:schemeClr w14:val="tx1"/>
                  </w14:solidFill>
                </w14:textFill>
              </w:rPr>
              <w:t>0.5分</w:t>
            </w:r>
            <w:r>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t>，扣完为止。公式如下：</w:t>
            </w:r>
          </w:p>
          <w:p w14:paraId="1C7D5612">
            <w:pPr>
              <w:widowControl w:val="0"/>
              <w:kinsoku/>
              <w:autoSpaceDE/>
              <w:autoSpaceDN/>
              <w:adjustRightInd w:val="0"/>
              <w:snapToGrid/>
              <w:spacing w:line="360" w:lineRule="atLeast"/>
              <w:jc w:val="left"/>
              <w:textAlignment w:val="baseline"/>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t>N＝100－（| Di－D | ÷D）×100×E</w:t>
            </w:r>
          </w:p>
          <w:p w14:paraId="44C3E3A3">
            <w:pPr>
              <w:widowControl w:val="0"/>
              <w:kinsoku/>
              <w:autoSpaceDE/>
              <w:autoSpaceDN/>
              <w:adjustRightInd w:val="0"/>
              <w:snapToGrid/>
              <w:spacing w:line="360" w:lineRule="atLeast"/>
              <w:jc w:val="left"/>
              <w:textAlignment w:val="baseline"/>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t>式中：D为评标基准价；Di为某投标人的投标总价；E为扣分因子，当Di＞D时，E＝</w:t>
            </w:r>
            <w:r>
              <w:rPr>
                <w:rFonts w:hint="eastAsia" w:ascii="宋体" w:hAnsi="宋体" w:eastAsia="宋体" w:cs="宋体"/>
                <w:b/>
                <w:bCs/>
                <w:snapToGrid/>
                <w:color w:val="000000" w:themeColor="text1"/>
                <w:kern w:val="0"/>
                <w:sz w:val="21"/>
                <w:szCs w:val="21"/>
                <w:highlight w:val="none"/>
                <w:lang w:eastAsia="zh-CN"/>
                <w14:textFill>
                  <w14:solidFill>
                    <w14:schemeClr w14:val="tx1"/>
                  </w14:solidFill>
                </w14:textFill>
              </w:rPr>
              <w:t>1</w:t>
            </w:r>
            <w:r>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t xml:space="preserve"> ；当Di＜D时，E＝</w:t>
            </w:r>
            <w:r>
              <w:rPr>
                <w:rFonts w:hint="eastAsia" w:ascii="宋体" w:hAnsi="宋体" w:eastAsia="宋体" w:cs="宋体"/>
                <w:b/>
                <w:bCs/>
                <w:snapToGrid/>
                <w:color w:val="000000" w:themeColor="text1"/>
                <w:kern w:val="0"/>
                <w:sz w:val="21"/>
                <w:szCs w:val="21"/>
                <w:highlight w:val="none"/>
                <w:lang w:eastAsia="zh-CN"/>
                <w14:textFill>
                  <w14:solidFill>
                    <w14:schemeClr w14:val="tx1"/>
                  </w14:solidFill>
                </w14:textFill>
              </w:rPr>
              <w:t>0.5</w:t>
            </w:r>
            <w:r>
              <w:rPr>
                <w:rFonts w:hint="eastAsia" w:ascii="宋体" w:hAnsi="宋体" w:eastAsia="宋体" w:cs="宋体"/>
                <w:snapToGrid/>
                <w:color w:val="000000" w:themeColor="text1"/>
                <w:kern w:val="0"/>
                <w:sz w:val="21"/>
                <w:szCs w:val="21"/>
                <w:highlight w:val="none"/>
                <w:lang w:eastAsia="zh-CN"/>
                <w14:textFill>
                  <w14:solidFill>
                    <w14:schemeClr w14:val="tx1"/>
                  </w14:solidFill>
                </w14:textFill>
              </w:rPr>
              <w:t>。</w:t>
            </w:r>
          </w:p>
        </w:tc>
      </w:tr>
    </w:tbl>
    <w:p w14:paraId="62048F03">
      <w:pPr>
        <w:pStyle w:val="24"/>
        <w:jc w:val="both"/>
        <w:rPr>
          <w:rFonts w:hint="eastAsia" w:ascii="宋体" w:hAnsi="宋体" w:eastAsia="宋体" w:cs="宋体"/>
          <w:color w:val="000000" w:themeColor="text1"/>
          <w:highlight w:val="none"/>
          <w14:textFill>
            <w14:solidFill>
              <w14:schemeClr w14:val="tx1"/>
            </w14:solidFill>
          </w14:textFill>
        </w:rPr>
      </w:pPr>
    </w:p>
    <w:p w14:paraId="4572AFAF">
      <w:pPr>
        <w:keepNext w:val="0"/>
        <w:keepLines w:val="0"/>
        <w:pageBreakBefore w:val="0"/>
        <w:wordWrap w:val="0"/>
        <w:overflowPunct/>
        <w:topLinePunct w:val="0"/>
        <w:bidi w:val="0"/>
        <w:spacing w:before="98" w:line="221" w:lineRule="auto"/>
        <w:ind w:left="4248"/>
        <w:outlineLvl w:val="9"/>
        <w:rPr>
          <w:rFonts w:hint="eastAsia" w:ascii="宋体" w:hAnsi="宋体" w:eastAsia="宋体" w:cs="宋体"/>
          <w:color w:val="000000" w:themeColor="text1"/>
          <w:spacing w:val="0"/>
          <w:sz w:val="30"/>
          <w:szCs w:val="30"/>
          <w:highlight w:val="none"/>
          <w14:textFill>
            <w14:solidFill>
              <w14:schemeClr w14:val="tx1"/>
            </w14:solidFill>
          </w14:textFill>
        </w:rPr>
      </w:pPr>
    </w:p>
    <w:p w14:paraId="17330DDD">
      <w:pPr>
        <w:keepNext w:val="0"/>
        <w:keepLines w:val="0"/>
        <w:pageBreakBefore w:val="0"/>
        <w:wordWrap w:val="0"/>
        <w:overflowPunct/>
        <w:topLinePunct w:val="0"/>
        <w:bidi w:val="0"/>
        <w:spacing w:before="5"/>
        <w:rPr>
          <w:rFonts w:hint="eastAsia" w:ascii="宋体" w:hAnsi="宋体" w:eastAsia="宋体" w:cs="宋体"/>
          <w:color w:val="000000" w:themeColor="text1"/>
          <w:spacing w:val="0"/>
          <w:highlight w:val="none"/>
          <w14:textFill>
            <w14:solidFill>
              <w14:schemeClr w14:val="tx1"/>
            </w14:solidFill>
          </w14:textFill>
        </w:rPr>
      </w:pPr>
    </w:p>
    <w:p w14:paraId="4A7BEF82">
      <w:pPr>
        <w:keepNext w:val="0"/>
        <w:keepLines w:val="0"/>
        <w:pageBreakBefore w:val="0"/>
        <w:wordWrap w:val="0"/>
        <w:overflowPunct/>
        <w:topLinePunct w:val="0"/>
        <w:bidi w:val="0"/>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136" w:name="_Toc17436"/>
      <w:bookmarkStart w:id="137" w:name="_Toc5769"/>
      <w:bookmarkStart w:id="138" w:name="_Toc31744"/>
      <w:bookmarkStart w:id="139" w:name="_Toc9725"/>
      <w:r>
        <w:rPr>
          <w:rFonts w:hint="eastAsia" w:ascii="宋体" w:hAnsi="宋体" w:eastAsia="宋体" w:cs="宋体"/>
          <w:b/>
          <w:bCs/>
          <w:color w:val="000000" w:themeColor="text1"/>
          <w:spacing w:val="0"/>
          <w:sz w:val="24"/>
          <w:szCs w:val="24"/>
          <w:highlight w:val="none"/>
          <w14:textFill>
            <w14:solidFill>
              <w14:schemeClr w14:val="tx1"/>
            </w14:solidFill>
          </w14:textFill>
        </w:rPr>
        <w:br w:type="page"/>
      </w:r>
    </w:p>
    <w:p w14:paraId="3E3DF6AC">
      <w:pPr>
        <w:keepNext w:val="0"/>
        <w:keepLines w:val="0"/>
        <w:pageBreakBefore w:val="0"/>
        <w:wordWrap w:val="0"/>
        <w:overflowPunct/>
        <w:topLinePunct w:val="0"/>
        <w:bidi w:val="0"/>
        <w:spacing w:before="155" w:line="211" w:lineRule="auto"/>
        <w:ind w:firstLine="482" w:firstLineChars="200"/>
        <w:outlineLvl w:val="9"/>
        <w:rPr>
          <w:rFonts w:hint="eastAsia" w:ascii="宋体" w:hAnsi="宋体" w:eastAsia="宋体" w:cs="宋体"/>
          <w:color w:val="000000" w:themeColor="text1"/>
          <w:spacing w:val="0"/>
          <w:sz w:val="25"/>
          <w:szCs w:val="25"/>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15.5.2  </w:t>
      </w:r>
      <w:r>
        <w:rPr>
          <w:rFonts w:hint="eastAsia" w:ascii="宋体" w:hAnsi="宋体" w:eastAsia="宋体" w:cs="宋体"/>
          <w:color w:val="000000" w:themeColor="text1"/>
          <w:spacing w:val="0"/>
          <w:sz w:val="24"/>
          <w:szCs w:val="24"/>
          <w:highlight w:val="none"/>
          <w14:textFill>
            <w14:solidFill>
              <w14:schemeClr w14:val="tx1"/>
            </w14:solidFill>
          </w14:textFill>
        </w:rPr>
        <w:t>否决投标说明</w:t>
      </w:r>
      <w:bookmarkEnd w:id="136"/>
      <w:bookmarkEnd w:id="137"/>
      <w:bookmarkEnd w:id="138"/>
      <w:bookmarkEnd w:id="139"/>
    </w:p>
    <w:p w14:paraId="7A2EE53E">
      <w:pPr>
        <w:keepNext w:val="0"/>
        <w:keepLines w:val="0"/>
        <w:pageBreakBefore w:val="0"/>
        <w:wordWrap w:val="0"/>
        <w:overflowPunct/>
        <w:topLinePunct w:val="0"/>
        <w:bidi w:val="0"/>
        <w:spacing w:before="150" w:line="332" w:lineRule="auto"/>
        <w:ind w:left="10" w:right="195" w:firstLine="56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详细评审阶段否决投标的全部条件，在本章第四节“否决投标条件 ”第 4 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3E787E43">
      <w:pPr>
        <w:keepNext w:val="0"/>
        <w:keepLines w:val="0"/>
        <w:pageBreakBefore w:val="0"/>
        <w:wordWrap w:val="0"/>
        <w:overflowPunct/>
        <w:topLinePunct w:val="0"/>
        <w:bidi w:val="0"/>
        <w:spacing w:before="59" w:line="330" w:lineRule="auto"/>
        <w:ind w:left="10" w:right="195" w:firstLine="48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温馨提示</w:t>
      </w:r>
      <w:r>
        <w:rPr>
          <w:rFonts w:hint="eastAsia" w:ascii="宋体" w:hAnsi="宋体" w:eastAsia="宋体" w:cs="宋体"/>
          <w:b/>
          <w:bCs/>
          <w:color w:val="000000" w:themeColor="text1"/>
          <w:spacing w:val="0"/>
          <w:sz w:val="24"/>
          <w:szCs w:val="24"/>
          <w:highlight w:val="none"/>
          <w14:textFill>
            <w14:solidFill>
              <w14:schemeClr w14:val="tx1"/>
            </w14:solidFill>
          </w14:textFill>
        </w:rPr>
        <w:t>：投标人在详细评审阶段根据评分方法提供的佐证材料，其合法性、有效性和准确性不符合要求的，有关量化因素（或评分因素）的折算、调整（或评分）按相应量化标准（或评分标准）处理，但不否决投标。</w:t>
      </w:r>
    </w:p>
    <w:p w14:paraId="7A32DAC8">
      <w:pPr>
        <w:keepNext w:val="0"/>
        <w:keepLines w:val="0"/>
        <w:pageBreakBefore w:val="0"/>
        <w:wordWrap w:val="0"/>
        <w:overflowPunct/>
        <w:topLinePunct w:val="0"/>
        <w:bidi w:val="0"/>
        <w:spacing w:before="78" w:line="220" w:lineRule="auto"/>
        <w:ind w:left="496"/>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40" w:name="bookmark137"/>
      <w:bookmarkEnd w:id="140"/>
      <w:bookmarkStart w:id="141" w:name="_Toc6322"/>
      <w:bookmarkStart w:id="142" w:name="_Toc16384"/>
      <w:r>
        <w:rPr>
          <w:rFonts w:hint="eastAsia" w:ascii="宋体" w:hAnsi="宋体" w:eastAsia="宋体" w:cs="宋体"/>
          <w:b/>
          <w:bCs/>
          <w:color w:val="000000" w:themeColor="text1"/>
          <w:spacing w:val="0"/>
          <w:sz w:val="24"/>
          <w:szCs w:val="24"/>
          <w:highlight w:val="none"/>
          <w14:textFill>
            <w14:solidFill>
              <w14:schemeClr w14:val="tx1"/>
            </w14:solidFill>
          </w14:textFill>
        </w:rPr>
        <w:t>16 ．中标候选人公示</w:t>
      </w:r>
      <w:bookmarkEnd w:id="141"/>
      <w:bookmarkEnd w:id="142"/>
    </w:p>
    <w:p w14:paraId="7DD51611">
      <w:pPr>
        <w:keepNext w:val="0"/>
        <w:keepLines w:val="0"/>
        <w:pageBreakBefore w:val="0"/>
        <w:wordWrap w:val="0"/>
        <w:overflowPunct/>
        <w:topLinePunct w:val="0"/>
        <w:bidi w:val="0"/>
        <w:spacing w:before="135" w:line="316" w:lineRule="auto"/>
        <w:ind w:left="2" w:right="105" w:firstLine="494"/>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16.1  </w:t>
      </w:r>
      <w:r>
        <w:rPr>
          <w:rFonts w:hint="eastAsia" w:ascii="宋体" w:hAnsi="宋体" w:eastAsia="宋体" w:cs="宋体"/>
          <w:color w:val="000000" w:themeColor="text1"/>
          <w:spacing w:val="0"/>
          <w:sz w:val="24"/>
          <w:szCs w:val="24"/>
          <w:highlight w:val="none"/>
          <w14:textFill>
            <w14:solidFill>
              <w14:schemeClr w14:val="tx1"/>
            </w14:solidFill>
          </w14:textFill>
        </w:rPr>
        <w:t>招标人自收到评标委员会提交的书面评标报告和中标候选人名单之日起 3  日 内，将评标结果（即中标候选人名单）、中标候选人投标文件（指商务标书分册）、评标过程（评标专家姓名用代码标记）一并在广东省招标投标监管网（http://zbtb.gd.gov.cn）、全国公共资源交易平台（广东省 ·韶关市）（https://ygp.gdzwfw.gov.cn/ggzy-portal/#/440200/index）进行公示，公示期不得少于 3 天。</w:t>
      </w:r>
    </w:p>
    <w:p w14:paraId="76283A19">
      <w:pPr>
        <w:keepNext w:val="0"/>
        <w:keepLines w:val="0"/>
        <w:pageBreakBefore w:val="0"/>
        <w:wordWrap w:val="0"/>
        <w:overflowPunct/>
        <w:topLinePunct w:val="0"/>
        <w:bidi w:val="0"/>
        <w:spacing w:before="135" w:line="316" w:lineRule="auto"/>
        <w:ind w:left="2" w:right="105" w:firstLine="494"/>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16.2 投标人对评标结果、中标候选人投标文件、评标过程有异议的，必须在以上内容公示期间向招标人提出</w:t>
      </w:r>
      <w:r>
        <w:rPr>
          <w:rFonts w:hint="eastAsia" w:ascii="宋体" w:hAnsi="宋体" w:eastAsia="宋体" w:cs="宋体"/>
          <w:b/>
          <w:bCs/>
          <w:color w:val="000000" w:themeColor="text1"/>
          <w:spacing w:val="0"/>
          <w:sz w:val="24"/>
          <w:szCs w:val="24"/>
          <w:highlight w:val="none"/>
          <w14:textFill>
            <w14:solidFill>
              <w14:schemeClr w14:val="tx1"/>
            </w14:solidFill>
          </w14:textFill>
        </w:rPr>
        <w:t>书面异议</w:t>
      </w:r>
      <w:r>
        <w:rPr>
          <w:rFonts w:hint="eastAsia" w:ascii="宋体" w:hAnsi="宋体" w:eastAsia="宋体" w:cs="宋体"/>
          <w:color w:val="000000" w:themeColor="text1"/>
          <w:spacing w:val="0"/>
          <w:sz w:val="24"/>
          <w:szCs w:val="24"/>
          <w:highlight w:val="none"/>
          <w14:textFill>
            <w14:solidFill>
              <w14:schemeClr w14:val="tx1"/>
            </w14:solidFill>
          </w14:textFill>
        </w:rPr>
        <w:t>，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338AB6D2">
      <w:pPr>
        <w:keepNext w:val="0"/>
        <w:keepLines w:val="0"/>
        <w:pageBreakBefore w:val="0"/>
        <w:wordWrap w:val="0"/>
        <w:overflowPunct/>
        <w:topLinePunct w:val="0"/>
        <w:bidi w:val="0"/>
        <w:spacing w:before="135" w:line="316" w:lineRule="auto"/>
        <w:ind w:left="2" w:right="105" w:firstLine="494"/>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16.3 中标候选人公示期满无异议（投诉）后，招标人确定第一中标候选人为中标人，并在中标人确定之日起 7日内向中标人发出中标通知书。在中标通知书发出后5个工作 日内，韶关市公共资源交易中心将投标保证金（或银行保函）退还给中标候选人以外的投标人。</w:t>
      </w:r>
    </w:p>
    <w:p w14:paraId="0F1389C7">
      <w:pPr>
        <w:keepNext w:val="0"/>
        <w:keepLines w:val="0"/>
        <w:pageBreakBefore w:val="0"/>
        <w:wordWrap w:val="0"/>
        <w:overflowPunct/>
        <w:topLinePunct w:val="0"/>
        <w:bidi w:val="0"/>
        <w:spacing w:line="309" w:lineRule="auto"/>
        <w:rPr>
          <w:rFonts w:hint="eastAsia" w:ascii="宋体" w:hAnsi="宋体" w:eastAsia="宋体" w:cs="宋体"/>
          <w:color w:val="000000" w:themeColor="text1"/>
          <w:spacing w:val="0"/>
          <w:sz w:val="24"/>
          <w:szCs w:val="24"/>
          <w:highlight w:val="none"/>
          <w14:textFill>
            <w14:solidFill>
              <w14:schemeClr w14:val="tx1"/>
            </w14:solidFill>
          </w14:textFill>
        </w:rPr>
        <w:sectPr>
          <w:headerReference r:id="rId9" w:type="default"/>
          <w:footerReference r:id="rId10" w:type="default"/>
          <w:pgSz w:w="11906" w:h="16839"/>
          <w:pgMar w:top="1440" w:right="1253" w:bottom="1440" w:left="1253" w:header="0" w:footer="1020" w:gutter="0"/>
          <w:pgBorders>
            <w:top w:val="none" w:sz="0" w:space="0"/>
            <w:left w:val="none" w:sz="0" w:space="0"/>
            <w:bottom w:val="none" w:sz="0" w:space="0"/>
            <w:right w:val="none" w:sz="0" w:space="0"/>
          </w:pgBorders>
          <w:pgNumType w:fmt="decimal"/>
          <w:cols w:space="720" w:num="1"/>
          <w:rtlGutter w:val="0"/>
          <w:docGrid w:linePitch="0" w:charSpace="0"/>
        </w:sectPr>
      </w:pPr>
    </w:p>
    <w:p w14:paraId="4598D3DD">
      <w:pPr>
        <w:keepNext w:val="0"/>
        <w:keepLines w:val="0"/>
        <w:pageBreakBefore w:val="0"/>
        <w:wordWrap w:val="0"/>
        <w:overflowPunct/>
        <w:topLinePunct w:val="0"/>
        <w:bidi w:val="0"/>
        <w:spacing w:before="78" w:line="220" w:lineRule="auto"/>
        <w:ind w:left="9"/>
        <w:jc w:val="center"/>
        <w:outlineLvl w:val="1"/>
        <w:rPr>
          <w:rFonts w:hint="eastAsia" w:ascii="宋体" w:hAnsi="宋体" w:eastAsia="宋体" w:cs="宋体"/>
          <w:color w:val="000000" w:themeColor="text1"/>
          <w:spacing w:val="0"/>
          <w:sz w:val="24"/>
          <w:szCs w:val="24"/>
          <w:highlight w:val="none"/>
          <w14:textFill>
            <w14:solidFill>
              <w14:schemeClr w14:val="tx1"/>
            </w14:solidFill>
          </w14:textFill>
        </w:rPr>
      </w:pPr>
      <w:bookmarkStart w:id="143" w:name="bookmark138"/>
      <w:bookmarkEnd w:id="143"/>
      <w:bookmarkStart w:id="144" w:name="_Toc31159"/>
      <w:r>
        <w:rPr>
          <w:rFonts w:hint="eastAsia" w:ascii="宋体" w:hAnsi="宋体" w:eastAsia="宋体" w:cs="宋体"/>
          <w:b/>
          <w:bCs/>
          <w:color w:val="000000" w:themeColor="text1"/>
          <w:spacing w:val="0"/>
          <w:sz w:val="24"/>
          <w:szCs w:val="24"/>
          <w:highlight w:val="none"/>
          <w14:textFill>
            <w14:solidFill>
              <w14:schemeClr w14:val="tx1"/>
            </w14:solidFill>
          </w14:textFill>
        </w:rPr>
        <w:t>第四节</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否决投标条件</w:t>
      </w:r>
      <w:bookmarkEnd w:id="144"/>
    </w:p>
    <w:p w14:paraId="46F7EEA7">
      <w:pPr>
        <w:pStyle w:val="5"/>
        <w:keepNext w:val="0"/>
        <w:keepLines w:val="0"/>
        <w:pageBreakBefore w:val="0"/>
        <w:wordWrap w:val="0"/>
        <w:overflowPunct/>
        <w:topLinePunct w:val="0"/>
        <w:bidi w:val="0"/>
        <w:spacing w:line="256" w:lineRule="auto"/>
        <w:rPr>
          <w:rFonts w:hint="eastAsia" w:ascii="宋体" w:hAnsi="宋体" w:eastAsia="宋体" w:cs="宋体"/>
          <w:color w:val="000000" w:themeColor="text1"/>
          <w:spacing w:val="0"/>
          <w:highlight w:val="none"/>
          <w14:textFill>
            <w14:solidFill>
              <w14:schemeClr w14:val="tx1"/>
            </w14:solidFill>
          </w14:textFill>
        </w:rPr>
      </w:pPr>
    </w:p>
    <w:p w14:paraId="602D2B7C">
      <w:pPr>
        <w:keepNext w:val="0"/>
        <w:keepLines w:val="0"/>
        <w:pageBreakBefore w:val="0"/>
        <w:wordWrap w:val="0"/>
        <w:overflowPunct/>
        <w:topLinePunct w:val="0"/>
        <w:bidi w:val="0"/>
        <w:spacing w:before="78" w:line="330" w:lineRule="auto"/>
        <w:ind w:left="10" w:right="65" w:firstLine="4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本节所集中列示的否决投标条件，是本章第三节“投标人须知正文 ”的组成部分，是对本章第三节所规定的否决投标条件的总结和补充。</w:t>
      </w:r>
      <w:r>
        <w:rPr>
          <w:rFonts w:hint="eastAsia" w:ascii="宋体" w:hAnsi="宋体" w:eastAsia="宋体" w:cs="宋体"/>
          <w:b/>
          <w:bCs/>
          <w:color w:val="000000" w:themeColor="text1"/>
          <w:spacing w:val="0"/>
          <w:sz w:val="24"/>
          <w:szCs w:val="24"/>
          <w:highlight w:val="none"/>
          <w14:textFill>
            <w14:solidFill>
              <w14:schemeClr w14:val="tx1"/>
            </w14:solidFill>
          </w14:textFill>
        </w:rPr>
        <w:t>投标人未有列入本节情形的，评标时一律不得否决其投标。</w:t>
      </w:r>
      <w:r>
        <w:rPr>
          <w:rFonts w:hint="eastAsia" w:ascii="宋体" w:hAnsi="宋体" w:eastAsia="宋体" w:cs="宋体"/>
          <w:color w:val="000000" w:themeColor="text1"/>
          <w:spacing w:val="0"/>
          <w:sz w:val="24"/>
          <w:szCs w:val="24"/>
          <w:highlight w:val="none"/>
          <w14:textFill>
            <w14:solidFill>
              <w14:schemeClr w14:val="tx1"/>
            </w14:solidFill>
          </w14:textFill>
        </w:rPr>
        <w:t>本节所称“规定 ”均指招标文件的规定。</w:t>
      </w:r>
    </w:p>
    <w:p w14:paraId="112C2E94">
      <w:pPr>
        <w:keepNext w:val="0"/>
        <w:keepLines w:val="0"/>
        <w:pageBreakBefore w:val="0"/>
        <w:wordWrap w:val="0"/>
        <w:overflowPunct/>
        <w:topLinePunct w:val="0"/>
        <w:bidi w:val="0"/>
        <w:spacing w:before="34" w:line="220" w:lineRule="auto"/>
        <w:ind w:left="495"/>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45" w:name="_Toc30440"/>
      <w:r>
        <w:rPr>
          <w:rFonts w:hint="eastAsia" w:ascii="宋体" w:hAnsi="宋体" w:eastAsia="宋体" w:cs="宋体"/>
          <w:b/>
          <w:bCs/>
          <w:color w:val="000000" w:themeColor="text1"/>
          <w:spacing w:val="0"/>
          <w:sz w:val="24"/>
          <w:szCs w:val="24"/>
          <w:highlight w:val="none"/>
          <w14:textFill>
            <w14:solidFill>
              <w14:schemeClr w14:val="tx1"/>
            </w14:solidFill>
          </w14:textFill>
        </w:rPr>
        <w:t>1 ．资格评审环节</w:t>
      </w:r>
      <w:bookmarkEnd w:id="145"/>
    </w:p>
    <w:p w14:paraId="74FEF03C">
      <w:pPr>
        <w:keepNext w:val="0"/>
        <w:keepLines w:val="0"/>
        <w:pageBreakBefore w:val="0"/>
        <w:wordWrap w:val="0"/>
        <w:overflowPunct/>
        <w:topLinePunct w:val="0"/>
        <w:bidi w:val="0"/>
        <w:spacing w:before="152" w:line="327" w:lineRule="auto"/>
        <w:ind w:left="13" w:right="65" w:firstLine="47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投标人有下列情形之一的，评标委员会应否决其投标。被否决的投标人，不进入形式评审环节。</w:t>
      </w:r>
    </w:p>
    <w:p w14:paraId="45FE5554">
      <w:pPr>
        <w:keepNext w:val="0"/>
        <w:keepLines w:val="0"/>
        <w:pageBreakBefore w:val="0"/>
        <w:wordWrap w:val="0"/>
        <w:overflowPunct/>
        <w:topLinePunct w:val="0"/>
        <w:bidi w:val="0"/>
        <w:spacing w:before="32" w:line="219" w:lineRule="auto"/>
        <w:ind w:left="5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（1）有本章第三节第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2.4 </w:t>
      </w:r>
      <w:r>
        <w:rPr>
          <w:rFonts w:hint="eastAsia" w:ascii="宋体" w:hAnsi="宋体" w:eastAsia="宋体" w:cs="宋体"/>
          <w:color w:val="000000" w:themeColor="text1"/>
          <w:spacing w:val="0"/>
          <w:sz w:val="24"/>
          <w:szCs w:val="24"/>
          <w:highlight w:val="none"/>
          <w14:textFill>
            <w14:solidFill>
              <w14:schemeClr w14:val="tx1"/>
            </w14:solidFill>
          </w14:textFill>
        </w:rPr>
        <w:t>条“禁止投标条款 ”规定的任何一种情形；</w:t>
      </w:r>
    </w:p>
    <w:p w14:paraId="03414978">
      <w:pPr>
        <w:keepNext w:val="0"/>
        <w:keepLines w:val="0"/>
        <w:pageBreakBefore w:val="0"/>
        <w:wordWrap w:val="0"/>
        <w:overflowPunct/>
        <w:topLinePunct w:val="0"/>
        <w:bidi w:val="0"/>
        <w:spacing w:before="154" w:line="220" w:lineRule="auto"/>
        <w:ind w:left="5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（2）投标人资质不符合规定的；</w:t>
      </w:r>
    </w:p>
    <w:p w14:paraId="32EED32B">
      <w:pPr>
        <w:keepNext w:val="0"/>
        <w:keepLines w:val="0"/>
        <w:pageBreakBefore w:val="0"/>
        <w:wordWrap w:val="0"/>
        <w:overflowPunct/>
        <w:topLinePunct w:val="0"/>
        <w:bidi w:val="0"/>
        <w:spacing w:before="153" w:line="315" w:lineRule="auto"/>
        <w:ind w:right="57" w:firstLine="5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投标人名称与营业执照、资质证书、安全生产许可证上的企业名称相互不一致的；其资质证书、安全生产许可证不是由住房城乡建设主管部门颁发的；营业执照、资质证书、安全生产许可证（含实时网页查询页，可参考网址 https://zlaq.mohurd.gov.cn/fwmh/bjxcjgl/fwmh/pages/construction_safety/qyaqscxkz/qyaqscxkz）被吊销、暂扣或不在有效期内的；</w:t>
      </w:r>
    </w:p>
    <w:p w14:paraId="0F2A74BC">
      <w:pPr>
        <w:keepNext w:val="0"/>
        <w:keepLines w:val="0"/>
        <w:pageBreakBefore w:val="0"/>
        <w:wordWrap w:val="0"/>
        <w:overflowPunct/>
        <w:topLinePunct w:val="0"/>
        <w:bidi w:val="0"/>
        <w:spacing w:before="153" w:line="330" w:lineRule="auto"/>
        <w:ind w:left="9" w:right="66" w:firstLine="48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43462506">
      <w:pPr>
        <w:keepNext w:val="0"/>
        <w:keepLines w:val="0"/>
        <w:pageBreakBefore w:val="0"/>
        <w:wordWrap w:val="0"/>
        <w:overflowPunct/>
        <w:topLinePunct w:val="0"/>
        <w:bidi w:val="0"/>
        <w:spacing w:before="32" w:line="325" w:lineRule="auto"/>
        <w:ind w:left="10" w:right="65" w:firstLine="490"/>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（4）拟派项目经理、项目技术负责人、专职安全员的条件不符合规定的；拟派专职安全员数量不符合规定的；项目技术负责人未在投标文件《项目技术负责人简历表》中签</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字确认。</w:t>
      </w:r>
    </w:p>
    <w:p w14:paraId="1444556B">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温馨提示：建造师打印电子证书后，应在个人签名处手写本人签名，未手写签名或与签名图像笔迹不一致的，该电子证书无效。</w:t>
      </w:r>
    </w:p>
    <w:p w14:paraId="4C6FF416">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项目经理简历表》中拟派项目经理与《开标一览表》不一致的；拟派的项目经理未在投标文件《项目经理简历表》中签字确认；一级建造师的注册证书不是国家住建部颁发的；二级建造师的电子注册证书不是省级住建厅颁发的；建造师的注册单位与投标人不一致的；项目管理班子组成人员的各类证书、证件、证明不在有效期内的（</w:t>
      </w:r>
      <w:r>
        <w:rPr>
          <w:rFonts w:hint="eastAsia" w:ascii="宋体" w:hAnsi="宋体" w:eastAsia="宋体" w:cs="宋体"/>
          <w:b/>
          <w:bCs/>
          <w:color w:val="000000" w:themeColor="text1"/>
          <w:spacing w:val="0"/>
          <w:sz w:val="24"/>
          <w:szCs w:val="24"/>
          <w:highlight w:val="none"/>
          <w14:textFill>
            <w14:solidFill>
              <w14:schemeClr w14:val="tx1"/>
            </w14:solidFill>
          </w14:textFill>
        </w:rPr>
        <w:t>建造师注册证书不在使用有效期内的</w:t>
      </w:r>
      <w:r>
        <w:rPr>
          <w:rFonts w:hint="eastAsia" w:ascii="宋体" w:hAnsi="宋体" w:eastAsia="宋体" w:cs="宋体"/>
          <w:color w:val="000000" w:themeColor="text1"/>
          <w:spacing w:val="0"/>
          <w:sz w:val="24"/>
          <w:szCs w:val="24"/>
          <w:highlight w:val="none"/>
          <w14:textFill>
            <w14:solidFill>
              <w14:schemeClr w14:val="tx1"/>
            </w14:solidFill>
          </w14:textFill>
        </w:rPr>
        <w:t>）；擅自修改、遗漏《项目经理任职声明》实质性内容的；</w:t>
      </w:r>
    </w:p>
    <w:p w14:paraId="798C8207">
      <w:pPr>
        <w:keepNext w:val="0"/>
        <w:keepLines w:val="0"/>
        <w:pageBreakBefore w:val="0"/>
        <w:wordWrap w:val="0"/>
        <w:overflowPunct/>
        <w:topLinePunct w:val="0"/>
        <w:bidi w:val="0"/>
        <w:spacing w:before="1" w:line="293" w:lineRule="auto"/>
        <w:ind w:left="28" w:right="66" w:firstLine="46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注：投标人已经工商变更，但其员工执业资格注册证书的注册单位名称未完成变更的，不得否决其投标。</w:t>
      </w:r>
    </w:p>
    <w:p w14:paraId="4F7B3592">
      <w:pPr>
        <w:keepNext w:val="0"/>
        <w:keepLines w:val="0"/>
        <w:pageBreakBefore w:val="0"/>
        <w:wordWrap w:val="0"/>
        <w:overflowPunct/>
        <w:topLinePunct w:val="0"/>
        <w:bidi w:val="0"/>
        <w:spacing w:before="153" w:line="330" w:lineRule="auto"/>
        <w:ind w:left="9" w:right="66" w:firstLine="480"/>
        <w:jc w:val="both"/>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146" w:name="OLE_LINK27"/>
      <w:r>
        <w:rPr>
          <w:rFonts w:hint="eastAsia" w:ascii="宋体" w:hAnsi="宋体" w:eastAsia="宋体" w:cs="宋体"/>
          <w:b/>
          <w:bCs/>
          <w:color w:val="000000" w:themeColor="text1"/>
          <w:spacing w:val="0"/>
          <w:sz w:val="24"/>
          <w:szCs w:val="24"/>
          <w:highlight w:val="none"/>
          <w14:textFill>
            <w14:solidFill>
              <w14:schemeClr w14:val="tx1"/>
            </w14:solidFill>
          </w14:textFill>
        </w:rPr>
        <w:t>鉴于目前继续教育开展的实际情况，建筑和市政工程施工现场专业人员（例如：施</w:t>
      </w:r>
      <w:bookmarkStart w:id="147" w:name="bookmark139"/>
      <w:bookmarkEnd w:id="147"/>
      <w:r>
        <w:rPr>
          <w:rFonts w:hint="eastAsia" w:ascii="宋体" w:hAnsi="宋体" w:eastAsia="宋体" w:cs="宋体"/>
          <w:b/>
          <w:bCs/>
          <w:color w:val="000000" w:themeColor="text1"/>
          <w:spacing w:val="0"/>
          <w:sz w:val="24"/>
          <w:szCs w:val="24"/>
          <w:highlight w:val="none"/>
          <w14:textFill>
            <w14:solidFill>
              <w14:schemeClr w14:val="tx1"/>
            </w14:solidFill>
          </w14:textFill>
        </w:rPr>
        <w:t>工员、质量员、材料员、资料员）的岗位证书或培训证书不审查其证书的有效期。</w:t>
      </w:r>
      <w:bookmarkEnd w:id="146"/>
    </w:p>
    <w:p w14:paraId="0F791476">
      <w:pPr>
        <w:keepNext w:val="0"/>
        <w:keepLines w:val="0"/>
        <w:pageBreakBefore w:val="0"/>
        <w:wordWrap w:val="0"/>
        <w:overflowPunct/>
        <w:topLinePunct w:val="0"/>
        <w:bidi w:val="0"/>
        <w:spacing w:before="146" w:line="220" w:lineRule="auto"/>
        <w:ind w:left="49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（6）招标文件规定不接受联合体投标，但以联合体投标的；</w:t>
      </w:r>
    </w:p>
    <w:p w14:paraId="2C69257C">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（7）联合体投标，未提交《联合体协议书》的；擅自修改、遗漏《联合体协议书》实质性内容的；联合体成员的数量、资质不符合规定的；联合体成员同时以自己名义单独投标或者参加其他联合体投标的；</w:t>
      </w:r>
    </w:p>
    <w:p w14:paraId="50011199">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pacing w:val="0"/>
          <w:sz w:val="24"/>
          <w:szCs w:val="24"/>
          <w:highlight w:val="none"/>
          <w14:textFill>
            <w14:solidFill>
              <w14:schemeClr w14:val="tx1"/>
            </w14:solidFill>
          </w14:textFill>
        </w:rPr>
        <w:t>）投标人为外省建筑企业，但未提供“进粤企业和人员诚信信息登记平台 ”企业和拟派人员信息情况打印页或网页截图的。</w:t>
      </w:r>
    </w:p>
    <w:p w14:paraId="4A7BFED6">
      <w:pPr>
        <w:keepNext w:val="0"/>
        <w:keepLines w:val="0"/>
        <w:pageBreakBefore w:val="0"/>
        <w:wordWrap w:val="0"/>
        <w:overflowPunct/>
        <w:topLinePunct w:val="0"/>
        <w:bidi w:val="0"/>
        <w:spacing w:before="154" w:line="221" w:lineRule="auto"/>
        <w:ind w:left="477"/>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48" w:name="_Toc1800"/>
      <w:r>
        <w:rPr>
          <w:rFonts w:hint="eastAsia" w:ascii="宋体" w:hAnsi="宋体" w:eastAsia="宋体" w:cs="宋体"/>
          <w:b/>
          <w:bCs/>
          <w:color w:val="000000" w:themeColor="text1"/>
          <w:spacing w:val="0"/>
          <w:sz w:val="24"/>
          <w:szCs w:val="24"/>
          <w:highlight w:val="none"/>
          <w14:textFill>
            <w14:solidFill>
              <w14:schemeClr w14:val="tx1"/>
            </w14:solidFill>
          </w14:textFill>
        </w:rPr>
        <w:t>2 ．形式评审环节</w:t>
      </w:r>
      <w:bookmarkEnd w:id="148"/>
    </w:p>
    <w:p w14:paraId="33654F10">
      <w:pPr>
        <w:keepNext w:val="0"/>
        <w:keepLines w:val="0"/>
        <w:pageBreakBefore w:val="0"/>
        <w:wordWrap w:val="0"/>
        <w:overflowPunct/>
        <w:topLinePunct w:val="0"/>
        <w:bidi w:val="0"/>
        <w:spacing w:before="151" w:line="327" w:lineRule="auto"/>
        <w:ind w:right="200" w:firstLine="48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投标人有下列情形之一的，评标委员会应否决其投标。被否决的投标人，不进入响应性评审环节。</w:t>
      </w:r>
    </w:p>
    <w:p w14:paraId="4BAC9BEA">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（1）各分册没按招标文件规定加盖电子印章；</w:t>
      </w:r>
    </w:p>
    <w:p w14:paraId="6E2B21D1">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（2）本章第三节第 </w:t>
      </w:r>
      <w:r>
        <w:rPr>
          <w:rFonts w:hint="eastAsia" w:ascii="宋体" w:hAnsi="宋体" w:eastAsia="宋体" w:cs="宋体"/>
          <w:b/>
          <w:bCs/>
          <w:color w:val="000000" w:themeColor="text1"/>
          <w:spacing w:val="0"/>
          <w:sz w:val="24"/>
          <w:szCs w:val="24"/>
          <w:highlight w:val="none"/>
          <w14:textFill>
            <w14:solidFill>
              <w14:schemeClr w14:val="tx1"/>
            </w14:solidFill>
          </w14:textFill>
        </w:rPr>
        <w:t>10.2.2</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目、第 </w:t>
      </w:r>
      <w:r>
        <w:rPr>
          <w:rFonts w:hint="eastAsia" w:ascii="宋体" w:hAnsi="宋体" w:eastAsia="宋体" w:cs="宋体"/>
          <w:b/>
          <w:bCs/>
          <w:color w:val="000000" w:themeColor="text1"/>
          <w:spacing w:val="0"/>
          <w:sz w:val="24"/>
          <w:szCs w:val="24"/>
          <w:highlight w:val="none"/>
          <w14:textFill>
            <w14:solidFill>
              <w14:schemeClr w14:val="tx1"/>
            </w14:solidFill>
          </w14:textFill>
        </w:rPr>
        <w:t>10.3.2</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目、第 </w:t>
      </w:r>
      <w:r>
        <w:rPr>
          <w:rFonts w:hint="eastAsia" w:ascii="宋体" w:hAnsi="宋体" w:eastAsia="宋体" w:cs="宋体"/>
          <w:b/>
          <w:bCs/>
          <w:color w:val="000000" w:themeColor="text1"/>
          <w:spacing w:val="0"/>
          <w:sz w:val="24"/>
          <w:szCs w:val="24"/>
          <w:highlight w:val="none"/>
          <w14:textFill>
            <w14:solidFill>
              <w14:schemeClr w14:val="tx1"/>
            </w14:solidFill>
          </w14:textFill>
        </w:rPr>
        <w:t>10.4.3</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目中规定的“所有投标人均应提供 ”的组成内容（包括该组成内容的所附资料）中，任何一项有缺漏的；</w:t>
      </w:r>
    </w:p>
    <w:p w14:paraId="36D3CEC6">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关键字迹模糊、无法辨认，且该种过错将导致评标委员会无法判断投标文件是否响应招标文件实质性要求的；有涂改、行间插字或删除，但未加盖单位章或由投标人的法定代表人或其委托代理人签字确认的；</w:t>
      </w:r>
    </w:p>
    <w:p w14:paraId="5FFF89B9">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（4）投标文件未按规定签字、盖章的。</w:t>
      </w:r>
    </w:p>
    <w:p w14:paraId="707E04F7">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（5）招标文件规定施工组织设计采用“暗标 ”方式进行评审，但施工组织设计的规格颜色、文字排版、正文篇幅（若有）不符合规定的；其任何部位出现手写以及涂改、 行间插字或删除痕迹的；其任何部位出现投标人的名称和其它可识别投标人身份的字符、徽标、人员名称以及其他特殊标记的。</w:t>
      </w:r>
    </w:p>
    <w:p w14:paraId="1C64F3A3">
      <w:pPr>
        <w:keepNext w:val="0"/>
        <w:keepLines w:val="0"/>
        <w:pageBreakBefore w:val="0"/>
        <w:wordWrap w:val="0"/>
        <w:overflowPunct/>
        <w:topLinePunct w:val="0"/>
        <w:bidi w:val="0"/>
        <w:spacing w:before="227" w:line="221" w:lineRule="auto"/>
        <w:ind w:left="475"/>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49" w:name="_Toc17985"/>
      <w:r>
        <w:rPr>
          <w:rFonts w:hint="eastAsia" w:ascii="宋体" w:hAnsi="宋体" w:eastAsia="宋体" w:cs="宋体"/>
          <w:b/>
          <w:bCs/>
          <w:color w:val="000000" w:themeColor="text1"/>
          <w:spacing w:val="0"/>
          <w:sz w:val="24"/>
          <w:szCs w:val="24"/>
          <w:highlight w:val="none"/>
          <w14:textFill>
            <w14:solidFill>
              <w14:schemeClr w14:val="tx1"/>
            </w14:solidFill>
          </w14:textFill>
        </w:rPr>
        <w:t>3 ．响应性评审环节</w:t>
      </w:r>
      <w:bookmarkEnd w:id="149"/>
    </w:p>
    <w:p w14:paraId="023371C4">
      <w:pPr>
        <w:keepNext w:val="0"/>
        <w:keepLines w:val="0"/>
        <w:pageBreakBefore w:val="0"/>
        <w:wordWrap w:val="0"/>
        <w:overflowPunct/>
        <w:topLinePunct w:val="0"/>
        <w:bidi w:val="0"/>
        <w:spacing w:before="151" w:line="327" w:lineRule="auto"/>
        <w:ind w:left="1" w:right="200" w:firstLine="48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投标人有下列情形之一的，评标委员会应否决其投标。被否决的投标人，不进入详细评审阶段。</w:t>
      </w:r>
    </w:p>
    <w:p w14:paraId="039432FC">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（1）承诺的投标有效期短于规定的；质量标准低于规定的；工期超出规定的；擅自修改、遗漏《投标函》《各项承诺一览表》实质性内容的；</w:t>
      </w:r>
    </w:p>
    <w:p w14:paraId="3A9ED79E">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（2）编制《投标总价》的造价工程师，其注册证书不是</w:t>
      </w:r>
      <w:r>
        <w:rPr>
          <w:rFonts w:hint="eastAsia" w:ascii="宋体" w:hAnsi="宋体" w:eastAsia="宋体" w:cs="宋体"/>
          <w:b/>
          <w:bCs/>
          <w:color w:val="000000" w:themeColor="text1"/>
          <w:spacing w:val="0"/>
          <w:sz w:val="24"/>
          <w:szCs w:val="24"/>
          <w:highlight w:val="none"/>
          <w14:textFill>
            <w14:solidFill>
              <w14:schemeClr w14:val="tx1"/>
            </w14:solidFill>
          </w14:textFill>
        </w:rPr>
        <w:t>住建部门</w:t>
      </w:r>
      <w:r>
        <w:rPr>
          <w:rFonts w:hint="eastAsia" w:ascii="宋体" w:hAnsi="宋体" w:eastAsia="宋体" w:cs="宋体"/>
          <w:color w:val="000000" w:themeColor="text1"/>
          <w:spacing w:val="0"/>
          <w:sz w:val="24"/>
          <w:szCs w:val="24"/>
          <w:highlight w:val="none"/>
          <w14:textFill>
            <w14:solidFill>
              <w14:schemeClr w14:val="tx1"/>
            </w14:solidFill>
          </w14:textFill>
        </w:rPr>
        <w:t>颁发的；其注册单位与投标人（或造价咨询人）不一致的；其注册证书不在有效期内的。</w:t>
      </w:r>
    </w:p>
    <w:p w14:paraId="7EBE7469">
      <w:pPr>
        <w:keepNext w:val="0"/>
        <w:keepLines w:val="0"/>
        <w:pageBreakBefore w:val="0"/>
        <w:wordWrap w:val="0"/>
        <w:overflowPunct/>
        <w:topLinePunct w:val="0"/>
        <w:bidi w:val="0"/>
        <w:spacing w:before="156" w:line="329" w:lineRule="auto"/>
        <w:ind w:right="200" w:firstLine="480"/>
        <w:jc w:val="both"/>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注：投标人（或造价咨询人）已经工商变更，但其员工的执业资格注册证书的注册单位名称未完成变更的，不得否决其投标。</w:t>
      </w:r>
    </w:p>
    <w:p w14:paraId="70E2ADFC">
      <w:pPr>
        <w:keepNext w:val="0"/>
        <w:keepLines w:val="0"/>
        <w:pageBreakBefore w:val="0"/>
        <w:wordWrap w:val="0"/>
        <w:overflowPunct/>
        <w:topLinePunct w:val="0"/>
        <w:bidi w:val="0"/>
        <w:spacing w:before="78" w:line="299" w:lineRule="auto"/>
        <w:ind w:left="2" w:right="81" w:firstLine="48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（3）投标人委托造价咨询单位编制《投标总价》，但未在《投标总价扉页》（即扉—3）“投标人 ”栏目加盖造价咨询人公章的；未提供造价咨询人的营业执照副本彩色扫描件；</w:t>
      </w:r>
    </w:p>
    <w:p w14:paraId="05BC2C53">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（4）出现两个或两个以上投标总价的（同一个投标总价大、小写不一致的除外）； 投标总价超出</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最高投标限价</w:t>
      </w:r>
      <w:r>
        <w:rPr>
          <w:rFonts w:hint="eastAsia" w:ascii="宋体" w:hAnsi="宋体" w:eastAsia="宋体" w:cs="宋体"/>
          <w:color w:val="000000" w:themeColor="text1"/>
          <w:spacing w:val="0"/>
          <w:sz w:val="24"/>
          <w:szCs w:val="24"/>
          <w:highlight w:val="none"/>
          <w14:textFill>
            <w14:solidFill>
              <w14:schemeClr w14:val="tx1"/>
            </w14:solidFill>
          </w14:textFill>
        </w:rPr>
        <w:t>的；</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安全生产措施费</w:t>
      </w:r>
      <w:r>
        <w:rPr>
          <w:rFonts w:hint="eastAsia" w:ascii="宋体" w:hAnsi="宋体" w:eastAsia="宋体" w:cs="宋体"/>
          <w:color w:val="000000" w:themeColor="text1"/>
          <w:spacing w:val="0"/>
          <w:sz w:val="24"/>
          <w:szCs w:val="24"/>
          <w:highlight w:val="none"/>
          <w14:textFill>
            <w14:solidFill>
              <w14:schemeClr w14:val="tx1"/>
            </w14:solidFill>
          </w14:textFill>
        </w:rPr>
        <w:t>少于规定的；暂列金额、暂估价未按照招标工程量清单统一报价的；投标总价下浮率超过 15%，又未提供相应书面说明和佐证材料或提供的书面说明和佐证材料不能令人信服，被评标委员会认定以低于成本报价竞标的；擅自修改、增减招标工程量清单项目（包括措施项目）的；</w:t>
      </w:r>
    </w:p>
    <w:p w14:paraId="62906720">
      <w:pPr>
        <w:keepNext w:val="0"/>
        <w:keepLines w:val="0"/>
        <w:pageBreakBefore w:val="0"/>
        <w:wordWrap w:val="0"/>
        <w:overflowPunct/>
        <w:topLinePunct w:val="0"/>
        <w:bidi w:val="0"/>
        <w:spacing w:before="156" w:line="299" w:lineRule="auto"/>
        <w:ind w:right="8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（5）在施工组织设计评审中，评标委员会认定质量、进度保障措施与国家和省市现行有关规范、规定、标准有重大偏差，</w:t>
      </w:r>
      <w:r>
        <w:rPr>
          <w:rFonts w:hint="eastAsia" w:ascii="宋体" w:hAnsi="宋体" w:eastAsia="宋体" w:cs="宋体"/>
          <w:b/>
          <w:bCs/>
          <w:color w:val="000000" w:themeColor="text1"/>
          <w:spacing w:val="0"/>
          <w:sz w:val="24"/>
          <w:szCs w:val="24"/>
          <w:highlight w:val="none"/>
          <w14:textFill>
            <w14:solidFill>
              <w14:schemeClr w14:val="tx1"/>
            </w14:solidFill>
          </w14:textFill>
        </w:rPr>
        <w:t>且该种过错将导致工程质量、进度管理目标无法实现的</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0DBFDD7A">
      <w:pPr>
        <w:keepNext w:val="0"/>
        <w:keepLines w:val="0"/>
        <w:pageBreakBefore w:val="0"/>
        <w:wordWrap w:val="0"/>
        <w:overflowPunct/>
        <w:topLinePunct w:val="0"/>
        <w:bidi w:val="0"/>
        <w:spacing w:before="151" w:line="221" w:lineRule="auto"/>
        <w:ind w:left="476"/>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50" w:name="_Toc26039"/>
      <w:r>
        <w:rPr>
          <w:rFonts w:hint="eastAsia" w:ascii="宋体" w:hAnsi="宋体" w:eastAsia="宋体" w:cs="宋体"/>
          <w:b/>
          <w:bCs/>
          <w:color w:val="000000" w:themeColor="text1"/>
          <w:spacing w:val="0"/>
          <w:sz w:val="24"/>
          <w:szCs w:val="24"/>
          <w:highlight w:val="none"/>
          <w14:textFill>
            <w14:solidFill>
              <w14:schemeClr w14:val="tx1"/>
            </w14:solidFill>
          </w14:textFill>
        </w:rPr>
        <w:t>4 ．其他</w:t>
      </w:r>
      <w:bookmarkEnd w:id="150"/>
    </w:p>
    <w:p w14:paraId="1DB8C9BB">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在任何评标环节（或阶段），投标人有下列情形之一的，评标委员会应否决其投标。 被否决的投标人，不进入下一环节（或阶段）。</w:t>
      </w:r>
    </w:p>
    <w:p w14:paraId="0CA58726">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（1）不按评标委员会要求澄清、说明或补正的；</w:t>
      </w:r>
    </w:p>
    <w:p w14:paraId="0D1C3C0F">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（2）有下列情形之一，被评标委员会认定属于串通投标的：</w:t>
      </w:r>
    </w:p>
    <w:p w14:paraId="66C929C2">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①不同投标人的投标文件两处以上（含两处）错、漏一致；</w:t>
      </w:r>
    </w:p>
    <w:p w14:paraId="6D5FB77A">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②不同投标人的投标总价相近且各分项报价、综合单价分析表内容混乱不能相互对应、乱调乱压或乱抬的，而在询标时没有合理的解释或者不能提供计算依据和报价依据；</w:t>
      </w:r>
    </w:p>
    <w:p w14:paraId="22325080">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③不同投标人的投标各项报价存在异常一致或者呈规律性变化；</w:t>
      </w:r>
    </w:p>
    <w:p w14:paraId="36C4CB17">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④不同投标人的投标文件由同一单位或者同一个人编制；</w:t>
      </w:r>
    </w:p>
    <w:p w14:paraId="1A519F59">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⑤不同投标人的投标文件中投标资料（包括电子资料）相互混装或项目班子成员出现同一人；</w:t>
      </w:r>
    </w:p>
    <w:p w14:paraId="2D971149">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⑥不同投标人的投标文件由同一电脑编制或同一台附属设备打印，或投标报价用同一个预算编制软件密码锁制作或出自同一电子文档；</w:t>
      </w:r>
    </w:p>
    <w:p w14:paraId="3D4E49BC">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⑦不同投标人的投标保证由同一企业或同一账户资金缴纳；</w:t>
      </w:r>
    </w:p>
    <w:p w14:paraId="16BEF131">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⑧不同投标人委托同一个人或注册在同一家企业的注册人员或同一家企业为其投标提供投标咨询、商务报价、技术咨询（招标项目本身要求采用专有技术的除外）等服务。</w:t>
      </w:r>
    </w:p>
    <w:p w14:paraId="72728FDA">
      <w:pPr>
        <w:pStyle w:val="24"/>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p w14:paraId="451E5D4B">
      <w:pPr>
        <w:keepNext w:val="0"/>
        <w:keepLines w:val="0"/>
        <w:pageBreakBefore w:val="0"/>
        <w:wordWrap w:val="0"/>
        <w:overflowPunct/>
        <w:topLinePunct w:val="0"/>
        <w:bidi w:val="0"/>
        <w:spacing w:line="299" w:lineRule="auto"/>
        <w:rPr>
          <w:rFonts w:hint="eastAsia" w:ascii="宋体" w:hAnsi="宋体" w:eastAsia="宋体" w:cs="宋体"/>
          <w:color w:val="000000" w:themeColor="text1"/>
          <w:spacing w:val="0"/>
          <w:sz w:val="24"/>
          <w:szCs w:val="24"/>
          <w:highlight w:val="none"/>
          <w14:textFill>
            <w14:solidFill>
              <w14:schemeClr w14:val="tx1"/>
            </w14:solidFill>
          </w14:textFill>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FFFBA50">
      <w:pPr>
        <w:keepNext w:val="0"/>
        <w:keepLines w:val="0"/>
        <w:pageBreakBefore w:val="0"/>
        <w:wordWrap w:val="0"/>
        <w:overflowPunct/>
        <w:topLinePunct w:val="0"/>
        <w:bidi w:val="0"/>
        <w:spacing w:before="78" w:line="219" w:lineRule="auto"/>
        <w:ind w:left="3525"/>
        <w:outlineLvl w:val="0"/>
        <w:rPr>
          <w:rFonts w:hint="eastAsia" w:ascii="宋体" w:hAnsi="宋体" w:eastAsia="宋体" w:cs="宋体"/>
          <w:color w:val="000000" w:themeColor="text1"/>
          <w:spacing w:val="0"/>
          <w:sz w:val="24"/>
          <w:szCs w:val="24"/>
          <w:highlight w:val="none"/>
          <w14:textFill>
            <w14:solidFill>
              <w14:schemeClr w14:val="tx1"/>
            </w14:solidFill>
          </w14:textFill>
        </w:rPr>
      </w:pPr>
      <w:bookmarkStart w:id="151" w:name="bookmark57"/>
      <w:bookmarkEnd w:id="151"/>
      <w:bookmarkStart w:id="152" w:name="_Toc11299"/>
      <w:r>
        <w:rPr>
          <w:rFonts w:hint="eastAsia" w:ascii="宋体" w:hAnsi="宋体" w:eastAsia="宋体" w:cs="宋体"/>
          <w:b/>
          <w:bCs/>
          <w:color w:val="000000" w:themeColor="text1"/>
          <w:spacing w:val="0"/>
          <w:sz w:val="24"/>
          <w:szCs w:val="24"/>
          <w:highlight w:val="none"/>
          <w14:textFill>
            <w14:solidFill>
              <w14:schemeClr w14:val="tx1"/>
            </w14:solidFill>
          </w14:textFill>
        </w:rPr>
        <w:t>第二章</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中标人须知</w:t>
      </w:r>
      <w:bookmarkEnd w:id="152"/>
    </w:p>
    <w:p w14:paraId="3C63E460">
      <w:pPr>
        <w:keepNext w:val="0"/>
        <w:keepLines w:val="0"/>
        <w:pageBreakBefore w:val="0"/>
        <w:wordWrap w:val="0"/>
        <w:overflowPunct/>
        <w:topLinePunct w:val="0"/>
        <w:bidi w:val="0"/>
        <w:spacing w:before="78" w:line="219" w:lineRule="auto"/>
        <w:ind w:left="582"/>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53" w:name="_Toc30185"/>
      <w:r>
        <w:rPr>
          <w:rFonts w:hint="eastAsia" w:ascii="宋体" w:hAnsi="宋体" w:eastAsia="宋体" w:cs="宋体"/>
          <w:b/>
          <w:bCs/>
          <w:color w:val="000000" w:themeColor="text1"/>
          <w:spacing w:val="0"/>
          <w:sz w:val="24"/>
          <w:szCs w:val="24"/>
          <w:highlight w:val="none"/>
          <w14:textFill>
            <w14:solidFill>
              <w14:schemeClr w14:val="tx1"/>
            </w14:solidFill>
          </w14:textFill>
        </w:rPr>
        <w:t>1 ．中标通知书</w:t>
      </w:r>
      <w:bookmarkEnd w:id="153"/>
    </w:p>
    <w:p w14:paraId="33680385">
      <w:pPr>
        <w:keepNext w:val="0"/>
        <w:keepLines w:val="0"/>
        <w:pageBreakBefore w:val="0"/>
        <w:wordWrap w:val="0"/>
        <w:overflowPunct/>
        <w:topLinePunct w:val="0"/>
        <w:bidi w:val="0"/>
        <w:spacing w:before="152" w:line="332" w:lineRule="auto"/>
        <w:ind w:left="17" w:firstLine="559"/>
        <w:jc w:val="both"/>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招标人确定第一中标候选人为中标人，并在中标人确定之日起 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0E2EC4A2">
      <w:pPr>
        <w:keepNext w:val="0"/>
        <w:keepLines w:val="0"/>
        <w:pageBreakBefore w:val="0"/>
        <w:wordWrap w:val="0"/>
        <w:overflowPunct/>
        <w:topLinePunct w:val="0"/>
        <w:bidi w:val="0"/>
        <w:spacing w:before="78" w:line="221" w:lineRule="auto"/>
        <w:ind w:left="572"/>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54" w:name="_Toc24356"/>
      <w:r>
        <w:rPr>
          <w:rFonts w:hint="eastAsia" w:ascii="宋体" w:hAnsi="宋体" w:eastAsia="宋体" w:cs="宋体"/>
          <w:b/>
          <w:bCs/>
          <w:color w:val="000000" w:themeColor="text1"/>
          <w:spacing w:val="0"/>
          <w:sz w:val="24"/>
          <w:szCs w:val="24"/>
          <w:highlight w:val="none"/>
          <w14:textFill>
            <w14:solidFill>
              <w14:schemeClr w14:val="tx1"/>
            </w14:solidFill>
          </w14:textFill>
        </w:rPr>
        <w:t>2 ．中标结果公示</w:t>
      </w:r>
      <w:bookmarkEnd w:id="154"/>
    </w:p>
    <w:p w14:paraId="6D402282">
      <w:pPr>
        <w:keepNext w:val="0"/>
        <w:keepLines w:val="0"/>
        <w:pageBreakBefore w:val="0"/>
        <w:wordWrap w:val="0"/>
        <w:overflowPunct/>
        <w:topLinePunct w:val="0"/>
        <w:bidi w:val="0"/>
        <w:spacing w:before="115" w:line="316" w:lineRule="auto"/>
        <w:ind w:left="2" w:right="203" w:firstLine="595"/>
        <w:jc w:val="both"/>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中标通知书发出后 15</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日内，招标人应将中标结果在广东省招标投标监管网（http://zbtb.gd.gov.cn）、全国公共资源交易平台（广东省 ·韶关市）（https://ygp.gdzwfw.gov.cn/ggzy-portal/#/440200/index）进行公示。</w:t>
      </w:r>
    </w:p>
    <w:p w14:paraId="2C95E54C">
      <w:pPr>
        <w:keepNext w:val="0"/>
        <w:keepLines w:val="0"/>
        <w:pageBreakBefore w:val="0"/>
        <w:wordWrap w:val="0"/>
        <w:overflowPunct/>
        <w:topLinePunct w:val="0"/>
        <w:bidi w:val="0"/>
        <w:spacing w:before="79" w:line="221" w:lineRule="auto"/>
        <w:ind w:left="570"/>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55" w:name="_Toc14012"/>
      <w:r>
        <w:rPr>
          <w:rFonts w:hint="eastAsia" w:ascii="宋体" w:hAnsi="宋体" w:eastAsia="宋体" w:cs="宋体"/>
          <w:b/>
          <w:bCs/>
          <w:color w:val="000000" w:themeColor="text1"/>
          <w:spacing w:val="0"/>
          <w:sz w:val="24"/>
          <w:szCs w:val="24"/>
          <w:highlight w:val="none"/>
          <w14:textFill>
            <w14:solidFill>
              <w14:schemeClr w14:val="tx1"/>
            </w14:solidFill>
          </w14:textFill>
        </w:rPr>
        <w:t>3 ．履约保证</w:t>
      </w:r>
      <w:bookmarkEnd w:id="155"/>
    </w:p>
    <w:p w14:paraId="677C4C26">
      <w:pPr>
        <w:keepNext w:val="0"/>
        <w:keepLines w:val="0"/>
        <w:pageBreakBefore w:val="0"/>
        <w:widowControl/>
        <w:kinsoku w:val="0"/>
        <w:wordWrap w:val="0"/>
        <w:overflowPunct/>
        <w:topLinePunct w:val="0"/>
        <w:autoSpaceDE w:val="0"/>
        <w:autoSpaceDN w:val="0"/>
        <w:bidi w:val="0"/>
        <w:adjustRightInd w:val="0"/>
        <w:snapToGrid w:val="0"/>
        <w:spacing w:before="153" w:line="312" w:lineRule="auto"/>
        <w:ind w:firstLine="482"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3.1  </w:t>
      </w:r>
      <w:r>
        <w:rPr>
          <w:rFonts w:hint="eastAsia" w:ascii="宋体" w:hAnsi="宋体" w:eastAsia="宋体" w:cs="宋体"/>
          <w:color w:val="000000" w:themeColor="text1"/>
          <w:spacing w:val="0"/>
          <w:sz w:val="24"/>
          <w:szCs w:val="24"/>
          <w:highlight w:val="none"/>
          <w14:textFill>
            <w14:solidFill>
              <w14:schemeClr w14:val="tx1"/>
            </w14:solidFill>
          </w14:textFill>
        </w:rPr>
        <w:t>中标人须在领取中标通知书之日起</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10 </w:t>
      </w:r>
      <w:r>
        <w:rPr>
          <w:rFonts w:hint="eastAsia" w:ascii="宋体" w:hAnsi="宋体" w:eastAsia="宋体" w:cs="宋体"/>
          <w:color w:val="000000" w:themeColor="text1"/>
          <w:spacing w:val="0"/>
          <w:sz w:val="24"/>
          <w:szCs w:val="24"/>
          <w:highlight w:val="none"/>
          <w14:textFill>
            <w14:solidFill>
              <w14:schemeClr w14:val="tx1"/>
            </w14:solidFill>
          </w14:textFill>
        </w:rPr>
        <w:t>个工作日内、签订合同前向招标人提交金额</w:t>
      </w:r>
      <w:r>
        <w:rPr>
          <w:rFonts w:hint="eastAsia" w:ascii="宋体" w:hAnsi="宋体" w:eastAsia="宋体" w:cs="宋体"/>
          <w:color w:val="000000" w:themeColor="text1"/>
          <w:spacing w:val="0"/>
          <w:position w:val="2"/>
          <w:sz w:val="24"/>
          <w:szCs w:val="24"/>
          <w:highlight w:val="none"/>
          <w14:textFill>
            <w14:solidFill>
              <w14:schemeClr w14:val="tx1"/>
            </w14:solidFill>
          </w14:textFill>
        </w:rPr>
        <w:t>为中标价</w:t>
      </w:r>
      <w:r>
        <w:rPr>
          <w:rFonts w:hint="eastAsia" w:ascii="宋体" w:hAnsi="宋体" w:eastAsia="宋体" w:cs="宋体"/>
          <w:color w:val="000000" w:themeColor="text1"/>
          <w:spacing w:val="0"/>
          <w:position w:val="2"/>
          <w:sz w:val="24"/>
          <w:szCs w:val="24"/>
          <w:highlight w:val="none"/>
          <w:u w:val="single"/>
          <w:lang w:val="en-US" w:eastAsia="zh-CN"/>
          <w14:textFill>
            <w14:solidFill>
              <w14:schemeClr w14:val="tx1"/>
            </w14:solidFill>
          </w14:textFill>
        </w:rPr>
        <w:t xml:space="preserve"> 5</w:t>
      </w:r>
      <w:r>
        <w:rPr>
          <w:rFonts w:hint="eastAsia" w:ascii="宋体" w:hAnsi="宋体" w:eastAsia="宋体" w:cs="宋体"/>
          <w:color w:val="000000" w:themeColor="text1"/>
          <w:spacing w:val="0"/>
          <w:positio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2"/>
          <w:sz w:val="24"/>
          <w:szCs w:val="24"/>
          <w:highlight w:val="none"/>
          <w14:textFill>
            <w14:solidFill>
              <w14:schemeClr w14:val="tx1"/>
            </w14:solidFill>
          </w14:textFill>
        </w:rPr>
        <w:t>的履约保证。联合体中标的，由联合体牵头人提交。</w:t>
      </w:r>
    </w:p>
    <w:p w14:paraId="49B5F994">
      <w:pPr>
        <w:keepNext w:val="0"/>
        <w:keepLines w:val="0"/>
        <w:pageBreakBefore w:val="0"/>
        <w:wordWrap w:val="0"/>
        <w:overflowPunct/>
        <w:topLinePunct w:val="0"/>
        <w:bidi w:val="0"/>
        <w:spacing w:before="89" w:line="286" w:lineRule="auto"/>
        <w:ind w:left="12" w:right="108" w:firstLine="47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3.2</w:t>
      </w:r>
      <w:r>
        <w:rPr>
          <w:rFonts w:hint="eastAsia" w:ascii="宋体" w:hAnsi="宋体" w:eastAsia="宋体" w:cs="宋体"/>
          <w:b/>
          <w:bCs/>
          <w:color w:val="000000" w:themeColor="text1"/>
          <w:spacing w:val="0"/>
          <w:w w:val="10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position w:val="2"/>
          <w:sz w:val="24"/>
          <w:szCs w:val="24"/>
          <w:highlight w:val="none"/>
          <w14:textFill>
            <w14:solidFill>
              <w14:schemeClr w14:val="tx1"/>
            </w14:solidFill>
          </w14:textFill>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000000" w:themeColor="text1"/>
          <w:spacing w:val="0"/>
          <w:sz w:val="24"/>
          <w:szCs w:val="24"/>
          <w:highlight w:val="none"/>
          <w14:textFill>
            <w14:solidFill>
              <w14:schemeClr w14:val="tx1"/>
            </w14:solidFill>
          </w14:textFill>
        </w:rPr>
        <w:t>。商业保函、银行保函或保险合同（或保险单）的有效期应当自合同生效之日起至项目通过竣工验收之日后 28 天止。</w:t>
      </w:r>
    </w:p>
    <w:p w14:paraId="0431B761">
      <w:pPr>
        <w:keepNext w:val="0"/>
        <w:keepLines w:val="0"/>
        <w:pageBreakBefore w:val="0"/>
        <w:wordWrap w:val="0"/>
        <w:overflowPunct/>
        <w:topLinePunct w:val="0"/>
        <w:bidi w:val="0"/>
        <w:spacing w:line="440" w:lineRule="exact"/>
        <w:ind w:firstLine="562"/>
        <w:rPr>
          <w:rFonts w:hint="eastAsia" w:ascii="宋体" w:hAnsi="宋体" w:eastAsia="宋体" w:cs="宋体"/>
          <w:color w:val="000000" w:themeColor="text1"/>
          <w:spacing w:val="0"/>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2"/>
          <w:sz w:val="24"/>
          <w:szCs w:val="24"/>
          <w:highlight w:val="none"/>
          <w:lang w:eastAsia="zh-CN"/>
          <w14:textFill>
            <w14:solidFill>
              <w14:schemeClr w14:val="tx1"/>
            </w14:solidFill>
          </w14:textFill>
        </w:rPr>
        <w:t>注：中标通知书发出时，招标人发起收缴履约保证金并填写保证金金额、缴交时限和项目工期；由中标人在建设工程交易系统中自主选择一种进行缴交。项目竣工后，由招标人发起退保。）</w:t>
      </w:r>
    </w:p>
    <w:p w14:paraId="1AD60AEA">
      <w:pPr>
        <w:keepNext w:val="0"/>
        <w:keepLines w:val="0"/>
        <w:pageBreakBefore w:val="0"/>
        <w:wordWrap w:val="0"/>
        <w:overflowPunct/>
        <w:topLinePunct w:val="0"/>
        <w:bidi w:val="0"/>
        <w:spacing w:before="145" w:line="319" w:lineRule="auto"/>
        <w:ind w:left="12" w:right="108" w:firstLine="47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3.3  </w:t>
      </w:r>
      <w:r>
        <w:rPr>
          <w:rFonts w:hint="eastAsia" w:ascii="宋体" w:hAnsi="宋体" w:eastAsia="宋体" w:cs="宋体"/>
          <w:color w:val="000000" w:themeColor="text1"/>
          <w:spacing w:val="0"/>
          <w:sz w:val="24"/>
          <w:szCs w:val="24"/>
          <w:highlight w:val="none"/>
          <w14:textFill>
            <w14:solidFill>
              <w14:schemeClr w14:val="tx1"/>
            </w14:solidFill>
          </w14:textFill>
        </w:rPr>
        <w:t>中标人在领取中标通知书之日起 10 个工作日内仍未提交履约保证的，招标人发出第一次提醒函；在领取中标通知书之日起 15 个工作日内仍未提交的，招标人发出第二次提醒函；在领取中标通知书之日起 20个工作日内仍未提交的，视其放弃中标。并由招标人通报建设行政管理部门。如采用商业保函、银行保函或保险合同方式缴纳履约保证金，在保函或保险合同到期前一个月，中标人须主动办理续期手续或提交新的商业保函、银行保函或保险合同。</w:t>
      </w:r>
    </w:p>
    <w:p w14:paraId="439D8102">
      <w:pPr>
        <w:keepNext w:val="0"/>
        <w:keepLines w:val="0"/>
        <w:pageBreakBefore w:val="0"/>
        <w:wordWrap w:val="0"/>
        <w:overflowPunct/>
        <w:topLinePunct w:val="0"/>
        <w:bidi w:val="0"/>
        <w:spacing w:before="152" w:line="299" w:lineRule="auto"/>
        <w:ind w:left="12" w:right="108" w:firstLine="47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3.4  </w:t>
      </w:r>
      <w:r>
        <w:rPr>
          <w:rFonts w:hint="eastAsia" w:ascii="宋体" w:hAnsi="宋体" w:eastAsia="宋体" w:cs="宋体"/>
          <w:color w:val="000000" w:themeColor="text1"/>
          <w:spacing w:val="0"/>
          <w:sz w:val="24"/>
          <w:szCs w:val="24"/>
          <w:highlight w:val="none"/>
          <w14:textFill>
            <w14:solidFill>
              <w14:schemeClr w14:val="tx1"/>
            </w14:solidFill>
          </w14:textFill>
        </w:rPr>
        <w:t>在工程实施过程中，如果承包人（即招标阶段的中标人，下同）由于自身的资金、技术、质量、非不可抗力等原因给发包人（即招标阶段的招标人，下同）造成经济损失，发包人有权扣划相应金额的履约保证。</w:t>
      </w:r>
    </w:p>
    <w:p w14:paraId="05A3F90E">
      <w:pPr>
        <w:keepNext w:val="0"/>
        <w:keepLines w:val="0"/>
        <w:pageBreakBefore w:val="0"/>
        <w:wordWrap w:val="0"/>
        <w:overflowPunct/>
        <w:topLinePunct w:val="0"/>
        <w:bidi w:val="0"/>
        <w:spacing w:before="154" w:line="220" w:lineRule="auto"/>
        <w:ind w:left="486"/>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3.5  </w:t>
      </w:r>
      <w:r>
        <w:rPr>
          <w:rFonts w:hint="eastAsia" w:ascii="宋体" w:hAnsi="宋体" w:eastAsia="宋体" w:cs="宋体"/>
          <w:color w:val="000000" w:themeColor="text1"/>
          <w:spacing w:val="0"/>
          <w:sz w:val="24"/>
          <w:szCs w:val="24"/>
          <w:highlight w:val="none"/>
          <w14:textFill>
            <w14:solidFill>
              <w14:schemeClr w14:val="tx1"/>
            </w14:solidFill>
          </w14:textFill>
        </w:rPr>
        <w:t>项目通过竣工验收之日后 28 天内，发包人将履约保证退还给承包人。</w:t>
      </w:r>
    </w:p>
    <w:p w14:paraId="13852EBE">
      <w:pPr>
        <w:pStyle w:val="5"/>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52841E06">
      <w:pPr>
        <w:keepNext w:val="0"/>
        <w:keepLines w:val="0"/>
        <w:pageBreakBefore w:val="0"/>
        <w:wordWrap w:val="0"/>
        <w:overflowPunct/>
        <w:topLinePunct w:val="0"/>
        <w:bidi w:val="0"/>
        <w:spacing w:before="78" w:line="222" w:lineRule="auto"/>
        <w:ind w:left="488"/>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56" w:name="_Toc331"/>
      <w:r>
        <w:rPr>
          <w:rFonts w:hint="eastAsia" w:ascii="宋体" w:hAnsi="宋体" w:eastAsia="宋体" w:cs="宋体"/>
          <w:b/>
          <w:bCs/>
          <w:color w:val="000000" w:themeColor="text1"/>
          <w:spacing w:val="0"/>
          <w:sz w:val="24"/>
          <w:szCs w:val="24"/>
          <w:highlight w:val="none"/>
          <w14:textFill>
            <w14:solidFill>
              <w14:schemeClr w14:val="tx1"/>
            </w14:solidFill>
          </w14:textFill>
        </w:rPr>
        <w:t>4 ．合同订立</w:t>
      </w:r>
      <w:bookmarkEnd w:id="156"/>
    </w:p>
    <w:p w14:paraId="60A8639F">
      <w:pPr>
        <w:keepNext w:val="0"/>
        <w:keepLines w:val="0"/>
        <w:pageBreakBefore w:val="0"/>
        <w:widowControl/>
        <w:kinsoku w:val="0"/>
        <w:wordWrap w:val="0"/>
        <w:overflowPunct/>
        <w:topLinePunct w:val="0"/>
        <w:autoSpaceDE w:val="0"/>
        <w:autoSpaceDN w:val="0"/>
        <w:bidi w:val="0"/>
        <w:adjustRightInd w:val="0"/>
        <w:snapToGrid w:val="0"/>
        <w:spacing w:before="150" w:line="300" w:lineRule="auto"/>
        <w:ind w:left="11" w:right="108" w:firstLine="476"/>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4.1  </w:t>
      </w:r>
      <w:r>
        <w:rPr>
          <w:rFonts w:hint="eastAsia" w:ascii="宋体" w:hAnsi="宋体" w:eastAsia="宋体" w:cs="宋体"/>
          <w:color w:val="000000" w:themeColor="text1"/>
          <w:spacing w:val="0"/>
          <w:sz w:val="24"/>
          <w:szCs w:val="24"/>
          <w:highlight w:val="none"/>
          <w14:textFill>
            <w14:solidFill>
              <w14:schemeClr w14:val="tx1"/>
            </w14:solidFill>
          </w14:textFill>
        </w:rPr>
        <w:t>招标人应当自中标通知书发出之日起</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三十 </w:t>
      </w:r>
      <w:r>
        <w:rPr>
          <w:rFonts w:hint="eastAsia" w:ascii="宋体" w:hAnsi="宋体" w:eastAsia="宋体" w:cs="宋体"/>
          <w:color w:val="000000" w:themeColor="text1"/>
          <w:spacing w:val="0"/>
          <w:sz w:val="24"/>
          <w:szCs w:val="24"/>
          <w:highlight w:val="none"/>
          <w14:textFill>
            <w14:solidFill>
              <w14:schemeClr w14:val="tx1"/>
            </w14:solidFill>
          </w14:textFill>
        </w:rPr>
        <w:t>日内，按照招标文件、中标人的投标文件与中标人订立书面合同。</w:t>
      </w:r>
    </w:p>
    <w:p w14:paraId="44F9543E">
      <w:pPr>
        <w:keepNext w:val="0"/>
        <w:keepLines w:val="0"/>
        <w:pageBreakBefore w:val="0"/>
        <w:wordWrap w:val="0"/>
        <w:overflowPunct/>
        <w:topLinePunct w:val="0"/>
        <w:bidi w:val="0"/>
        <w:spacing w:before="156" w:line="219" w:lineRule="auto"/>
        <w:ind w:left="48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4.2  </w:t>
      </w:r>
      <w:r>
        <w:rPr>
          <w:rFonts w:hint="eastAsia" w:ascii="宋体" w:hAnsi="宋体" w:eastAsia="宋体" w:cs="宋体"/>
          <w:color w:val="000000" w:themeColor="text1"/>
          <w:spacing w:val="0"/>
          <w:sz w:val="24"/>
          <w:szCs w:val="24"/>
          <w:highlight w:val="none"/>
          <w14:textFill>
            <w14:solidFill>
              <w14:schemeClr w14:val="tx1"/>
            </w14:solidFill>
          </w14:textFill>
        </w:rPr>
        <w:t>不正常报价的梳理和确认</w:t>
      </w:r>
    </w:p>
    <w:p w14:paraId="416E0180">
      <w:pPr>
        <w:keepNext w:val="0"/>
        <w:keepLines w:val="0"/>
        <w:pageBreakBefore w:val="0"/>
        <w:wordWrap w:val="0"/>
        <w:overflowPunct/>
        <w:topLinePunct w:val="0"/>
        <w:bidi w:val="0"/>
        <w:spacing w:before="154" w:line="299" w:lineRule="auto"/>
        <w:ind w:left="14" w:right="64" w:firstLine="47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4.2.1 合同订立期间，在不改变中标人的投标总价的前提下，招标人应对中标人的投标报价进行全面分析和整理，从而发现并提取其中可能存在的算术性错误、错漏项、不平衡报价等不正常报价，并修正其中的算术性错误。</w:t>
      </w:r>
      <w:r>
        <w:rPr>
          <w:rFonts w:hint="eastAsia" w:ascii="宋体" w:hAnsi="宋体" w:eastAsia="宋体" w:cs="宋体"/>
          <w:color w:val="000000" w:themeColor="text1"/>
          <w:spacing w:val="0"/>
          <w:sz w:val="24"/>
          <w:szCs w:val="24"/>
          <w:highlight w:val="none"/>
          <w14:textFill>
            <w14:solidFill>
              <w14:schemeClr w14:val="tx1"/>
            </w14:solidFill>
          </w14:textFill>
        </w:rPr>
        <w:t>招标人不具备以上能力的，可授权编制本项目</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最高投标限价</w:t>
      </w:r>
      <w:r>
        <w:rPr>
          <w:rFonts w:hint="eastAsia" w:ascii="宋体" w:hAnsi="宋体" w:eastAsia="宋体" w:cs="宋体"/>
          <w:color w:val="000000" w:themeColor="text1"/>
          <w:spacing w:val="0"/>
          <w:sz w:val="24"/>
          <w:szCs w:val="24"/>
          <w:highlight w:val="none"/>
          <w14:textFill>
            <w14:solidFill>
              <w14:schemeClr w14:val="tx1"/>
            </w14:solidFill>
          </w14:textFill>
        </w:rPr>
        <w:t>的造价咨询单位实施。</w:t>
      </w:r>
    </w:p>
    <w:p w14:paraId="0BF121F6">
      <w:pPr>
        <w:keepNext w:val="0"/>
        <w:keepLines w:val="0"/>
        <w:pageBreakBefore w:val="0"/>
        <w:wordWrap w:val="0"/>
        <w:overflowPunct/>
        <w:topLinePunct w:val="0"/>
        <w:bidi w:val="0"/>
        <w:spacing w:before="121" w:line="309" w:lineRule="auto"/>
        <w:ind w:left="14" w:right="65" w:firstLine="47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4.2.2  </w:t>
      </w:r>
      <w:r>
        <w:rPr>
          <w:rFonts w:hint="eastAsia" w:ascii="宋体" w:hAnsi="宋体" w:eastAsia="宋体" w:cs="宋体"/>
          <w:color w:val="000000" w:themeColor="text1"/>
          <w:spacing w:val="0"/>
          <w:sz w:val="24"/>
          <w:szCs w:val="24"/>
          <w:highlight w:val="none"/>
          <w14:textFill>
            <w14:solidFill>
              <w14:schemeClr w14:val="tx1"/>
            </w14:solidFill>
          </w14:textFill>
        </w:rPr>
        <w:t>算术性错误的分析和修正。投标报价汇总表中，投标总价与各分项费用之和不一致的，以投标总价为准修正分项费用；投标报价汇总表的各分项费用与对应分项表中的费用不一致的，以投标报价汇总表中的分项费用为准修正对应分项表中的费用；各分项表中总价金额与依据单价计算出的结果不一致的，以总价为准修正单价。</w:t>
      </w:r>
    </w:p>
    <w:p w14:paraId="0D1041E0">
      <w:pPr>
        <w:keepNext w:val="0"/>
        <w:keepLines w:val="0"/>
        <w:pageBreakBefore w:val="0"/>
        <w:wordWrap w:val="0"/>
        <w:overflowPunct/>
        <w:topLinePunct w:val="0"/>
        <w:bidi w:val="0"/>
        <w:spacing w:before="157" w:line="279" w:lineRule="auto"/>
        <w:ind w:left="12" w:right="66"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4.2.3  </w:t>
      </w:r>
      <w:r>
        <w:rPr>
          <w:rFonts w:hint="eastAsia" w:ascii="宋体" w:hAnsi="宋体" w:eastAsia="宋体" w:cs="宋体"/>
          <w:color w:val="000000" w:themeColor="text1"/>
          <w:spacing w:val="0"/>
          <w:sz w:val="24"/>
          <w:szCs w:val="24"/>
          <w:highlight w:val="none"/>
          <w14:textFill>
            <w14:solidFill>
              <w14:schemeClr w14:val="tx1"/>
            </w14:solidFill>
          </w14:textFill>
        </w:rPr>
        <w:t>错漏项的认定。中标人已标价工程量清单中，任一清单项目未填报价格或价格为零的，视为错漏项。</w:t>
      </w:r>
    </w:p>
    <w:p w14:paraId="3A357F91">
      <w:pPr>
        <w:keepNext w:val="0"/>
        <w:keepLines w:val="0"/>
        <w:pageBreakBefore w:val="0"/>
        <w:wordWrap w:val="0"/>
        <w:overflowPunct/>
        <w:topLinePunct w:val="0"/>
        <w:bidi w:val="0"/>
        <w:spacing w:before="121" w:line="360" w:lineRule="auto"/>
        <w:ind w:firstLine="482"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4.2.4  </w:t>
      </w:r>
      <w:r>
        <w:rPr>
          <w:rFonts w:hint="eastAsia" w:ascii="宋体" w:hAnsi="宋体" w:eastAsia="宋体" w:cs="宋体"/>
          <w:color w:val="000000" w:themeColor="text1"/>
          <w:spacing w:val="0"/>
          <w:sz w:val="24"/>
          <w:szCs w:val="24"/>
          <w:highlight w:val="none"/>
          <w14:textFill>
            <w14:solidFill>
              <w14:schemeClr w14:val="tx1"/>
            </w14:solidFill>
          </w14:textFill>
        </w:rPr>
        <w:t>不平衡报价的认定。经修正算术性错误后的中标人已标价工程量清单中，</w:t>
      </w:r>
      <w:r>
        <w:rPr>
          <w:rFonts w:hint="eastAsia" w:ascii="宋体" w:hAnsi="宋体" w:eastAsia="宋体" w:cs="宋体"/>
          <w:color w:val="000000" w:themeColor="text1"/>
          <w:spacing w:val="0"/>
          <w:sz w:val="24"/>
          <w:szCs w:val="24"/>
          <w:highlight w:val="none"/>
          <w:u w:val="single"/>
          <w14:textFill>
            <w14:solidFill>
              <w14:schemeClr w14:val="tx1"/>
            </w14:solidFill>
          </w14:textFill>
        </w:rPr>
        <w:t>对于投标报价中综合单价相对</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最高投标限价</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《分部分项工程和单价措施项目清单与计价表》中对应综合单价的偏差大于±15% </w:t>
      </w:r>
      <w:r>
        <w:rPr>
          <w:rFonts w:hint="eastAsia" w:ascii="宋体" w:hAnsi="宋体" w:eastAsia="宋体" w:cs="宋体"/>
          <w:color w:val="000000" w:themeColor="text1"/>
          <w:spacing w:val="0"/>
          <w:sz w:val="24"/>
          <w:szCs w:val="24"/>
          <w:highlight w:val="none"/>
          <w:u w:val="none"/>
          <w14:textFill>
            <w14:solidFill>
              <w14:schemeClr w14:val="tx1"/>
            </w14:solidFill>
          </w14:textFill>
        </w:rPr>
        <w:t>的清单项目</w:t>
      </w:r>
      <w:r>
        <w:rPr>
          <w:rFonts w:hint="eastAsia" w:ascii="宋体" w:hAnsi="宋体" w:eastAsia="宋体" w:cs="宋体"/>
          <w:color w:val="000000" w:themeColor="text1"/>
          <w:spacing w:val="0"/>
          <w:sz w:val="24"/>
          <w:szCs w:val="24"/>
          <w:highlight w:val="none"/>
          <w14:textFill>
            <w14:solidFill>
              <w14:schemeClr w14:val="tx1"/>
            </w14:solidFill>
          </w14:textFill>
        </w:rPr>
        <w:t>，视为不平衡报价项目。</w:t>
      </w:r>
    </w:p>
    <w:p w14:paraId="59BB732F">
      <w:pPr>
        <w:keepNext w:val="0"/>
        <w:keepLines w:val="0"/>
        <w:pageBreakBefore w:val="0"/>
        <w:wordWrap w:val="0"/>
        <w:overflowPunct/>
        <w:topLinePunct w:val="0"/>
        <w:bidi w:val="0"/>
        <w:spacing w:before="146" w:line="330" w:lineRule="auto"/>
        <w:ind w:left="10" w:right="65" w:firstLine="478"/>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4.2.5 </w:t>
      </w:r>
      <w:r>
        <w:rPr>
          <w:rFonts w:hint="eastAsia" w:ascii="宋体" w:hAnsi="宋体" w:eastAsia="宋体" w:cs="宋体"/>
          <w:color w:val="000000" w:themeColor="text1"/>
          <w:spacing w:val="0"/>
          <w:sz w:val="24"/>
          <w:szCs w:val="24"/>
          <w:highlight w:val="none"/>
          <w14:textFill>
            <w14:solidFill>
              <w14:schemeClr w14:val="tx1"/>
            </w14:solidFill>
          </w14:textFill>
        </w:rPr>
        <w:t>施工合同签订前，招标人或其授权的造价咨询单位应就发现的以上所有不平衡报价进行修正，形成《不平衡报价修正报告》，并由招标人和中标人共同签章确认，构成施工合同的组成部分。</w:t>
      </w:r>
    </w:p>
    <w:p w14:paraId="1B35F881">
      <w:pPr>
        <w:keepNext w:val="0"/>
        <w:keepLines w:val="0"/>
        <w:pageBreakBefore w:val="0"/>
        <w:wordWrap w:val="0"/>
        <w:overflowPunct/>
        <w:topLinePunct w:val="0"/>
        <w:bidi w:val="0"/>
        <w:spacing w:before="34" w:line="326" w:lineRule="auto"/>
        <w:ind w:left="12" w:right="65" w:firstLine="47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4.2.6 合同履行过程中，被认定为错漏项的清单项目，结算时按照第三章“拟签订合同的主要条款</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”规定处理。</w:t>
      </w:r>
    </w:p>
    <w:p w14:paraId="0A0FE849">
      <w:pPr>
        <w:keepNext w:val="0"/>
        <w:keepLines w:val="0"/>
        <w:pageBreakBefore w:val="0"/>
        <w:wordWrap w:val="0"/>
        <w:overflowPunct/>
        <w:topLinePunct w:val="0"/>
        <w:bidi w:val="0"/>
        <w:spacing w:before="33" w:line="317" w:lineRule="auto"/>
        <w:ind w:left="12" w:right="38" w:firstLine="476"/>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4.2.7  合同履行过程中，合同约定的调整因素（如工程量偏差、工程变更、项目特征不符、招标工程量清单缺项等）出现时，被认定为不平衡报价的清单项目以及采用被认定为不平衡报价的清单项目的价格作为取价（或参照取价）依据的变更、新增项目，</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按照第三章“拟签订合同的主要条款</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”有关规定调整合同价款。</w:t>
      </w:r>
    </w:p>
    <w:p w14:paraId="4C2BA967">
      <w:pPr>
        <w:keepNext w:val="0"/>
        <w:keepLines w:val="0"/>
        <w:pageBreakBefore w:val="0"/>
        <w:wordWrap w:val="0"/>
        <w:overflowPunct/>
        <w:topLinePunct w:val="0"/>
        <w:bidi w:val="0"/>
        <w:spacing w:before="87" w:line="276" w:lineRule="auto"/>
        <w:ind w:left="48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4.3  </w:t>
      </w:r>
      <w:r>
        <w:rPr>
          <w:rFonts w:hint="eastAsia" w:ascii="宋体" w:hAnsi="宋体" w:eastAsia="宋体" w:cs="宋体"/>
          <w:color w:val="000000" w:themeColor="text1"/>
          <w:spacing w:val="0"/>
          <w:sz w:val="24"/>
          <w:szCs w:val="24"/>
          <w:highlight w:val="none"/>
          <w14:textFill>
            <w14:solidFill>
              <w14:schemeClr w14:val="tx1"/>
            </w14:solidFill>
          </w14:textFill>
        </w:rPr>
        <w:t>本招标项目合同计价方式为：</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单价 </w:t>
      </w:r>
      <w:r>
        <w:rPr>
          <w:rFonts w:hint="eastAsia" w:ascii="宋体" w:hAnsi="宋体" w:eastAsia="宋体" w:cs="宋体"/>
          <w:color w:val="000000" w:themeColor="text1"/>
          <w:spacing w:val="0"/>
          <w:sz w:val="24"/>
          <w:szCs w:val="24"/>
          <w:highlight w:val="none"/>
          <w14:textFill>
            <w14:solidFill>
              <w14:schemeClr w14:val="tx1"/>
            </w14:solidFill>
          </w14:textFill>
        </w:rPr>
        <w:t>合同。</w:t>
      </w:r>
    </w:p>
    <w:p w14:paraId="7AD8D0F4">
      <w:pPr>
        <w:keepNext w:val="0"/>
        <w:keepLines w:val="0"/>
        <w:pageBreakBefore w:val="0"/>
        <w:wordWrap w:val="0"/>
        <w:overflowPunct/>
        <w:topLinePunct w:val="0"/>
        <w:bidi w:val="0"/>
        <w:spacing w:before="120" w:line="298" w:lineRule="auto"/>
        <w:ind w:left="11" w:right="28"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4.4  </w:t>
      </w:r>
      <w:r>
        <w:rPr>
          <w:rFonts w:hint="eastAsia" w:ascii="宋体" w:hAnsi="宋体" w:eastAsia="宋体" w:cs="宋体"/>
          <w:color w:val="000000" w:themeColor="text1"/>
          <w:spacing w:val="0"/>
          <w:sz w:val="24"/>
          <w:szCs w:val="24"/>
          <w:highlight w:val="none"/>
          <w14:textFill>
            <w14:solidFill>
              <w14:schemeClr w14:val="tx1"/>
            </w14:solidFill>
          </w14:textFill>
        </w:rPr>
        <w:t>合同的标的、质量、履行期限条款和合同的价款、单价、比例条款等主要条款，应当与招标文件、中标人的投标文件的内容一致。中标人在签订合同时不得向招标人提出附加条件。</w:t>
      </w:r>
    </w:p>
    <w:p w14:paraId="77C16957">
      <w:pPr>
        <w:keepNext w:val="0"/>
        <w:keepLines w:val="0"/>
        <w:pageBreakBefore w:val="0"/>
        <w:wordWrap w:val="0"/>
        <w:overflowPunct/>
        <w:topLinePunct w:val="0"/>
        <w:bidi w:val="0"/>
        <w:spacing w:before="150" w:line="319" w:lineRule="auto"/>
        <w:ind w:left="12" w:right="91"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4.5  若中标人在领取中标通知书之日起 30 天内仍未签订合同，招标人发出第一次提醒函；在领取中标通知书之日起 40 天内仍未签订，招标人发出第二次提醒函；在领取中标通知书之日起 45 天内仍未签订，视其放弃中标。</w:t>
      </w:r>
    </w:p>
    <w:p w14:paraId="3235BDE2">
      <w:pPr>
        <w:keepNext w:val="0"/>
        <w:keepLines w:val="0"/>
        <w:pageBreakBefore w:val="0"/>
        <w:wordWrap w:val="0"/>
        <w:overflowPunct/>
        <w:topLinePunct w:val="0"/>
        <w:bidi w:val="0"/>
        <w:spacing w:before="150" w:line="319" w:lineRule="auto"/>
        <w:ind w:left="12" w:right="91"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4.6  在书面合同订立之日起 2 个工作日内，由中标人或招标代理机构将合同上传至建设工程交易系统，并发起退还投标保证的申请。韶关市公共资源交易中心在收到申请之日起 3 个工作日内，将投标保证金（或银行保函）退还给中标人和其他中标候选人。</w:t>
      </w:r>
    </w:p>
    <w:p w14:paraId="1D51752E">
      <w:pPr>
        <w:keepNext w:val="0"/>
        <w:keepLines w:val="0"/>
        <w:pageBreakBefore w:val="0"/>
        <w:wordWrap w:val="0"/>
        <w:overflowPunct/>
        <w:topLinePunct w:val="0"/>
        <w:bidi w:val="0"/>
        <w:spacing w:before="78" w:line="220" w:lineRule="auto"/>
        <w:ind w:left="489"/>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57" w:name="_Toc19471"/>
      <w:r>
        <w:rPr>
          <w:rFonts w:hint="eastAsia" w:ascii="宋体" w:hAnsi="宋体" w:eastAsia="宋体" w:cs="宋体"/>
          <w:b/>
          <w:bCs/>
          <w:color w:val="000000" w:themeColor="text1"/>
          <w:spacing w:val="0"/>
          <w:sz w:val="24"/>
          <w:szCs w:val="24"/>
          <w:highlight w:val="none"/>
          <w14:textFill>
            <w14:solidFill>
              <w14:schemeClr w14:val="tx1"/>
            </w14:solidFill>
          </w14:textFill>
        </w:rPr>
        <w:t>5 ．放弃中标的处理</w:t>
      </w:r>
      <w:bookmarkEnd w:id="157"/>
    </w:p>
    <w:p w14:paraId="18C72D34">
      <w:pPr>
        <w:keepNext w:val="0"/>
        <w:keepLines w:val="0"/>
        <w:pageBreakBefore w:val="0"/>
        <w:wordWrap w:val="0"/>
        <w:overflowPunct/>
        <w:topLinePunct w:val="0"/>
        <w:bidi w:val="0"/>
        <w:spacing w:before="150" w:line="319" w:lineRule="auto"/>
        <w:ind w:left="12" w:right="91" w:firstLine="477"/>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5.1</w:t>
      </w:r>
      <w:r>
        <w:rPr>
          <w:rFonts w:hint="eastAsia" w:ascii="宋体" w:hAnsi="宋体" w:eastAsia="宋体" w:cs="宋体"/>
          <w:b/>
          <w:bCs/>
          <w:color w:val="000000" w:themeColor="text1"/>
          <w:spacing w:val="0"/>
          <w:w w:val="10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中标人无正当理由放弃中标的，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 招标人重新招标的，招标人可不接受该弃标人再次投标。同时，</w:t>
      </w:r>
      <w:r>
        <w:rPr>
          <w:rFonts w:hint="eastAsia" w:ascii="宋体" w:hAnsi="宋体" w:eastAsia="宋体" w:cs="宋体"/>
          <w:b/>
          <w:bCs/>
          <w:color w:val="000000" w:themeColor="text1"/>
          <w:spacing w:val="0"/>
          <w:sz w:val="24"/>
          <w:szCs w:val="24"/>
          <w:highlight w:val="none"/>
          <w14:textFill>
            <w14:solidFill>
              <w14:schemeClr w14:val="tx1"/>
            </w14:solidFill>
          </w14:textFill>
        </w:rPr>
        <w:t>招标人应将该弃标人的失信行为向行政监督部门报告。</w:t>
      </w:r>
    </w:p>
    <w:p w14:paraId="0C97F14D">
      <w:pPr>
        <w:keepNext w:val="0"/>
        <w:keepLines w:val="0"/>
        <w:pageBreakBefore w:val="0"/>
        <w:wordWrap w:val="0"/>
        <w:overflowPunct/>
        <w:topLinePunct w:val="0"/>
        <w:bidi w:val="0"/>
        <w:spacing w:before="79" w:line="298" w:lineRule="auto"/>
        <w:ind w:left="10" w:right="91" w:firstLine="47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5.2  </w:t>
      </w:r>
      <w:r>
        <w:rPr>
          <w:rFonts w:hint="eastAsia" w:ascii="宋体" w:hAnsi="宋体" w:eastAsia="宋体" w:cs="宋体"/>
          <w:color w:val="000000" w:themeColor="text1"/>
          <w:spacing w:val="0"/>
          <w:sz w:val="24"/>
          <w:szCs w:val="24"/>
          <w:highlight w:val="none"/>
          <w14:textFill>
            <w14:solidFill>
              <w14:schemeClr w14:val="tx1"/>
            </w14:solidFill>
          </w14:textFill>
        </w:rPr>
        <w:t>中标人因不可抗力提出不能履行合同的，须在领取中标通知书之日起 10 天内提供有关证明文件或资料，其投标保证予以退还，招标人可按照评标委员会提出的中标候选人名单排序依次确定其他中标候选人为中标人。如果招标人认为其他中标候选人的条</w:t>
      </w:r>
      <w:bookmarkStart w:id="158" w:name="bookmark84"/>
      <w:bookmarkEnd w:id="158"/>
      <w:r>
        <w:rPr>
          <w:rFonts w:hint="eastAsia" w:ascii="宋体" w:hAnsi="宋体" w:eastAsia="宋体" w:cs="宋体"/>
          <w:color w:val="000000" w:themeColor="text1"/>
          <w:spacing w:val="0"/>
          <w:sz w:val="24"/>
          <w:szCs w:val="24"/>
          <w:highlight w:val="none"/>
          <w14:textFill>
            <w14:solidFill>
              <w14:schemeClr w14:val="tx1"/>
            </w14:solidFill>
          </w14:textFill>
        </w:rPr>
        <w:t>件明显不利于招标人的，也可以重新招标。</w:t>
      </w:r>
    </w:p>
    <w:p w14:paraId="5D2715B3">
      <w:pPr>
        <w:pStyle w:val="13"/>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p w14:paraId="1D167E59">
      <w:pPr>
        <w:pStyle w:val="13"/>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3622B001">
      <w:pPr>
        <w:keepNext w:val="0"/>
        <w:keepLines w:val="0"/>
        <w:pageBreakBefore w:val="0"/>
        <w:wordWrap w:val="0"/>
        <w:overflowPunct/>
        <w:topLinePunct w:val="0"/>
        <w:bidi w:val="0"/>
        <w:spacing w:before="78" w:line="219" w:lineRule="auto"/>
        <w:ind w:left="2923"/>
        <w:outlineLvl w:val="0"/>
        <w:rPr>
          <w:rFonts w:hint="eastAsia" w:ascii="宋体" w:hAnsi="宋体" w:eastAsia="宋体" w:cs="宋体"/>
          <w:color w:val="000000" w:themeColor="text1"/>
          <w:spacing w:val="0"/>
          <w:sz w:val="24"/>
          <w:szCs w:val="24"/>
          <w:highlight w:val="none"/>
          <w14:textFill>
            <w14:solidFill>
              <w14:schemeClr w14:val="tx1"/>
            </w14:solidFill>
          </w14:textFill>
        </w:rPr>
      </w:pPr>
      <w:bookmarkStart w:id="159" w:name="bookmark86"/>
      <w:bookmarkEnd w:id="159"/>
      <w:bookmarkStart w:id="160" w:name="_Toc20767"/>
      <w:r>
        <w:rPr>
          <w:rFonts w:hint="eastAsia" w:ascii="宋体" w:hAnsi="宋体" w:eastAsia="宋体" w:cs="宋体"/>
          <w:b/>
          <w:bCs/>
          <w:color w:val="000000" w:themeColor="text1"/>
          <w:spacing w:val="0"/>
          <w:sz w:val="24"/>
          <w:szCs w:val="24"/>
          <w:highlight w:val="none"/>
          <w14:textFill>
            <w14:solidFill>
              <w14:schemeClr w14:val="tx1"/>
            </w14:solidFill>
          </w14:textFill>
        </w:rPr>
        <w:t>第三章</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拟签订合同的主要条款</w:t>
      </w:r>
      <w:bookmarkEnd w:id="160"/>
    </w:p>
    <w:p w14:paraId="0B04D162">
      <w:pPr>
        <w:pStyle w:val="5"/>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0B370127">
      <w:pPr>
        <w:pStyle w:val="5"/>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6F61A5A1">
      <w:pPr>
        <w:keepNext w:val="0"/>
        <w:keepLines w:val="0"/>
        <w:pageBreakBefore w:val="0"/>
        <w:wordWrap w:val="0"/>
        <w:overflowPunct/>
        <w:topLinePunct w:val="0"/>
        <w:bidi w:val="0"/>
        <w:spacing w:before="78" w:line="220" w:lineRule="auto"/>
        <w:ind w:left="498"/>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61" w:name="_Toc9163"/>
      <w:r>
        <w:rPr>
          <w:rFonts w:hint="eastAsia" w:ascii="宋体" w:hAnsi="宋体" w:eastAsia="宋体" w:cs="宋体"/>
          <w:b/>
          <w:bCs/>
          <w:color w:val="000000" w:themeColor="text1"/>
          <w:spacing w:val="0"/>
          <w:sz w:val="24"/>
          <w:szCs w:val="24"/>
          <w:highlight w:val="none"/>
          <w14:textFill>
            <w14:solidFill>
              <w14:schemeClr w14:val="tx1"/>
            </w14:solidFill>
          </w14:textFill>
        </w:rPr>
        <w:t>1 ．工程承包方式</w:t>
      </w:r>
      <w:bookmarkEnd w:id="161"/>
    </w:p>
    <w:p w14:paraId="68DBE4BA">
      <w:pPr>
        <w:keepNext w:val="0"/>
        <w:keepLines w:val="0"/>
        <w:pageBreakBefore w:val="0"/>
        <w:wordWrap w:val="0"/>
        <w:overflowPunct/>
        <w:topLinePunct w:val="0"/>
        <w:bidi w:val="0"/>
        <w:spacing w:before="153" w:line="299" w:lineRule="auto"/>
        <w:ind w:left="11" w:right="295" w:firstLine="48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  </w:t>
      </w:r>
      <w:r>
        <w:rPr>
          <w:rFonts w:hint="eastAsia" w:ascii="宋体" w:hAnsi="宋体" w:eastAsia="宋体" w:cs="宋体"/>
          <w:color w:val="000000" w:themeColor="text1"/>
          <w:spacing w:val="0"/>
          <w:sz w:val="24"/>
          <w:szCs w:val="24"/>
          <w:highlight w:val="none"/>
          <w14:textFill>
            <w14:solidFill>
              <w14:schemeClr w14:val="tx1"/>
            </w14:solidFill>
          </w14:textFill>
        </w:rPr>
        <w:t>承包人以中标价按包工包料、包质量、包安全包文明施工、包工期方式总承包施工，不允许转包和违法分包，如果承包人将建设工程转包或违法分包，发包人可以解除合同</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给发包人造成的损失由承包人承担</w:t>
      </w:r>
      <w:r>
        <w:rPr>
          <w:rFonts w:hint="eastAsia" w:ascii="宋体" w:hAnsi="宋体" w:eastAsia="宋体" w:cs="宋体"/>
          <w:color w:val="000000" w:themeColor="text1"/>
          <w:spacing w:val="0"/>
          <w:sz w:val="24"/>
          <w:szCs w:val="24"/>
          <w:highlight w:val="none"/>
          <w14:textFill>
            <w14:solidFill>
              <w14:schemeClr w14:val="tx1"/>
            </w14:solidFill>
          </w14:textFill>
        </w:rPr>
        <w:t>。如果确需分包须与发包人协商，在得到发包人和监理单位同意后报建设行政主管部门备案。</w:t>
      </w:r>
    </w:p>
    <w:p w14:paraId="1A7AD95C">
      <w:pPr>
        <w:keepNext w:val="0"/>
        <w:keepLines w:val="0"/>
        <w:pageBreakBefore w:val="0"/>
        <w:wordWrap w:val="0"/>
        <w:overflowPunct/>
        <w:topLinePunct w:val="0"/>
        <w:bidi w:val="0"/>
        <w:spacing w:before="153" w:line="219" w:lineRule="auto"/>
        <w:ind w:left="5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1.1.1  </w:t>
      </w:r>
      <w:r>
        <w:rPr>
          <w:rFonts w:hint="eastAsia" w:ascii="宋体" w:hAnsi="宋体" w:eastAsia="宋体" w:cs="宋体"/>
          <w:color w:val="000000" w:themeColor="text1"/>
          <w:spacing w:val="0"/>
          <w:sz w:val="24"/>
          <w:szCs w:val="24"/>
          <w:highlight w:val="none"/>
          <w14:textFill>
            <w14:solidFill>
              <w14:schemeClr w14:val="tx1"/>
            </w14:solidFill>
          </w14:textFill>
        </w:rPr>
        <w:t>包工包料：材料符合招标文件要求并报验使用；办理用工保险。</w:t>
      </w:r>
    </w:p>
    <w:p w14:paraId="6D255FC4">
      <w:pPr>
        <w:keepNext w:val="0"/>
        <w:keepLines w:val="0"/>
        <w:pageBreakBefore w:val="0"/>
        <w:wordWrap w:val="0"/>
        <w:overflowPunct/>
        <w:topLinePunct w:val="0"/>
        <w:bidi w:val="0"/>
        <w:spacing w:before="156" w:line="220" w:lineRule="auto"/>
        <w:ind w:left="5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1.1.2  </w:t>
      </w:r>
      <w:r>
        <w:rPr>
          <w:rFonts w:hint="eastAsia" w:ascii="宋体" w:hAnsi="宋体" w:eastAsia="宋体" w:cs="宋体"/>
          <w:color w:val="000000" w:themeColor="text1"/>
          <w:spacing w:val="0"/>
          <w:sz w:val="24"/>
          <w:szCs w:val="24"/>
          <w:highlight w:val="none"/>
          <w14:textFill>
            <w14:solidFill>
              <w14:schemeClr w14:val="tx1"/>
            </w14:solidFill>
          </w14:textFill>
        </w:rPr>
        <w:t>包质量：符合招标文件要求。</w:t>
      </w:r>
    </w:p>
    <w:p w14:paraId="7B161543">
      <w:pPr>
        <w:keepNext w:val="0"/>
        <w:keepLines w:val="0"/>
        <w:pageBreakBefore w:val="0"/>
        <w:wordWrap w:val="0"/>
        <w:overflowPunct/>
        <w:topLinePunct w:val="0"/>
        <w:bidi w:val="0"/>
        <w:spacing w:before="153" w:line="220" w:lineRule="auto"/>
        <w:ind w:left="5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1.1.3  </w:t>
      </w:r>
      <w:r>
        <w:rPr>
          <w:rFonts w:hint="eastAsia" w:ascii="宋体" w:hAnsi="宋体" w:eastAsia="宋体" w:cs="宋体"/>
          <w:color w:val="000000" w:themeColor="text1"/>
          <w:spacing w:val="0"/>
          <w:sz w:val="24"/>
          <w:szCs w:val="24"/>
          <w:highlight w:val="none"/>
          <w14:textFill>
            <w14:solidFill>
              <w14:schemeClr w14:val="tx1"/>
            </w14:solidFill>
          </w14:textFill>
        </w:rPr>
        <w:t>包安全包文明施工：符合招标文件要求。</w:t>
      </w:r>
    </w:p>
    <w:p w14:paraId="41E26BE4">
      <w:pPr>
        <w:keepNext w:val="0"/>
        <w:keepLines w:val="0"/>
        <w:pageBreakBefore w:val="0"/>
        <w:wordWrap w:val="0"/>
        <w:overflowPunct/>
        <w:topLinePunct w:val="0"/>
        <w:bidi w:val="0"/>
        <w:spacing w:before="154" w:line="219" w:lineRule="auto"/>
        <w:ind w:left="5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1.1.4  </w:t>
      </w:r>
      <w:r>
        <w:rPr>
          <w:rFonts w:hint="eastAsia" w:ascii="宋体" w:hAnsi="宋体" w:eastAsia="宋体" w:cs="宋体"/>
          <w:color w:val="000000" w:themeColor="text1"/>
          <w:spacing w:val="0"/>
          <w:sz w:val="24"/>
          <w:szCs w:val="24"/>
          <w:highlight w:val="none"/>
          <w14:textFill>
            <w14:solidFill>
              <w14:schemeClr w14:val="tx1"/>
            </w14:solidFill>
          </w14:textFill>
        </w:rPr>
        <w:t>包工期：本招标项目施工必须在招标工期内完成。</w:t>
      </w:r>
    </w:p>
    <w:p w14:paraId="55262A8D">
      <w:pPr>
        <w:keepNext w:val="0"/>
        <w:keepLines w:val="0"/>
        <w:pageBreakBefore w:val="0"/>
        <w:wordWrap w:val="0"/>
        <w:overflowPunct/>
        <w:topLinePunct w:val="0"/>
        <w:bidi w:val="0"/>
        <w:spacing w:before="154" w:line="360" w:lineRule="auto"/>
        <w:ind w:left="0" w:leftChars="0" w:firstLine="482" w:firstLineChars="200"/>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1.2 项目中标后，中标人须配建一定比例的公益项目，并在签订施工合同前，先行签订公益项目捐建协议。</w:t>
      </w:r>
    </w:p>
    <w:p w14:paraId="5E683A9A">
      <w:pPr>
        <w:keepNext w:val="0"/>
        <w:keepLines w:val="0"/>
        <w:pageBreakBefore w:val="0"/>
        <w:wordWrap w:val="0"/>
        <w:overflowPunct/>
        <w:topLinePunct w:val="0"/>
        <w:bidi w:val="0"/>
        <w:spacing w:before="78" w:line="220" w:lineRule="auto"/>
        <w:ind w:left="488"/>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62" w:name="bookmark88"/>
      <w:bookmarkEnd w:id="162"/>
      <w:bookmarkStart w:id="163" w:name="_Toc4193"/>
      <w:r>
        <w:rPr>
          <w:rFonts w:hint="eastAsia" w:ascii="宋体" w:hAnsi="宋体" w:eastAsia="宋体" w:cs="宋体"/>
          <w:b/>
          <w:bCs/>
          <w:color w:val="000000" w:themeColor="text1"/>
          <w:spacing w:val="0"/>
          <w:sz w:val="24"/>
          <w:szCs w:val="24"/>
          <w:highlight w:val="none"/>
          <w14:textFill>
            <w14:solidFill>
              <w14:schemeClr w14:val="tx1"/>
            </w14:solidFill>
          </w14:textFill>
        </w:rPr>
        <w:t>2 ．工程结算原则</w:t>
      </w:r>
      <w:bookmarkEnd w:id="163"/>
    </w:p>
    <w:p w14:paraId="047D1E9F">
      <w:pPr>
        <w:keepNext w:val="0"/>
        <w:keepLines w:val="0"/>
        <w:pageBreakBefore w:val="0"/>
        <w:wordWrap w:val="0"/>
        <w:overflowPunct/>
        <w:topLinePunct w:val="0"/>
        <w:bidi w:val="0"/>
        <w:spacing w:before="153" w:line="219" w:lineRule="auto"/>
        <w:ind w:left="48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2.1 </w:t>
      </w:r>
      <w:r>
        <w:rPr>
          <w:rFonts w:hint="eastAsia" w:ascii="宋体" w:hAnsi="宋体" w:eastAsia="宋体" w:cs="宋体"/>
          <w:color w:val="000000" w:themeColor="text1"/>
          <w:spacing w:val="0"/>
          <w:sz w:val="24"/>
          <w:szCs w:val="24"/>
          <w:highlight w:val="none"/>
          <w14:textFill>
            <w14:solidFill>
              <w14:schemeClr w14:val="tx1"/>
            </w14:solidFill>
          </w14:textFill>
        </w:rPr>
        <w:t>承包人的投标总价为中标价，即为签约合同价。</w:t>
      </w:r>
    </w:p>
    <w:p w14:paraId="7FAD113F">
      <w:pPr>
        <w:keepNext w:val="0"/>
        <w:keepLines w:val="0"/>
        <w:pageBreakBefore w:val="0"/>
        <w:wordWrap w:val="0"/>
        <w:overflowPunct/>
        <w:topLinePunct w:val="0"/>
        <w:bidi w:val="0"/>
        <w:spacing w:before="155" w:line="319" w:lineRule="auto"/>
        <w:ind w:left="12" w:right="231"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2.2 </w:t>
      </w:r>
      <w:r>
        <w:rPr>
          <w:rFonts w:hint="eastAsia" w:ascii="宋体" w:hAnsi="宋体" w:eastAsia="宋体" w:cs="宋体"/>
          <w:color w:val="000000" w:themeColor="text1"/>
          <w:spacing w:val="0"/>
          <w:sz w:val="24"/>
          <w:szCs w:val="24"/>
          <w:highlight w:val="none"/>
          <w14:textFill>
            <w14:solidFill>
              <w14:schemeClr w14:val="tx1"/>
            </w14:solidFill>
          </w14:textFill>
        </w:rPr>
        <w:t>招标工程量清单标明的工程量是投标人投标报价的共同基础，竣工结算的工程量按</w:t>
      </w:r>
      <w:bookmarkStart w:id="164" w:name="OLE_LINK28"/>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建设工程工程量清单计价标准</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GB/T50500-2024</w:t>
      </w:r>
      <w:r>
        <w:rPr>
          <w:rFonts w:hint="eastAsia" w:ascii="宋体" w:hAnsi="宋体" w:eastAsia="宋体" w:cs="宋体"/>
          <w:color w:val="000000" w:themeColor="text1"/>
          <w:spacing w:val="0"/>
          <w:sz w:val="24"/>
          <w:szCs w:val="24"/>
          <w:highlight w:val="none"/>
          <w14:textFill>
            <w14:solidFill>
              <w14:schemeClr w14:val="tx1"/>
            </w14:solidFill>
          </w14:textFill>
        </w:rPr>
        <w:t>）对工程计量的规定进行计量，必须以承包人完成合同工程应予计量的工程量确定。施</w:t>
      </w:r>
      <w:bookmarkEnd w:id="164"/>
      <w:r>
        <w:rPr>
          <w:rFonts w:hint="eastAsia" w:ascii="宋体" w:hAnsi="宋体" w:eastAsia="宋体" w:cs="宋体"/>
          <w:color w:val="000000" w:themeColor="text1"/>
          <w:spacing w:val="0"/>
          <w:sz w:val="24"/>
          <w:szCs w:val="24"/>
          <w:highlight w:val="none"/>
          <w14:textFill>
            <w14:solidFill>
              <w14:schemeClr w14:val="tx1"/>
            </w14:solidFill>
          </w14:textFill>
        </w:rPr>
        <w:t>工中进行工程计量，当发现招标工程量清单中出现缺项、工程量偏差、或因工程变更引起工程量增减时，应按承包人在履行合同义务中完成的工程量计算。因承包人原因造成的超出合同工程范围施工或返工的工程量，发包人不予计量。</w:t>
      </w:r>
    </w:p>
    <w:p w14:paraId="0EBA0169">
      <w:pPr>
        <w:keepNext w:val="0"/>
        <w:keepLines w:val="0"/>
        <w:pageBreakBefore w:val="0"/>
        <w:wordWrap w:val="0"/>
        <w:overflowPunct/>
        <w:topLinePunct w:val="0"/>
        <w:bidi w:val="0"/>
        <w:spacing w:before="38" w:line="299" w:lineRule="auto"/>
        <w:ind w:left="12" w:right="183" w:firstLine="47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  </w:t>
      </w:r>
      <w:r>
        <w:rPr>
          <w:rFonts w:hint="eastAsia" w:ascii="宋体" w:hAnsi="宋体" w:eastAsia="宋体" w:cs="宋体"/>
          <w:color w:val="000000" w:themeColor="text1"/>
          <w:spacing w:val="0"/>
          <w:sz w:val="24"/>
          <w:szCs w:val="24"/>
          <w:highlight w:val="none"/>
          <w14:textFill>
            <w14:solidFill>
              <w14:schemeClr w14:val="tx1"/>
            </w14:solidFill>
          </w14:textFill>
        </w:rPr>
        <w:t>施工合同履行期间，若出现下列情形的，发、承包双方应当按照以下规定调整合同价款：</w:t>
      </w:r>
    </w:p>
    <w:p w14:paraId="28C07B92">
      <w:pPr>
        <w:keepNext w:val="0"/>
        <w:keepLines w:val="0"/>
        <w:pageBreakBefore w:val="0"/>
        <w:wordWrap w:val="0"/>
        <w:overflowPunct/>
        <w:topLinePunct w:val="0"/>
        <w:bidi w:val="0"/>
        <w:spacing w:before="227" w:line="220" w:lineRule="auto"/>
        <w:ind w:left="48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2.3.1  </w:t>
      </w:r>
      <w:r>
        <w:rPr>
          <w:rFonts w:hint="eastAsia" w:ascii="宋体" w:hAnsi="宋体" w:eastAsia="宋体" w:cs="宋体"/>
          <w:color w:val="000000" w:themeColor="text1"/>
          <w:spacing w:val="0"/>
          <w:sz w:val="24"/>
          <w:szCs w:val="24"/>
          <w:highlight w:val="none"/>
          <w14:textFill>
            <w14:solidFill>
              <w14:schemeClr w14:val="tx1"/>
            </w14:solidFill>
          </w14:textFill>
        </w:rPr>
        <w:t>法律法规变化</w:t>
      </w:r>
    </w:p>
    <w:p w14:paraId="6BF5F2D0">
      <w:pPr>
        <w:keepNext w:val="0"/>
        <w:keepLines w:val="0"/>
        <w:pageBreakBefore w:val="0"/>
        <w:wordWrap w:val="0"/>
        <w:overflowPunct/>
        <w:topLinePunct w:val="0"/>
        <w:bidi w:val="0"/>
        <w:spacing w:before="156" w:line="298" w:lineRule="auto"/>
        <w:ind w:left="10" w:right="183"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spacing w:val="0"/>
          <w:sz w:val="24"/>
          <w:szCs w:val="24"/>
          <w:highlight w:val="none"/>
          <w14:textFill>
            <w14:solidFill>
              <w14:schemeClr w14:val="tx1"/>
            </w14:solidFill>
          </w14:textFill>
        </w:rPr>
        <w:instrText xml:space="preserve"> HYPERLINK "2.3.1.1" </w:instrTex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2.3.1.1</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0"/>
          <w:sz w:val="24"/>
          <w:szCs w:val="24"/>
          <w:highlight w:val="none"/>
          <w14:textFill>
            <w14:solidFill>
              <w14:schemeClr w14:val="tx1"/>
            </w14:solidFill>
          </w14:textFill>
        </w:rPr>
        <w:t xml:space="preserve">  基准日之后，因国家法律、法规、规章和政策发生变化引起工程造价增减变化时，发、承包双方应按照省级建设主管部门（或省级行业主管部门）或其授权的工程造价管理机构据此发布的最新规定调整合同价款。</w:t>
      </w:r>
    </w:p>
    <w:p w14:paraId="3215BC69">
      <w:pPr>
        <w:keepNext w:val="0"/>
        <w:keepLines w:val="0"/>
        <w:pageBreakBefore w:val="0"/>
        <w:wordWrap w:val="0"/>
        <w:overflowPunct/>
        <w:topLinePunct w:val="0"/>
        <w:bidi w:val="0"/>
        <w:spacing w:before="157" w:line="325" w:lineRule="auto"/>
        <w:ind w:left="12" w:right="183" w:firstLine="47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注：本招标文件所称“基准日</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”，均指投标文件递交截止时间（见第一章第二节“重要事项时间地点一览表</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”）前</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28 天。</w:t>
      </w:r>
    </w:p>
    <w:p w14:paraId="5B8E95D2">
      <w:pPr>
        <w:keepNext w:val="0"/>
        <w:keepLines w:val="0"/>
        <w:pageBreakBefore w:val="0"/>
        <w:wordWrap w:val="0"/>
        <w:overflowPunct/>
        <w:topLinePunct w:val="0"/>
        <w:bidi w:val="0"/>
        <w:spacing w:before="33" w:line="299" w:lineRule="auto"/>
        <w:ind w:left="11"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"2.3.1.2"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2.3.1.2</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因承包人原因导致工程延误，本章第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2.3.1.1 </w:t>
      </w:r>
      <w:r>
        <w:rPr>
          <w:rFonts w:hint="eastAsia" w:ascii="宋体" w:hAnsi="宋体" w:eastAsia="宋体" w:cs="宋体"/>
          <w:color w:val="000000" w:themeColor="text1"/>
          <w:spacing w:val="0"/>
          <w:sz w:val="24"/>
          <w:szCs w:val="24"/>
          <w:highlight w:val="none"/>
          <w14:textFill>
            <w14:solidFill>
              <w14:schemeClr w14:val="tx1"/>
            </w14:solidFill>
          </w14:textFill>
        </w:rPr>
        <w:t>子目中的法定机构根据国家法律法规变化发布新规的时间在合同工程原定竣工时间之后的，合同价款调增的不予调整，合同价款调减的予以调整。</w:t>
      </w:r>
    </w:p>
    <w:p w14:paraId="231CEC4D">
      <w:pPr>
        <w:keepNext w:val="0"/>
        <w:keepLines w:val="0"/>
        <w:pageBreakBefore w:val="0"/>
        <w:wordWrap w:val="0"/>
        <w:overflowPunct/>
        <w:topLinePunct w:val="0"/>
        <w:bidi w:val="0"/>
        <w:spacing w:before="155" w:line="220" w:lineRule="auto"/>
        <w:ind w:left="48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2.3.2  </w:t>
      </w:r>
      <w:r>
        <w:rPr>
          <w:rFonts w:hint="eastAsia" w:ascii="宋体" w:hAnsi="宋体" w:eastAsia="宋体" w:cs="宋体"/>
          <w:color w:val="000000" w:themeColor="text1"/>
          <w:spacing w:val="0"/>
          <w:sz w:val="24"/>
          <w:szCs w:val="24"/>
          <w:highlight w:val="none"/>
          <w14:textFill>
            <w14:solidFill>
              <w14:schemeClr w14:val="tx1"/>
            </w14:solidFill>
          </w14:textFill>
        </w:rPr>
        <w:t>工程量偏差或变化</w:t>
      </w:r>
    </w:p>
    <w:p w14:paraId="655704F0">
      <w:pPr>
        <w:keepNext w:val="0"/>
        <w:keepLines w:val="0"/>
        <w:pageBreakBefore w:val="0"/>
        <w:wordWrap w:val="0"/>
        <w:overflowPunct/>
        <w:topLinePunct w:val="0"/>
        <w:bidi w:val="0"/>
        <w:spacing w:before="158" w:line="309" w:lineRule="auto"/>
        <w:ind w:left="10" w:right="183"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"2.3.2.1"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2.3.2.1</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合同履行期间，当应予计算的实际工程量与招标工程量清单出现偏差或因工程变更引起已标价工程量清单项目的工程数量发生变化时，工程量偏差或变化在 15%以内（含 15%）的，其综合单价不予调整；工程量偏差或变化超过 15%的，按照以下规定调整：</w:t>
      </w:r>
    </w:p>
    <w:p w14:paraId="6F1EA887">
      <w:pPr>
        <w:keepNext w:val="0"/>
        <w:keepLines w:val="0"/>
        <w:pageBreakBefore w:val="0"/>
        <w:wordWrap w:val="0"/>
        <w:overflowPunct/>
        <w:topLinePunct w:val="0"/>
        <w:bidi w:val="0"/>
        <w:spacing w:before="78" w:line="327" w:lineRule="auto"/>
        <w:ind w:left="12" w:firstLine="478"/>
        <w:jc w:val="both"/>
        <w:rPr>
          <w:rFonts w:hint="eastAsia" w:ascii="宋体" w:hAnsi="宋体" w:eastAsia="宋体" w:cs="宋体"/>
          <w:color w:val="000000" w:themeColor="text1"/>
          <w:spacing w:val="0"/>
          <w:sz w:val="24"/>
          <w:szCs w:val="24"/>
          <w:highlight w:val="none"/>
          <w14:textFill>
            <w14:solidFill>
              <w14:schemeClr w14:val="tx1"/>
            </w14:solidFill>
          </w14:textFill>
        </w:rPr>
      </w:pPr>
      <w:bookmarkStart w:id="165" w:name="bookmark142"/>
      <w:bookmarkEnd w:id="165"/>
      <w:r>
        <w:rPr>
          <w:rFonts w:hint="eastAsia" w:ascii="宋体" w:hAnsi="宋体" w:eastAsia="宋体" w:cs="宋体"/>
          <w:color w:val="000000" w:themeColor="text1"/>
          <w:spacing w:val="0"/>
          <w:sz w:val="24"/>
          <w:szCs w:val="24"/>
          <w:highlight w:val="none"/>
          <w14:textFill>
            <w14:solidFill>
              <w14:schemeClr w14:val="tx1"/>
            </w14:solidFill>
          </w14:textFill>
        </w:rPr>
        <w:t>对于合理报价的清单项目，当工程量增加超过 15%时，增加部分的工程量的综合单价以投标报价《分部分项工程和单价措施项目清单与计价表》中综合单价为基价调低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p>
    <w:p w14:paraId="19CF62EE">
      <w:pPr>
        <w:keepNext w:val="0"/>
        <w:keepLines w:val="0"/>
        <w:pageBreakBefore w:val="0"/>
        <w:wordWrap w:val="0"/>
        <w:overflowPunct/>
        <w:topLinePunct w:val="0"/>
        <w:bidi w:val="0"/>
        <w:spacing w:before="97" w:line="324" w:lineRule="auto"/>
        <w:ind w:left="13" w:right="179"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对于按照第二章“</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中标人须知</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”第</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4.2 条被认定为不平衡报价的清单项目，其综合单价按照以下方法调整：</w:t>
      </w:r>
    </w:p>
    <w:p w14:paraId="25F45A58">
      <w:pPr>
        <w:keepNext w:val="0"/>
        <w:keepLines w:val="0"/>
        <w:pageBreakBefore w:val="0"/>
        <w:wordWrap w:val="0"/>
        <w:overflowPunct/>
        <w:topLinePunct w:val="0"/>
        <w:bidi w:val="0"/>
        <w:spacing w:before="97" w:line="324" w:lineRule="auto"/>
        <w:ind w:left="13" w:right="179" w:firstLine="477"/>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以</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最高投标限价</w:t>
      </w:r>
      <w:r>
        <w:rPr>
          <w:rFonts w:hint="eastAsia" w:ascii="宋体" w:hAnsi="宋体" w:eastAsia="宋体" w:cs="宋体"/>
          <w:b/>
          <w:bCs/>
          <w:color w:val="000000" w:themeColor="text1"/>
          <w:spacing w:val="0"/>
          <w:sz w:val="24"/>
          <w:szCs w:val="24"/>
          <w:highlight w:val="none"/>
          <w14:textFill>
            <w14:solidFill>
              <w14:schemeClr w14:val="tx1"/>
            </w14:solidFill>
          </w14:textFill>
        </w:rPr>
        <w:t>中《分部分项工程和单价措施项目清单与计价表》子目相对应综合单价×（1-中标下浮率）。</w:t>
      </w:r>
    </w:p>
    <w:p w14:paraId="3E1FC9C8">
      <w:pPr>
        <w:keepNext w:val="0"/>
        <w:keepLines w:val="0"/>
        <w:pageBreakBefore w:val="0"/>
        <w:wordWrap w:val="0"/>
        <w:overflowPunct/>
        <w:topLinePunct w:val="0"/>
        <w:bidi w:val="0"/>
        <w:spacing w:before="97" w:line="324" w:lineRule="auto"/>
        <w:ind w:left="13" w:right="179" w:firstLine="477"/>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166" w:name="_Toc18478"/>
      <w:bookmarkStart w:id="167" w:name="_Toc12035"/>
      <w:bookmarkStart w:id="168" w:name="_Toc30068"/>
      <w:r>
        <w:rPr>
          <w:rFonts w:hint="eastAsia" w:ascii="宋体" w:hAnsi="宋体" w:eastAsia="宋体" w:cs="宋体"/>
          <w:b/>
          <w:bCs/>
          <w:color w:val="000000" w:themeColor="text1"/>
          <w:spacing w:val="0"/>
          <w:sz w:val="24"/>
          <w:szCs w:val="24"/>
          <w:highlight w:val="none"/>
          <w14:textFill>
            <w14:solidFill>
              <w14:schemeClr w14:val="tx1"/>
            </w14:solidFill>
          </w14:textFill>
        </w:rPr>
        <w:t>中标下浮率=[1-（中标价-中标</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安全生产措施费</w:t>
      </w:r>
      <w:r>
        <w:rPr>
          <w:rFonts w:hint="eastAsia" w:ascii="宋体" w:hAnsi="宋体" w:eastAsia="宋体" w:cs="宋体"/>
          <w:b/>
          <w:bCs/>
          <w:color w:val="000000" w:themeColor="text1"/>
          <w:spacing w:val="0"/>
          <w:sz w:val="24"/>
          <w:szCs w:val="24"/>
          <w:highlight w:val="none"/>
          <w14:textFill>
            <w14:solidFill>
              <w14:schemeClr w14:val="tx1"/>
            </w14:solidFill>
          </w14:textFill>
        </w:rPr>
        <w:t>-暂列金额-暂估价）/（</w:t>
      </w:r>
      <w:bookmarkEnd w:id="166"/>
      <w:bookmarkEnd w:id="167"/>
      <w:bookmarkStart w:id="169" w:name="_Toc15512"/>
      <w:bookmarkStart w:id="170" w:name="_Toc13602"/>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最高投标限价</w:t>
      </w:r>
      <w:r>
        <w:rPr>
          <w:rFonts w:hint="eastAsia" w:ascii="宋体" w:hAnsi="宋体" w:eastAsia="宋体" w:cs="宋体"/>
          <w:b/>
          <w:bCs/>
          <w:color w:val="000000" w:themeColor="text1"/>
          <w:spacing w:val="0"/>
          <w:sz w:val="24"/>
          <w:szCs w:val="24"/>
          <w:highlight w:val="none"/>
          <w14:textFill>
            <w14:solidFill>
              <w14:schemeClr w14:val="tx1"/>
            </w14:solidFill>
          </w14:textFill>
        </w:rPr>
        <w:t>-</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最高投标限价</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安全生产措施费</w:t>
      </w:r>
      <w:r>
        <w:rPr>
          <w:rFonts w:hint="eastAsia" w:ascii="宋体" w:hAnsi="宋体" w:eastAsia="宋体" w:cs="宋体"/>
          <w:b/>
          <w:bCs/>
          <w:color w:val="000000" w:themeColor="text1"/>
          <w:spacing w:val="0"/>
          <w:sz w:val="24"/>
          <w:szCs w:val="24"/>
          <w:highlight w:val="none"/>
          <w14:textFill>
            <w14:solidFill>
              <w14:schemeClr w14:val="tx1"/>
            </w14:solidFill>
          </w14:textFill>
        </w:rPr>
        <w:t>-暂列金额-暂估价）] ×100%</w:t>
      </w:r>
      <w:bookmarkEnd w:id="168"/>
      <w:bookmarkEnd w:id="169"/>
      <w:bookmarkEnd w:id="170"/>
    </w:p>
    <w:p w14:paraId="5F716669">
      <w:pPr>
        <w:keepNext w:val="0"/>
        <w:keepLines w:val="0"/>
        <w:pageBreakBefore w:val="0"/>
        <w:wordWrap w:val="0"/>
        <w:overflowPunct/>
        <w:topLinePunct w:val="0"/>
        <w:bidi w:val="0"/>
        <w:spacing w:before="123" w:line="301" w:lineRule="auto"/>
        <w:ind w:left="10" w:right="116" w:firstLine="48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若修正后的该部分《分部分项工程和单价措施项目清单与计价表》总金额大于原投标报价中的该部分总金额，则从投标报价需调高的综合单价中选择偏离最大的清单开始调整，调整幅度逐步减少，直至修正后的该部分《分部分项工程和单价措施项目清单与计价表》总金额与原投标报价中的该部分总金额一致；若修正后的该部分《分部分项工程和单价措施项目清单与计价表》总金额小于原投标报价中的该部分总金额，则从投标报价需调低的综合单价中选择偏离最大的清单开始调整，调整幅度逐步减少，直至修正后的该部分《分部分项工程和单价措施项目清单与计价表》总金额与原投标报价中的该部分总金额一致。修正后的总造价应与总中标价保持一致，形成《不平衡报价修正报告》，并由招标人和中标人共同签章确认。</w:t>
      </w:r>
    </w:p>
    <w:p w14:paraId="2C74F04F">
      <w:pPr>
        <w:keepNext w:val="0"/>
        <w:keepLines w:val="0"/>
        <w:pageBreakBefore w:val="0"/>
        <w:wordWrap w:val="0"/>
        <w:overflowPunct/>
        <w:topLinePunct w:val="0"/>
        <w:bidi w:val="0"/>
        <w:spacing w:before="129" w:line="299" w:lineRule="auto"/>
        <w:ind w:left="12" w:right="179"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"2.3.2.2"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2.3.2.2</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如果工程量出现本章第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2.3.2.1 </w:t>
      </w:r>
      <w:r>
        <w:rPr>
          <w:rFonts w:hint="eastAsia" w:ascii="宋体" w:hAnsi="宋体" w:eastAsia="宋体" w:cs="宋体"/>
          <w:color w:val="000000" w:themeColor="text1"/>
          <w:spacing w:val="0"/>
          <w:sz w:val="24"/>
          <w:szCs w:val="24"/>
          <w:highlight w:val="none"/>
          <w14:textFill>
            <w14:solidFill>
              <w14:schemeClr w14:val="tx1"/>
            </w14:solidFill>
          </w14:textFill>
        </w:rPr>
        <w:t>子目的变化，且该变化引起相关措施项目相应发生变化时，按系数或单一总价方式计价的，工程量增加的措施项目费调增，工程量减少的措施项目费调减。</w:t>
      </w:r>
    </w:p>
    <w:p w14:paraId="3DB00805">
      <w:pPr>
        <w:keepNext w:val="0"/>
        <w:keepLines w:val="0"/>
        <w:pageBreakBefore w:val="0"/>
        <w:wordWrap w:val="0"/>
        <w:overflowPunct/>
        <w:topLinePunct w:val="0"/>
        <w:bidi w:val="0"/>
        <w:spacing w:before="154" w:line="221" w:lineRule="auto"/>
        <w:ind w:left="48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2.3.3  </w:t>
      </w:r>
      <w:r>
        <w:rPr>
          <w:rFonts w:hint="eastAsia" w:ascii="宋体" w:hAnsi="宋体" w:eastAsia="宋体" w:cs="宋体"/>
          <w:color w:val="000000" w:themeColor="text1"/>
          <w:spacing w:val="0"/>
          <w:sz w:val="24"/>
          <w:szCs w:val="24"/>
          <w:highlight w:val="none"/>
          <w14:textFill>
            <w14:solidFill>
              <w14:schemeClr w14:val="tx1"/>
            </w14:solidFill>
          </w14:textFill>
        </w:rPr>
        <w:t>工程变更</w:t>
      </w:r>
    </w:p>
    <w:p w14:paraId="23DCAF42">
      <w:pPr>
        <w:keepNext w:val="0"/>
        <w:keepLines w:val="0"/>
        <w:pageBreakBefore w:val="0"/>
        <w:wordWrap w:val="0"/>
        <w:overflowPunct/>
        <w:topLinePunct w:val="0"/>
        <w:bidi w:val="0"/>
        <w:spacing w:before="153" w:line="279" w:lineRule="auto"/>
        <w:ind w:left="19" w:right="179" w:firstLine="46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"2.3.3.1"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2.3.3.1</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合同履行期间，因工程变更引起已标价工程量清单项目发生变化时，按照以下规定调整：</w:t>
      </w:r>
    </w:p>
    <w:p w14:paraId="187CDAE7">
      <w:pPr>
        <w:keepNext w:val="0"/>
        <w:keepLines w:val="0"/>
        <w:pageBreakBefore w:val="0"/>
        <w:numPr>
          <w:ilvl w:val="0"/>
          <w:numId w:val="1"/>
        </w:numPr>
        <w:wordWrap w:val="0"/>
        <w:overflowPunct/>
        <w:topLinePunct w:val="0"/>
        <w:bidi w:val="0"/>
        <w:spacing w:before="78" w:line="360" w:lineRule="auto"/>
        <w:ind w:firstLine="240" w:firstLineChars="100"/>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已标价工程量清单中有适用于变更工程项目的，采用该项目的单价。</w:t>
      </w:r>
      <w:r>
        <w:rPr>
          <w:rFonts w:hint="eastAsia" w:ascii="宋体" w:hAnsi="宋体" w:eastAsia="宋体" w:cs="宋体"/>
          <w:b/>
          <w:bCs/>
          <w:color w:val="000000" w:themeColor="text1"/>
          <w:spacing w:val="0"/>
          <w:sz w:val="24"/>
          <w:szCs w:val="24"/>
          <w:highlight w:val="none"/>
          <w14:textFill>
            <w14:solidFill>
              <w14:schemeClr w14:val="tx1"/>
            </w14:solidFill>
          </w14:textFill>
        </w:rPr>
        <w:t>但如果</w:t>
      </w:r>
      <w:bookmarkStart w:id="171" w:name="bookmark143"/>
      <w:bookmarkEnd w:id="171"/>
      <w:r>
        <w:rPr>
          <w:rFonts w:hint="eastAsia" w:ascii="宋体" w:hAnsi="宋体" w:eastAsia="宋体" w:cs="宋体"/>
          <w:b/>
          <w:bCs/>
          <w:color w:val="000000" w:themeColor="text1"/>
          <w:spacing w:val="0"/>
          <w:sz w:val="24"/>
          <w:szCs w:val="24"/>
          <w:highlight w:val="none"/>
          <w14:textFill>
            <w14:solidFill>
              <w14:schemeClr w14:val="tx1"/>
            </w14:solidFill>
          </w14:textFill>
        </w:rPr>
        <w:t>被采用的项目属于按照第二章“中标人须知</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”第</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4.2 条被认定为不平衡报价的清单项目，变更工程项目的单价按照本章 2.3.2.1 的方法调整。】</w:t>
      </w:r>
    </w:p>
    <w:p w14:paraId="7205A22D">
      <w:pPr>
        <w:keepNext w:val="0"/>
        <w:keepLines w:val="0"/>
        <w:pageBreakBefore w:val="0"/>
        <w:numPr>
          <w:ilvl w:val="0"/>
          <w:numId w:val="0"/>
        </w:numPr>
        <w:wordWrap w:val="0"/>
        <w:overflowPunct/>
        <w:topLinePunct w:val="0"/>
        <w:bidi w:val="0"/>
        <w:spacing w:before="78" w:line="360" w:lineRule="auto"/>
        <w:ind w:firstLine="241" w:firstLineChars="1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已标价工程量清单中没有适用但有类似于变更工程项目的，可在合理范围内参照类似项目的单价。</w:t>
      </w:r>
      <w:r>
        <w:rPr>
          <w:rFonts w:hint="eastAsia" w:ascii="宋体" w:hAnsi="宋体" w:eastAsia="宋体" w:cs="宋体"/>
          <w:b/>
          <w:bCs/>
          <w:color w:val="000000" w:themeColor="text1"/>
          <w:spacing w:val="0"/>
          <w:sz w:val="24"/>
          <w:szCs w:val="24"/>
          <w:highlight w:val="none"/>
          <w14:textFill>
            <w14:solidFill>
              <w14:schemeClr w14:val="tx1"/>
            </w14:solidFill>
          </w14:textFill>
        </w:rPr>
        <w:t>但如果被参考的类似项目属于按照第二章“</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中标人须知</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”第</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4.2条被认定为不平衡报价的清单项目，变更工程项目的单价按照本章2.3.2.1 的方法调整。</w:t>
      </w:r>
    </w:p>
    <w:p w14:paraId="314A12AB">
      <w:pPr>
        <w:keepNext w:val="0"/>
        <w:keepLines w:val="0"/>
        <w:pageBreakBefore w:val="0"/>
        <w:numPr>
          <w:ilvl w:val="0"/>
          <w:numId w:val="0"/>
        </w:numPr>
        <w:wordWrap w:val="0"/>
        <w:overflowPunct/>
        <w:topLinePunct w:val="0"/>
        <w:bidi w:val="0"/>
        <w:spacing w:before="38" w:line="310" w:lineRule="auto"/>
        <w:ind w:right="81" w:rightChars="0" w:firstLine="240" w:firstLineChars="10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已标价工程量清单中没有适用也没有类似于变更工程项目的，由承包人根据变更工程资料、计量规则、计价办法、施工当月项目所在地工程造价管理机构发布的价格信息和中标下浮率提出变更工程项目的单价，报发包人确认后调整。中标下浮率的计算公式如下：</w:t>
      </w:r>
    </w:p>
    <w:p w14:paraId="3BB23C34">
      <w:pPr>
        <w:keepNext w:val="0"/>
        <w:keepLines w:val="0"/>
        <w:pageBreakBefore w:val="0"/>
        <w:wordWrap w:val="0"/>
        <w:overflowPunct/>
        <w:topLinePunct w:val="0"/>
        <w:bidi w:val="0"/>
        <w:spacing w:before="126" w:line="314" w:lineRule="auto"/>
        <w:ind w:left="29" w:right="21" w:firstLine="50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中标下浮率=[1-（中标价-中标</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安全生产措施费</w:t>
      </w:r>
      <w:r>
        <w:rPr>
          <w:rFonts w:hint="eastAsia" w:ascii="宋体" w:hAnsi="宋体" w:eastAsia="宋体" w:cs="宋体"/>
          <w:b/>
          <w:bCs/>
          <w:color w:val="000000" w:themeColor="text1"/>
          <w:spacing w:val="0"/>
          <w:sz w:val="24"/>
          <w:szCs w:val="24"/>
          <w:highlight w:val="none"/>
          <w14:textFill>
            <w14:solidFill>
              <w14:schemeClr w14:val="tx1"/>
            </w14:solidFill>
          </w14:textFill>
        </w:rPr>
        <w:t>-暂列金额-暂估价）/（</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最高投标限价</w:t>
      </w:r>
      <w:r>
        <w:rPr>
          <w:rFonts w:hint="eastAsia" w:ascii="宋体" w:hAnsi="宋体" w:eastAsia="宋体" w:cs="宋体"/>
          <w:b/>
          <w:bCs/>
          <w:color w:val="000000" w:themeColor="text1"/>
          <w:spacing w:val="0"/>
          <w:sz w:val="24"/>
          <w:szCs w:val="24"/>
          <w:highlight w:val="none"/>
          <w14:textFill>
            <w14:solidFill>
              <w14:schemeClr w14:val="tx1"/>
            </w14:solidFill>
          </w14:textFill>
        </w:rPr>
        <w:t>-</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最高投标限价</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安全生产措施费</w:t>
      </w:r>
      <w:r>
        <w:rPr>
          <w:rFonts w:hint="eastAsia" w:ascii="宋体" w:hAnsi="宋体" w:eastAsia="宋体" w:cs="宋体"/>
          <w:b/>
          <w:bCs/>
          <w:color w:val="000000" w:themeColor="text1"/>
          <w:spacing w:val="0"/>
          <w:sz w:val="24"/>
          <w:szCs w:val="24"/>
          <w:highlight w:val="none"/>
          <w14:textFill>
            <w14:solidFill>
              <w14:schemeClr w14:val="tx1"/>
            </w14:solidFill>
          </w14:textFill>
        </w:rPr>
        <w:t>-暂列金额-暂估价）]</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×100%</w:t>
      </w:r>
    </w:p>
    <w:p w14:paraId="132C32ED">
      <w:pPr>
        <w:keepNext w:val="0"/>
        <w:keepLines w:val="0"/>
        <w:pageBreakBefore w:val="0"/>
        <w:wordWrap w:val="0"/>
        <w:overflowPunct/>
        <w:topLinePunct w:val="0"/>
        <w:bidi w:val="0"/>
        <w:spacing w:before="145" w:line="309" w:lineRule="auto"/>
        <w:ind w:right="81" w:firstLine="240" w:firstLineChars="100"/>
        <w:rPr>
          <w:rFonts w:hint="eastAsia" w:ascii="宋体" w:hAnsi="宋体" w:eastAsia="宋体" w:cs="宋体"/>
          <w:snapToGrid w:val="0"/>
          <w:color w:val="000000" w:themeColor="text1"/>
          <w:spacing w:val="0"/>
          <w:ker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spacing w:val="0"/>
          <w:kern w:val="0"/>
          <w:sz w:val="24"/>
          <w:szCs w:val="24"/>
          <w:highlight w:val="none"/>
          <w:lang w:eastAsia="zh-CN"/>
          <w14:textFill>
            <w14:solidFill>
              <w14:schemeClr w14:val="tx1"/>
            </w14:solidFill>
          </w14:textFill>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7485EB42">
      <w:pPr>
        <w:keepNext w:val="0"/>
        <w:keepLines w:val="0"/>
        <w:pageBreakBefore w:val="0"/>
        <w:wordWrap w:val="0"/>
        <w:overflowPunct/>
        <w:topLinePunct w:val="0"/>
        <w:bidi w:val="0"/>
        <w:spacing w:before="156" w:line="309" w:lineRule="auto"/>
        <w:ind w:left="7" w:right="81"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"2.3.3.2"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2.3.3.2</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工程变更引起施工方案改变并使措施项目发生变化时，承包人提出调整措施项目费的，应事先将拟实施的方案提交发包人确认，并应详细说明与原方案措施项目相比的变化情况。拟实施的方案经发、承包双方确认后执行，并按照本章下列规定调整措施项目费：</w:t>
      </w:r>
    </w:p>
    <w:p w14:paraId="48DB76F2">
      <w:pPr>
        <w:keepNext w:val="0"/>
        <w:keepLines w:val="0"/>
        <w:pageBreakBefore w:val="0"/>
        <w:wordWrap w:val="0"/>
        <w:overflowPunct/>
        <w:topLinePunct w:val="0"/>
        <w:bidi w:val="0"/>
        <w:spacing w:before="152" w:line="220" w:lineRule="auto"/>
        <w:ind w:left="49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安全生产措施费</w:t>
      </w:r>
      <w:r>
        <w:rPr>
          <w:rFonts w:hint="eastAsia" w:ascii="宋体" w:hAnsi="宋体" w:eastAsia="宋体" w:cs="宋体"/>
          <w:color w:val="000000" w:themeColor="text1"/>
          <w:spacing w:val="0"/>
          <w:sz w:val="24"/>
          <w:szCs w:val="24"/>
          <w:highlight w:val="none"/>
          <w14:textFill>
            <w14:solidFill>
              <w14:schemeClr w14:val="tx1"/>
            </w14:solidFill>
          </w14:textFill>
        </w:rPr>
        <w:t>应按照实际发生变化的措施项目计算。</w:t>
      </w:r>
    </w:p>
    <w:p w14:paraId="3430AEEE">
      <w:pPr>
        <w:keepNext w:val="0"/>
        <w:keepLines w:val="0"/>
        <w:pageBreakBefore w:val="0"/>
        <w:wordWrap w:val="0"/>
        <w:overflowPunct/>
        <w:topLinePunct w:val="0"/>
        <w:bidi w:val="0"/>
        <w:spacing w:before="156" w:line="309" w:lineRule="auto"/>
        <w:ind w:left="7" w:right="81"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（2）采用单价计算的措施项目费，应按照实际发生变化的措施项目，按本章第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2.3.3.1 </w:t>
      </w:r>
      <w:r>
        <w:rPr>
          <w:rFonts w:hint="eastAsia" w:ascii="宋体" w:hAnsi="宋体" w:eastAsia="宋体" w:cs="宋体"/>
          <w:color w:val="000000" w:themeColor="text1"/>
          <w:spacing w:val="0"/>
          <w:sz w:val="24"/>
          <w:szCs w:val="24"/>
          <w:highlight w:val="none"/>
          <w14:textFill>
            <w14:solidFill>
              <w14:schemeClr w14:val="tx1"/>
            </w14:solidFill>
          </w14:textFill>
        </w:rPr>
        <w:t>子目的规定确定单价。</w:t>
      </w:r>
    </w:p>
    <w:p w14:paraId="49A98A6F">
      <w:pPr>
        <w:keepNext w:val="0"/>
        <w:keepLines w:val="0"/>
        <w:pageBreakBefore w:val="0"/>
        <w:wordWrap w:val="0"/>
        <w:overflowPunct/>
        <w:topLinePunct w:val="0"/>
        <w:bidi w:val="0"/>
        <w:spacing w:before="154" w:line="360" w:lineRule="auto"/>
        <w:ind w:left="8" w:right="81" w:firstLine="49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（3）按总价或系数计算的措施项目费，应按照实际发生变化的措施项目费调整并考虑中标下浮率因素，即调整金额＝按照实际变化调整后的金额×（1-中标下浮率）。</w:t>
      </w:r>
    </w:p>
    <w:p w14:paraId="78BE891C">
      <w:pPr>
        <w:keepNext w:val="0"/>
        <w:keepLines w:val="0"/>
        <w:pageBreakBefore w:val="0"/>
        <w:wordWrap w:val="0"/>
        <w:overflowPunct/>
        <w:topLinePunct w:val="0"/>
        <w:bidi w:val="0"/>
        <w:spacing w:before="157" w:line="324" w:lineRule="auto"/>
        <w:ind w:left="21" w:right="81" w:firstLine="47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如果承包人未事先将拟实施的方案提交发包人确认，视为工程变更不引起措施项目费的调整或承包人放弃调整措施项目费的权利。</w:t>
      </w:r>
    </w:p>
    <w:p w14:paraId="2ECDD016">
      <w:pPr>
        <w:keepNext w:val="0"/>
        <w:keepLines w:val="0"/>
        <w:pageBreakBefore w:val="0"/>
        <w:wordWrap w:val="0"/>
        <w:overflowPunct/>
        <w:topLinePunct w:val="0"/>
        <w:bidi w:val="0"/>
        <w:spacing w:before="35" w:line="309" w:lineRule="auto"/>
        <w:ind w:right="81" w:firstLine="420"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"2.3.3.3"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2.3.3.3</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当因非承包人原因，发包人提出的工程变更删减了合同中的某项原定工作或工程，致使承包人发生的费用或（和）得到的收益不能被包括在其他已支付或应支付的项目中，也未被包含在任何替代的工作或工程中时，承包人有权提出并应得到合理的费用及利润补偿。</w:t>
      </w:r>
    </w:p>
    <w:p w14:paraId="4E492982">
      <w:pPr>
        <w:keepNext w:val="0"/>
        <w:keepLines w:val="0"/>
        <w:pageBreakBefore w:val="0"/>
        <w:wordWrap w:val="0"/>
        <w:overflowPunct/>
        <w:topLinePunct w:val="0"/>
        <w:bidi w:val="0"/>
        <w:spacing w:before="155" w:line="220" w:lineRule="auto"/>
        <w:ind w:left="48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2.3.4  </w:t>
      </w:r>
      <w:r>
        <w:rPr>
          <w:rFonts w:hint="eastAsia" w:ascii="宋体" w:hAnsi="宋体" w:eastAsia="宋体" w:cs="宋体"/>
          <w:color w:val="000000" w:themeColor="text1"/>
          <w:spacing w:val="0"/>
          <w:sz w:val="24"/>
          <w:szCs w:val="24"/>
          <w:highlight w:val="none"/>
          <w14:textFill>
            <w14:solidFill>
              <w14:schemeClr w14:val="tx1"/>
            </w14:solidFill>
          </w14:textFill>
        </w:rPr>
        <w:t>项目特征不符</w:t>
      </w:r>
    </w:p>
    <w:p w14:paraId="7DBF02D2">
      <w:pPr>
        <w:keepNext w:val="0"/>
        <w:keepLines w:val="0"/>
        <w:pageBreakBefore w:val="0"/>
        <w:wordWrap w:val="0"/>
        <w:overflowPunct/>
        <w:topLinePunct w:val="0"/>
        <w:bidi w:val="0"/>
        <w:spacing w:before="78" w:line="331" w:lineRule="auto"/>
        <w:ind w:left="8" w:right="108" w:firstLine="480"/>
        <w:jc w:val="both"/>
        <w:rPr>
          <w:rFonts w:hint="eastAsia" w:ascii="宋体" w:hAnsi="宋体" w:eastAsia="宋体" w:cs="宋体"/>
          <w:color w:val="000000" w:themeColor="text1"/>
          <w:spacing w:val="0"/>
          <w:sz w:val="24"/>
          <w:szCs w:val="24"/>
          <w:highlight w:val="none"/>
          <w14:textFill>
            <w14:solidFill>
              <w14:schemeClr w14:val="tx1"/>
            </w14:solidFill>
          </w14:textFill>
        </w:rPr>
      </w:pPr>
      <w:bookmarkStart w:id="172" w:name="bookmark144"/>
      <w:bookmarkEnd w:id="172"/>
      <w:r>
        <w:rPr>
          <w:rFonts w:hint="eastAsia" w:ascii="宋体" w:hAnsi="宋体" w:eastAsia="宋体" w:cs="宋体"/>
          <w:color w:val="000000" w:themeColor="text1"/>
          <w:spacing w:val="0"/>
          <w:sz w:val="24"/>
          <w:szCs w:val="24"/>
          <w:highlight w:val="none"/>
          <w14:textFill>
            <w14:solidFill>
              <w14:schemeClr w14:val="tx1"/>
            </w14:solidFill>
          </w14:textFill>
        </w:rPr>
        <w:t xml:space="preserve">承包人应按照发包人提供的设计图纸实施合同工程，若在合同履行期间出现设计图纸（含设计变更）与招标工程量清单任一项目的特征描述不符，且该变化引起该项目工程造价增减变化的，应按照实际施工的项目特征，并按本章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2.3.3 </w:t>
      </w:r>
      <w:r>
        <w:rPr>
          <w:rFonts w:hint="eastAsia" w:ascii="宋体" w:hAnsi="宋体" w:eastAsia="宋体" w:cs="宋体"/>
          <w:color w:val="000000" w:themeColor="text1"/>
          <w:spacing w:val="0"/>
          <w:sz w:val="24"/>
          <w:szCs w:val="24"/>
          <w:highlight w:val="none"/>
          <w14:textFill>
            <w14:solidFill>
              <w14:schemeClr w14:val="tx1"/>
            </w14:solidFill>
          </w14:textFill>
        </w:rPr>
        <w:t>目相关条款的规定重新确定相应工程量清单项目的综合单价，并调整合同价款。</w:t>
      </w:r>
    </w:p>
    <w:p w14:paraId="197538B0">
      <w:pPr>
        <w:keepNext w:val="0"/>
        <w:keepLines w:val="0"/>
        <w:pageBreakBefore w:val="0"/>
        <w:wordWrap w:val="0"/>
        <w:overflowPunct/>
        <w:topLinePunct w:val="0"/>
        <w:bidi w:val="0"/>
        <w:spacing w:before="38" w:line="221" w:lineRule="auto"/>
        <w:ind w:left="48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2.3.5  </w:t>
      </w:r>
      <w:r>
        <w:rPr>
          <w:rFonts w:hint="eastAsia" w:ascii="宋体" w:hAnsi="宋体" w:eastAsia="宋体" w:cs="宋体"/>
          <w:color w:val="000000" w:themeColor="text1"/>
          <w:spacing w:val="0"/>
          <w:sz w:val="24"/>
          <w:szCs w:val="24"/>
          <w:highlight w:val="none"/>
          <w14:textFill>
            <w14:solidFill>
              <w14:schemeClr w14:val="tx1"/>
            </w14:solidFill>
          </w14:textFill>
        </w:rPr>
        <w:t>招标工程量清单缺项</w:t>
      </w:r>
    </w:p>
    <w:p w14:paraId="5867B021">
      <w:pPr>
        <w:keepNext w:val="0"/>
        <w:keepLines w:val="0"/>
        <w:pageBreakBefore w:val="0"/>
        <w:widowControl/>
        <w:kinsoku w:val="0"/>
        <w:wordWrap w:val="0"/>
        <w:overflowPunct/>
        <w:topLinePunct w:val="0"/>
        <w:autoSpaceDE w:val="0"/>
        <w:autoSpaceDN w:val="0"/>
        <w:bidi w:val="0"/>
        <w:adjustRightInd w:val="0"/>
        <w:snapToGrid w:val="0"/>
        <w:spacing w:before="152" w:line="25" w:lineRule="atLeast"/>
        <w:ind w:left="9" w:right="56" w:firstLine="476"/>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"2.3.5.1"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2.3.5.1</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合同履行期间，由于招标工程量清单中缺项，新增分部分项工程清单项目，应按照本章第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2.3.3.1 </w:t>
      </w:r>
      <w:r>
        <w:rPr>
          <w:rFonts w:hint="eastAsia" w:ascii="宋体" w:hAnsi="宋体" w:eastAsia="宋体" w:cs="宋体"/>
          <w:color w:val="000000" w:themeColor="text1"/>
          <w:spacing w:val="0"/>
          <w:sz w:val="24"/>
          <w:szCs w:val="24"/>
          <w:highlight w:val="none"/>
          <w14:textFill>
            <w14:solidFill>
              <w14:schemeClr w14:val="tx1"/>
            </w14:solidFill>
          </w14:textFill>
        </w:rPr>
        <w:t>子目的规定确定单价，并调整合同价款。</w:t>
      </w:r>
    </w:p>
    <w:p w14:paraId="789762A4">
      <w:pPr>
        <w:keepNext w:val="0"/>
        <w:keepLines w:val="0"/>
        <w:pageBreakBefore w:val="0"/>
        <w:widowControl/>
        <w:kinsoku w:val="0"/>
        <w:wordWrap w:val="0"/>
        <w:overflowPunct/>
        <w:topLinePunct w:val="0"/>
        <w:autoSpaceDE w:val="0"/>
        <w:autoSpaceDN w:val="0"/>
        <w:bidi w:val="0"/>
        <w:adjustRightInd w:val="0"/>
        <w:snapToGrid w:val="0"/>
        <w:spacing w:before="157" w:line="25" w:lineRule="atLeast"/>
        <w:ind w:firstLine="420"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"2.3.5.2"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2.3.5.2</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新增分部分项工程清单项目后，引起措施项目发生变化的，应按照本章第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2.3.3.2 </w:t>
      </w:r>
      <w:r>
        <w:rPr>
          <w:rFonts w:hint="eastAsia" w:ascii="宋体" w:hAnsi="宋体" w:eastAsia="宋体" w:cs="宋体"/>
          <w:color w:val="000000" w:themeColor="text1"/>
          <w:spacing w:val="0"/>
          <w:sz w:val="24"/>
          <w:szCs w:val="24"/>
          <w:highlight w:val="none"/>
          <w14:textFill>
            <w14:solidFill>
              <w14:schemeClr w14:val="tx1"/>
            </w14:solidFill>
          </w14:textFill>
        </w:rPr>
        <w:t>子目的规定，在承包人提交的实施方案被发包人批准后调整合同价款。</w:t>
      </w:r>
    </w:p>
    <w:p w14:paraId="64483C48">
      <w:pPr>
        <w:keepNext w:val="0"/>
        <w:keepLines w:val="0"/>
        <w:pageBreakBefore w:val="0"/>
        <w:widowControl/>
        <w:kinsoku w:val="0"/>
        <w:wordWrap w:val="0"/>
        <w:overflowPunct/>
        <w:topLinePunct w:val="0"/>
        <w:autoSpaceDE w:val="0"/>
        <w:autoSpaceDN w:val="0"/>
        <w:bidi w:val="0"/>
        <w:adjustRightInd w:val="0"/>
        <w:snapToGrid w:val="0"/>
        <w:spacing w:before="156" w:line="300" w:lineRule="auto"/>
        <w:ind w:left="11" w:right="108" w:firstLine="471"/>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"2.3.5.3"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2.3.5.3</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w w:val="10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由于招标工程量清单中措施项目缺项，承包人应将新增措施项目实施方案提交发包人批准后，按照本章第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2.3.3.1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子目、第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2.3.3.2 </w:t>
      </w:r>
      <w:r>
        <w:rPr>
          <w:rFonts w:hint="eastAsia" w:ascii="宋体" w:hAnsi="宋体" w:eastAsia="宋体" w:cs="宋体"/>
          <w:color w:val="000000" w:themeColor="text1"/>
          <w:spacing w:val="0"/>
          <w:sz w:val="24"/>
          <w:szCs w:val="24"/>
          <w:highlight w:val="none"/>
          <w14:textFill>
            <w14:solidFill>
              <w14:schemeClr w14:val="tx1"/>
            </w14:solidFill>
          </w14:textFill>
        </w:rPr>
        <w:t>子目的规定调整合同价款。</w:t>
      </w:r>
    </w:p>
    <w:p w14:paraId="08FB5658">
      <w:pPr>
        <w:keepNext w:val="0"/>
        <w:keepLines w:val="0"/>
        <w:pageBreakBefore w:val="0"/>
        <w:wordWrap w:val="0"/>
        <w:overflowPunct/>
        <w:topLinePunct w:val="0"/>
        <w:bidi w:val="0"/>
        <w:spacing w:before="154" w:line="219" w:lineRule="auto"/>
        <w:ind w:left="48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2.3.6  </w:t>
      </w:r>
      <w:r>
        <w:rPr>
          <w:rFonts w:hint="eastAsia" w:ascii="宋体" w:hAnsi="宋体" w:eastAsia="宋体" w:cs="宋体"/>
          <w:color w:val="000000" w:themeColor="text1"/>
          <w:spacing w:val="0"/>
          <w:sz w:val="24"/>
          <w:szCs w:val="24"/>
          <w:highlight w:val="none"/>
          <w14:textFill>
            <w14:solidFill>
              <w14:schemeClr w14:val="tx1"/>
            </w14:solidFill>
          </w14:textFill>
        </w:rPr>
        <w:t>物价变化</w:t>
      </w:r>
    </w:p>
    <w:p w14:paraId="7D525C3E">
      <w:pPr>
        <w:keepNext w:val="0"/>
        <w:keepLines w:val="0"/>
        <w:pageBreakBefore w:val="0"/>
        <w:wordWrap w:val="0"/>
        <w:overflowPunct/>
        <w:topLinePunct w:val="0"/>
        <w:bidi w:val="0"/>
        <w:spacing w:before="156" w:line="315" w:lineRule="auto"/>
        <w:ind w:left="8" w:right="108"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"2.3.6.1"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2.3.6.1</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合同履行期间，项目所在地工程造价管理机构发布的动态人工调整系数发生变化时，如果承包人投标报价中人工费（以下简称“ 中标人工费 ”）等于或超过施工当月经动态调整后的定额人工费，该清单项目中标人工费不予调整；如果中标人工费低于施工当月经动态调整后的定额人工费，该清单项目中标人工费可以调整，相关费用按有关规定进行相应调整。结算人工费调整公式为：</w:t>
      </w:r>
    </w:p>
    <w:p w14:paraId="6A69C7F8">
      <w:pPr>
        <w:keepNext w:val="0"/>
        <w:keepLines w:val="0"/>
        <w:pageBreakBefore w:val="0"/>
        <w:wordWrap w:val="0"/>
        <w:overflowPunct/>
        <w:topLinePunct w:val="0"/>
        <w:bidi w:val="0"/>
        <w:spacing w:before="153" w:line="220" w:lineRule="auto"/>
        <w:ind w:left="494"/>
        <w:rPr>
          <w:rFonts w:hint="eastAsia" w:ascii="宋体" w:hAnsi="宋体" w:eastAsia="宋体" w:cs="宋体"/>
          <w:color w:val="000000" w:themeColor="text1"/>
          <w:spacing w:val="0"/>
          <w:sz w:val="15"/>
          <w:szCs w:val="15"/>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结算人工费＝中标人工费×F</w:t>
      </w:r>
      <w:r>
        <w:rPr>
          <w:rFonts w:hint="eastAsia" w:ascii="宋体" w:hAnsi="宋体" w:eastAsia="宋体" w:cs="宋体"/>
          <w:color w:val="000000" w:themeColor="text1"/>
          <w:spacing w:val="0"/>
          <w:position w:val="-1"/>
          <w:sz w:val="15"/>
          <w:szCs w:val="15"/>
          <w:highlight w:val="none"/>
          <w14:textFill>
            <w14:solidFill>
              <w14:schemeClr w14:val="tx1"/>
            </w14:solidFill>
          </w14:textFill>
        </w:rPr>
        <w:t>1</w:t>
      </w:r>
    </w:p>
    <w:p w14:paraId="381BBD03">
      <w:pPr>
        <w:keepNext w:val="0"/>
        <w:keepLines w:val="0"/>
        <w:pageBreakBefore w:val="0"/>
        <w:wordWrap w:val="0"/>
        <w:overflowPunct/>
        <w:topLinePunct w:val="0"/>
        <w:bidi w:val="0"/>
        <w:spacing w:before="152" w:line="219" w:lineRule="auto"/>
        <w:ind w:left="49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式中，F</w:t>
      </w:r>
      <w:r>
        <w:rPr>
          <w:rFonts w:hint="eastAsia" w:ascii="宋体" w:hAnsi="宋体" w:eastAsia="宋体" w:cs="宋体"/>
          <w:color w:val="000000" w:themeColor="text1"/>
          <w:spacing w:val="0"/>
          <w:position w:val="-1"/>
          <w:sz w:val="15"/>
          <w:szCs w:val="15"/>
          <w:highlight w:val="none"/>
          <w14:textFill>
            <w14:solidFill>
              <w14:schemeClr w14:val="tx1"/>
            </w14:solidFill>
          </w14:textFill>
        </w:rPr>
        <w:t>1</w:t>
      </w:r>
      <w:r>
        <w:rPr>
          <w:rFonts w:hint="eastAsia" w:ascii="宋体" w:hAnsi="宋体" w:eastAsia="宋体" w:cs="宋体"/>
          <w:color w:val="000000" w:themeColor="text1"/>
          <w:spacing w:val="0"/>
          <w:w w:val="101"/>
          <w:position w:val="-1"/>
          <w:sz w:val="15"/>
          <w:szCs w:val="15"/>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为施工当月项目所在地工程造价管理机构发布的动态人工调整系数。</w:t>
      </w:r>
    </w:p>
    <w:p w14:paraId="4F9CF534">
      <w:pPr>
        <w:keepNext w:val="0"/>
        <w:keepLines w:val="0"/>
        <w:pageBreakBefore w:val="0"/>
        <w:wordWrap w:val="0"/>
        <w:overflowPunct/>
        <w:topLinePunct w:val="0"/>
        <w:bidi w:val="0"/>
        <w:spacing w:before="119" w:line="324" w:lineRule="auto"/>
        <w:ind w:left="1" w:right="108" w:firstLine="48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spacing w:val="0"/>
          <w:sz w:val="24"/>
          <w:szCs w:val="24"/>
          <w:highlight w:val="none"/>
          <w14:textFill>
            <w14:solidFill>
              <w14:schemeClr w14:val="tx1"/>
            </w14:solidFill>
          </w14:textFill>
        </w:rPr>
        <w:instrText xml:space="preserve"> HYPERLINK "2.3.6.2" </w:instrTex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2.3.6.2</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本招标项目约定，材料、工程设备单价涨跌风险幅度值 A 为</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5%   </w:t>
      </w:r>
      <w:r>
        <w:rPr>
          <w:rFonts w:hint="eastAsia" w:ascii="宋体" w:hAnsi="宋体" w:eastAsia="宋体" w:cs="宋体"/>
          <w:color w:val="000000" w:themeColor="text1"/>
          <w:spacing w:val="0"/>
          <w:sz w:val="24"/>
          <w:szCs w:val="24"/>
          <w:highlight w:val="none"/>
          <w14:textFill>
            <w14:solidFill>
              <w14:schemeClr w14:val="tx1"/>
            </w14:solidFill>
          </w14:textFill>
        </w:rPr>
        <w:t>。合同履行期间，当《承包人提供主要材料和工程设备一览表》（详见招标工程量清单）中的材料、工程设备单价涨跌幅度等于或低于 A 值时，该材料、工程设备单价不予调整；超过A 值时，其超过部分可以调整。相关费用按有关规定进行相应调整。</w:t>
      </w:r>
    </w:p>
    <w:p w14:paraId="62EE16C1">
      <w:pPr>
        <w:keepNext w:val="0"/>
        <w:keepLines w:val="0"/>
        <w:pageBreakBefore w:val="0"/>
        <w:wordWrap w:val="0"/>
        <w:overflowPunct/>
        <w:topLinePunct w:val="0"/>
        <w:bidi w:val="0"/>
        <w:spacing w:before="126" w:line="295" w:lineRule="auto"/>
        <w:ind w:left="11" w:right="108" w:firstLine="477"/>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lang w:eastAsia="zh-CN"/>
          <w14:textFill>
            <w14:solidFill>
              <w14:schemeClr w14:val="tx1"/>
            </w14:solidFill>
          </w14:textFill>
        </w:rPr>
        <w:t>a ．如果承包人投标报价中材料、工程设备单价（以下简称“ 中标单价 ”）低于基准日当月项目所在地工程造价管理机构发布的对应材料、工程设备单价（以下简称“基准单价 ”），该材料、工程设备的结算单价调整公式为：</w:t>
      </w:r>
    </w:p>
    <w:p w14:paraId="15C1572F">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涨价时，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25" o:spt="75" type="#_x0000_t75" style="height:33.95pt;width:200.95pt;" o:ole="t" filled="f" o:preferrelative="t" stroked="f" coordsize="21600,21600">
            <v:path/>
            <v:fill on="f" focussize="0,0"/>
            <v:stroke on="f"/>
            <v:imagedata r:id="rId30" embosscolor="#FFFFFF" o:title=""/>
            <o:lock v:ext="edit" grouping="f" rotation="f" text="f" aspectratio="t"/>
            <w10:wrap type="none"/>
            <w10:anchorlock/>
          </v:shape>
          <o:OLEObject Type="Embed" ProgID="Equation.KSEE3" ShapeID="_x0000_i1025" DrawAspect="Content" ObjectID="_1468075725" r:id="rId29">
            <o:LockedField>false</o:LockedField>
          </o:OLEObject>
        </w:object>
      </w:r>
    </w:p>
    <w:p w14:paraId="5FEA2B94">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跌价时，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26" o:spt="75" type="#_x0000_t75" style="height:33.95pt;width:198.95pt;" o:ole="t" filled="f" o:preferrelative="t" stroked="f" coordsize="21600,21600">
            <v:path/>
            <v:fill on="f" focussize="0,0"/>
            <v:stroke on="f"/>
            <v:imagedata r:id="rId32" embosscolor="#FFFFFF" o:title=""/>
            <o:lock v:ext="edit" grouping="f" rotation="f" text="f" aspectratio="t"/>
            <w10:wrap type="none"/>
            <w10:anchorlock/>
          </v:shape>
          <o:OLEObject Type="Embed" ProgID="Equation.KSEE3" ShapeID="_x0000_i1026" DrawAspect="Content" ObjectID="_1468075726" r:id="rId31">
            <o:LockedField>false</o:LockedField>
          </o:OLEObject>
        </w:object>
      </w:r>
    </w:p>
    <w:p w14:paraId="67B1681F">
      <w:pPr>
        <w:keepNext w:val="0"/>
        <w:keepLines w:val="0"/>
        <w:pageBreakBefore w:val="0"/>
        <w:wordWrap w:val="0"/>
        <w:overflowPunct/>
        <w:topLinePunct w:val="0"/>
        <w:bidi w:val="0"/>
        <w:adjustRightInd w:val="0"/>
        <w:snapToGrid w:val="0"/>
        <w:spacing w:before="360" w:beforeLines="150" w:after="240" w:afterLines="100" w:line="440" w:lineRule="exact"/>
        <w:ind w:firstLine="482" w:firstLineChars="200"/>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eastAsia="zh-CN"/>
          <w14:textFill>
            <w14:solidFill>
              <w14:schemeClr w14:val="tx1"/>
            </w14:solidFill>
          </w14:textFill>
        </w:rPr>
        <w:t>b</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．如果中标单价高于基准单价，该材料、工程设备的结算单价调整公式为：</w:t>
      </w:r>
    </w:p>
    <w:p w14:paraId="75BCCAF3">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涨价时，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27" o:spt="75" type="#_x0000_t75" style="height:33.95pt;width:198.95pt;" o:ole="t" filled="f" o:preferrelative="t" stroked="f" coordsize="21600,21600">
            <v:path/>
            <v:fill on="f" focussize="0,0"/>
            <v:stroke on="f"/>
            <v:imagedata r:id="rId34" embosscolor="#FFFFFF" o:title=""/>
            <o:lock v:ext="edit" grouping="f" rotation="f" text="f" aspectratio="t"/>
            <w10:wrap type="none"/>
            <w10:anchorlock/>
          </v:shape>
          <o:OLEObject Type="Embed" ProgID="Equation.KSEE3" ShapeID="_x0000_i1027" DrawAspect="Content" ObjectID="_1468075727" r:id="rId33">
            <o:LockedField>false</o:LockedField>
          </o:OLEObject>
        </w:object>
      </w:r>
    </w:p>
    <w:p w14:paraId="416D8DFC">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跌价时，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28" o:spt="75" type="#_x0000_t75" style="height:33.95pt;width:200.95pt;" o:ole="t" filled="f" o:preferrelative="t" stroked="f" coordsize="21600,21600">
            <v:path/>
            <v:fill on="f" focussize="0,0"/>
            <v:stroke on="f"/>
            <v:imagedata r:id="rId36" embosscolor="#FFFFFF" o:title=""/>
            <o:lock v:ext="edit" grouping="f" rotation="f" text="f" aspectratio="t"/>
            <w10:wrap type="none"/>
            <w10:anchorlock/>
          </v:shape>
          <o:OLEObject Type="Embed" ProgID="Equation.KSEE3" ShapeID="_x0000_i1028" DrawAspect="Content" ObjectID="_1468075728" r:id="rId35">
            <o:LockedField>false</o:LockedField>
          </o:OLEObject>
        </w:object>
      </w:r>
    </w:p>
    <w:p w14:paraId="06B55B00">
      <w:pPr>
        <w:keepNext w:val="0"/>
        <w:keepLines w:val="0"/>
        <w:pageBreakBefore w:val="0"/>
        <w:wordWrap w:val="0"/>
        <w:overflowPunct/>
        <w:topLinePunct w:val="0"/>
        <w:bidi w:val="0"/>
        <w:adjustRightInd w:val="0"/>
        <w:snapToGrid w:val="0"/>
        <w:spacing w:before="360" w:beforeLines="150" w:after="240" w:afterLines="100" w:line="440" w:lineRule="exact"/>
        <w:ind w:firstLine="482"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eastAsia="zh-CN"/>
          <w14:textFill>
            <w14:solidFill>
              <w14:schemeClr w14:val="tx1"/>
            </w14:solidFill>
          </w14:textFill>
        </w:rPr>
        <w:t>c</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．如果中标单价等于基准单价，该材料、工程设备的结算单价调整公式为：</w:t>
      </w:r>
    </w:p>
    <w:p w14:paraId="4FFC8AE1">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涨价时，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29" o:spt="75" type="#_x0000_t75" style="height:33.95pt;width:200.95pt;" o:ole="t" filled="f" o:preferrelative="t" stroked="f" coordsize="21600,21600">
            <v:path/>
            <v:fill on="f" focussize="0,0"/>
            <v:stroke on="f"/>
            <v:imagedata r:id="rId38" embosscolor="#FFFFFF" o:title=""/>
            <o:lock v:ext="edit" grouping="f" rotation="f" text="f" aspectratio="t"/>
            <w10:wrap type="none"/>
            <w10:anchorlock/>
          </v:shape>
          <o:OLEObject Type="Embed" ProgID="Equation.KSEE3" ShapeID="_x0000_i1029" DrawAspect="Content" ObjectID="_1468075729" r:id="rId37">
            <o:LockedField>false</o:LockedField>
          </o:OLEObject>
        </w:object>
      </w:r>
    </w:p>
    <w:p w14:paraId="4903428A">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跌价时，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30" o:spt="75" type="#_x0000_t75" style="height:33.95pt;width:200.95pt;" o:ole="t" filled="f" o:preferrelative="t" stroked="f" coordsize="21600,21600">
            <v:path/>
            <v:fill on="f" focussize="0,0"/>
            <v:stroke on="f"/>
            <v:imagedata r:id="rId40" embosscolor="#FFFFFF" o:title=""/>
            <o:lock v:ext="edit" grouping="f" rotation="f" text="f" aspectratio="t"/>
            <w10:wrap type="none"/>
            <w10:anchorlock/>
          </v:shape>
          <o:OLEObject Type="Embed" ProgID="Equation.KSEE3" ShapeID="_x0000_i1030" DrawAspect="Content" ObjectID="_1468075730" r:id="rId39">
            <o:LockedField>false</o:LockedField>
          </o:OLEObject>
        </w:object>
      </w:r>
    </w:p>
    <w:p w14:paraId="40B2A737">
      <w:pPr>
        <w:keepNext w:val="0"/>
        <w:keepLines w:val="0"/>
        <w:pageBreakBefore w:val="0"/>
        <w:wordWrap w:val="0"/>
        <w:overflowPunct/>
        <w:topLinePunct w:val="0"/>
        <w:bidi w:val="0"/>
        <w:spacing w:before="78"/>
        <w:ind w:left="330"/>
        <w:rPr>
          <w:rFonts w:hint="eastAsia" w:ascii="宋体" w:hAnsi="宋体" w:eastAsia="宋体" w:cs="宋体"/>
          <w:color w:val="000000" w:themeColor="text1"/>
          <w:spacing w:val="0"/>
          <w:sz w:val="24"/>
          <w:szCs w:val="24"/>
          <w:highlight w:val="none"/>
          <w14:textFill>
            <w14:solidFill>
              <w14:schemeClr w14:val="tx1"/>
            </w14:solidFill>
          </w14:textFill>
        </w:rPr>
      </w:pPr>
    </w:p>
    <w:p w14:paraId="0EFBDC2C">
      <w:pPr>
        <w:keepNext w:val="0"/>
        <w:keepLines w:val="0"/>
        <w:pageBreakBefore w:val="0"/>
        <w:wordWrap w:val="0"/>
        <w:overflowPunct/>
        <w:topLinePunct w:val="0"/>
        <w:bidi w:val="0"/>
        <w:spacing w:before="78" w:line="330" w:lineRule="auto"/>
        <w:ind w:right="59" w:firstLine="507"/>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以上公式中，F</w:t>
      </w:r>
      <w:r>
        <w:rPr>
          <w:rFonts w:hint="eastAsia" w:ascii="宋体" w:hAnsi="宋体" w:eastAsia="宋体" w:cs="宋体"/>
          <w:color w:val="000000" w:themeColor="text1"/>
          <w:spacing w:val="0"/>
          <w:position w:val="-1"/>
          <w:sz w:val="15"/>
          <w:szCs w:val="15"/>
          <w:highlight w:val="none"/>
          <w14:textFill>
            <w14:solidFill>
              <w14:schemeClr w14:val="tx1"/>
            </w14:solidFill>
          </w14:textFill>
        </w:rPr>
        <w:t xml:space="preserve">1 </w:t>
      </w:r>
      <w:r>
        <w:rPr>
          <w:rFonts w:hint="eastAsia" w:ascii="宋体" w:hAnsi="宋体" w:eastAsia="宋体" w:cs="宋体"/>
          <w:color w:val="000000" w:themeColor="text1"/>
          <w:spacing w:val="0"/>
          <w:sz w:val="24"/>
          <w:szCs w:val="24"/>
          <w:highlight w:val="none"/>
          <w14:textFill>
            <w14:solidFill>
              <w14:schemeClr w14:val="tx1"/>
            </w14:solidFill>
          </w14:textFill>
        </w:rPr>
        <w:t>为中标单价；F</w:t>
      </w:r>
      <w:r>
        <w:rPr>
          <w:rFonts w:hint="eastAsia" w:ascii="宋体" w:hAnsi="宋体" w:eastAsia="宋体" w:cs="宋体"/>
          <w:color w:val="000000" w:themeColor="text1"/>
          <w:spacing w:val="0"/>
          <w:position w:val="-1"/>
          <w:sz w:val="15"/>
          <w:szCs w:val="15"/>
          <w:highlight w:val="none"/>
          <w14:textFill>
            <w14:solidFill>
              <w14:schemeClr w14:val="tx1"/>
            </w14:solidFill>
          </w14:textFill>
        </w:rPr>
        <w:t>0</w:t>
      </w:r>
      <w:r>
        <w:rPr>
          <w:rFonts w:hint="eastAsia" w:ascii="宋体" w:hAnsi="宋体" w:eastAsia="宋体" w:cs="宋体"/>
          <w:color w:val="000000" w:themeColor="text1"/>
          <w:spacing w:val="0"/>
          <w:w w:val="101"/>
          <w:position w:val="-1"/>
          <w:sz w:val="15"/>
          <w:szCs w:val="15"/>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为基准单价；F</w:t>
      </w:r>
      <w:r>
        <w:rPr>
          <w:rFonts w:hint="eastAsia" w:ascii="宋体" w:hAnsi="宋体" w:eastAsia="宋体" w:cs="宋体"/>
          <w:color w:val="000000" w:themeColor="text1"/>
          <w:spacing w:val="0"/>
          <w:position w:val="-1"/>
          <w:sz w:val="15"/>
          <w:szCs w:val="15"/>
          <w:highlight w:val="none"/>
          <w14:textFill>
            <w14:solidFill>
              <w14:schemeClr w14:val="tx1"/>
            </w14:solidFill>
          </w14:textFill>
        </w:rPr>
        <w:t xml:space="preserve">2 </w:t>
      </w:r>
      <w:r>
        <w:rPr>
          <w:rFonts w:hint="eastAsia" w:ascii="宋体" w:hAnsi="宋体" w:eastAsia="宋体" w:cs="宋体"/>
          <w:color w:val="000000" w:themeColor="text1"/>
          <w:spacing w:val="0"/>
          <w:sz w:val="24"/>
          <w:szCs w:val="24"/>
          <w:highlight w:val="none"/>
          <w14:textFill>
            <w14:solidFill>
              <w14:schemeClr w14:val="tx1"/>
            </w14:solidFill>
          </w14:textFill>
        </w:rPr>
        <w:t>为施工当月项目所在地工程造价管理机构发布的材料、工程设备单价；A 为合同约定的材料、工程设备单价涨跌风险幅度值。</w:t>
      </w:r>
    </w:p>
    <w:p w14:paraId="6F9801F9">
      <w:pPr>
        <w:keepNext w:val="0"/>
        <w:keepLines w:val="0"/>
        <w:pageBreakBefore w:val="0"/>
        <w:wordWrap w:val="0"/>
        <w:overflowPunct/>
        <w:topLinePunct w:val="0"/>
        <w:bidi w:val="0"/>
        <w:spacing w:before="33" w:line="299" w:lineRule="auto"/>
        <w:ind w:right="59"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"2.3.6.3"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2.3.6.3</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合同履行期间，当《发包人提供材料和工程设备一览表》（详见招标工程量清单）中的材料、工程设备单价发生变化时，由发包人按照实际变化调整，并列入合同价款。</w:t>
      </w:r>
    </w:p>
    <w:p w14:paraId="6F47D427">
      <w:pPr>
        <w:keepNext w:val="0"/>
        <w:keepLines w:val="0"/>
        <w:pageBreakBefore w:val="0"/>
        <w:wordWrap w:val="0"/>
        <w:overflowPunct/>
        <w:topLinePunct w:val="0"/>
        <w:bidi w:val="0"/>
        <w:spacing w:before="121" w:line="308" w:lineRule="auto"/>
        <w:ind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"2.3.6.4"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2.3.6.4</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本招标项目约定，施工机具台班单价涨跌风险幅度值 B 为</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10%  </w:t>
      </w:r>
      <w:r>
        <w:rPr>
          <w:rFonts w:hint="eastAsia" w:ascii="宋体" w:hAnsi="宋体" w:eastAsia="宋体" w:cs="宋体"/>
          <w:color w:val="000000" w:themeColor="text1"/>
          <w:spacing w:val="0"/>
          <w:sz w:val="24"/>
          <w:szCs w:val="24"/>
          <w:highlight w:val="none"/>
          <w14:textFill>
            <w14:solidFill>
              <w14:schemeClr w14:val="tx1"/>
            </w14:solidFill>
          </w14:textFill>
        </w:rPr>
        <w:t>。合同履行期间，当施工机具台班单价涨跌幅度等于或低于 B 值时，该施工机具台班单价不予调整；超过 B 值时，其超过部分可以调整。相关费用按有关规定进行相应调整。</w:t>
      </w:r>
    </w:p>
    <w:p w14:paraId="120353C6">
      <w:pPr>
        <w:keepNext w:val="0"/>
        <w:keepLines w:val="0"/>
        <w:pageBreakBefore w:val="0"/>
        <w:wordWrap w:val="0"/>
        <w:overflowPunct/>
        <w:topLinePunct w:val="0"/>
        <w:bidi w:val="0"/>
        <w:spacing w:before="153" w:line="278" w:lineRule="auto"/>
        <w:ind w:left="42" w:right="59" w:firstLine="44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a </w:t>
      </w:r>
      <w:r>
        <w:rPr>
          <w:rFonts w:hint="eastAsia" w:ascii="宋体" w:hAnsi="宋体" w:eastAsia="宋体" w:cs="宋体"/>
          <w:color w:val="000000" w:themeColor="text1"/>
          <w:spacing w:val="0"/>
          <w:sz w:val="24"/>
          <w:szCs w:val="24"/>
          <w:highlight w:val="none"/>
          <w14:textFill>
            <w14:solidFill>
              <w14:schemeClr w14:val="tx1"/>
            </w14:solidFill>
          </w14:textFill>
        </w:rPr>
        <w:t>．如果承包人投标报价中施工机具台班单价（以下简称“ 中标单价 ”）低于基准日当月项目所在地工程造价管理机构发布的对应施工机具台班单价（以下简称“基准单价 ”），该施工机具台班的结算单价调整公式为：</w:t>
      </w:r>
    </w:p>
    <w:p w14:paraId="0DF11097">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涨价时，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31" o:spt="75" type="#_x0000_t75" style="height:33.95pt;width:200.95pt;" o:ole="t" filled="f" o:preferrelative="t" stroked="f" coordsize="21600,21600">
            <v:path/>
            <v:fill on="f" focussize="0,0"/>
            <v:stroke on="f"/>
            <v:imagedata r:id="rId42" embosscolor="#FFFFFF" o:title=""/>
            <o:lock v:ext="edit" grouping="f" rotation="f" text="f" aspectratio="t"/>
            <w10:wrap type="none"/>
            <w10:anchorlock/>
          </v:shape>
          <o:OLEObject Type="Embed" ProgID="Equation.KSEE3" ShapeID="_x0000_i1031" DrawAspect="Content" ObjectID="_1468075731" r:id="rId41">
            <o:LockedField>false</o:LockedField>
          </o:OLEObject>
        </w:object>
      </w:r>
    </w:p>
    <w:p w14:paraId="183065CE">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跌价时，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32" o:spt="75" type="#_x0000_t75" style="height:33.95pt;width:198pt;" o:ole="t" filled="f" o:preferrelative="t" stroked="f" coordsize="21600,21600">
            <v:path/>
            <v:fill on="f" focussize="0,0"/>
            <v:stroke on="f"/>
            <v:imagedata r:id="rId44" embosscolor="#FFFFFF" o:title=""/>
            <o:lock v:ext="edit" grouping="f" rotation="f" text="f" aspectratio="t"/>
            <w10:wrap type="none"/>
            <w10:anchorlock/>
          </v:shape>
          <o:OLEObject Type="Embed" ProgID="Equation.KSEE3" ShapeID="_x0000_i1032" DrawAspect="Content" ObjectID="_1468075732" r:id="rId43">
            <o:LockedField>false</o:LockedField>
          </o:OLEObject>
        </w:object>
      </w:r>
    </w:p>
    <w:p w14:paraId="2B2919C1">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spacing w:val="0"/>
          <w:kern w:val="0"/>
          <w:sz w:val="24"/>
          <w:szCs w:val="24"/>
          <w:highlight w:val="none"/>
          <w14:textFill>
            <w14:solidFill>
              <w14:schemeClr w14:val="tx1"/>
            </w14:solidFill>
          </w14:textFill>
        </w:rPr>
        <w:t>b</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．如果中标单价高于基准单价，该施工机具台班的结算单价调整公式为：</w:t>
      </w:r>
    </w:p>
    <w:p w14:paraId="0B4D8697">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涨价时，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33" o:spt="75" type="#_x0000_t75" style="height:33.95pt;width:198pt;" o:ole="t" filled="f" o:preferrelative="t" stroked="f" coordsize="21600,21600">
            <v:path/>
            <v:fill on="f" focussize="0,0"/>
            <v:stroke on="f"/>
            <v:imagedata r:id="rId46" embosscolor="#FFFFFF" o:title=""/>
            <o:lock v:ext="edit" grouping="f" rotation="f" text="f" aspectratio="t"/>
            <w10:wrap type="none"/>
            <w10:anchorlock/>
          </v:shape>
          <o:OLEObject Type="Embed" ProgID="Equation.KSEE3" ShapeID="_x0000_i1033" DrawAspect="Content" ObjectID="_1468075733" r:id="rId45">
            <o:LockedField>false</o:LockedField>
          </o:OLEObject>
        </w:object>
      </w:r>
    </w:p>
    <w:p w14:paraId="3F7BD139">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跌价时，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34" o:spt="75" type="#_x0000_t75" style="height:33.95pt;width:200.95pt;" o:ole="t" filled="f" o:preferrelative="t" stroked="f" coordsize="21600,21600">
            <v:path/>
            <v:fill on="f" focussize="0,0"/>
            <v:stroke on="f"/>
            <v:imagedata r:id="rId48" embosscolor="#FFFFFF" o:title=""/>
            <o:lock v:ext="edit" grouping="f" rotation="f" text="f" aspectratio="t"/>
            <w10:wrap type="none"/>
            <w10:anchorlock/>
          </v:shape>
          <o:OLEObject Type="Embed" ProgID="Equation.KSEE3" ShapeID="_x0000_i1034" DrawAspect="Content" ObjectID="_1468075734" r:id="rId47">
            <o:LockedField>false</o:LockedField>
          </o:OLEObject>
        </w:object>
      </w:r>
    </w:p>
    <w:p w14:paraId="62112DB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spacing w:val="0"/>
          <w:kern w:val="0"/>
          <w:sz w:val="24"/>
          <w:szCs w:val="24"/>
          <w:highlight w:val="none"/>
          <w14:textFill>
            <w14:solidFill>
              <w14:schemeClr w14:val="tx1"/>
            </w14:solidFill>
          </w14:textFill>
        </w:rPr>
        <w:t>c</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．如果中标单价等于基准单价，该施工机具台班的结算单价调整公式为：</w:t>
      </w:r>
    </w:p>
    <w:p w14:paraId="68970ACC">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涨价时，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35" o:spt="75" type="#_x0000_t75" style="height:33.95pt;width:200.95pt;" o:ole="t" filled="f" o:preferrelative="t" stroked="f" coordsize="21600,21600">
            <v:path/>
            <v:fill on="f" focussize="0,0"/>
            <v:stroke on="f"/>
            <v:imagedata r:id="rId50" embosscolor="#FFFFFF" o:title=""/>
            <o:lock v:ext="edit" grouping="f" rotation="f" text="f" aspectratio="t"/>
            <w10:wrap type="none"/>
            <w10:anchorlock/>
          </v:shape>
          <o:OLEObject Type="Embed" ProgID="Equation.KSEE3" ShapeID="_x0000_i1035" DrawAspect="Content" ObjectID="_1468075735" r:id="rId49">
            <o:LockedField>false</o:LockedField>
          </o:OLEObject>
        </w:object>
      </w:r>
    </w:p>
    <w:p w14:paraId="121158F2">
      <w:pPr>
        <w:keepNext w:val="0"/>
        <w:keepLines w:val="0"/>
        <w:pageBreakBefore w:val="0"/>
        <w:wordWrap w:val="0"/>
        <w:overflowPunct/>
        <w:topLinePunct w:val="0"/>
        <w:bidi w:val="0"/>
        <w:spacing w:before="79" w:line="324" w:lineRule="auto"/>
        <w:ind w:left="11" w:right="65" w:firstLine="504"/>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跌价时，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36" o:spt="75" type="#_x0000_t75" style="height:33.95pt;width:200.95pt;" o:ole="t" filled="f" o:preferrelative="t" stroked="f" coordsize="21600,21600">
            <v:path/>
            <v:fill on="f" focussize="0,0"/>
            <v:stroke on="f"/>
            <v:imagedata r:id="rId52" embosscolor="#FFFFFF" o:title=""/>
            <o:lock v:ext="edit" grouping="f" rotation="f" text="f" aspectratio="t"/>
            <w10:wrap type="none"/>
            <w10:anchorlock/>
          </v:shape>
          <o:OLEObject Type="Embed" ProgID="Equation.KSEE3" ShapeID="_x0000_i1036" DrawAspect="Content" ObjectID="_1468075736" r:id="rId51">
            <o:LockedField>false</o:LockedField>
          </o:OLEObject>
        </w:object>
      </w:r>
    </w:p>
    <w:p w14:paraId="1258EA6F">
      <w:pPr>
        <w:keepNext w:val="0"/>
        <w:keepLines w:val="0"/>
        <w:pageBreakBefore w:val="0"/>
        <w:wordWrap w:val="0"/>
        <w:overflowPunct/>
        <w:topLinePunct w:val="0"/>
        <w:bidi w:val="0"/>
        <w:spacing w:before="79" w:line="324" w:lineRule="auto"/>
        <w:ind w:left="11" w:right="65" w:firstLine="50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以上公式中，F</w:t>
      </w:r>
      <w:r>
        <w:rPr>
          <w:rFonts w:hint="eastAsia" w:ascii="宋体" w:hAnsi="宋体" w:eastAsia="宋体" w:cs="宋体"/>
          <w:color w:val="000000" w:themeColor="text1"/>
          <w:spacing w:val="0"/>
          <w:position w:val="-1"/>
          <w:sz w:val="15"/>
          <w:szCs w:val="15"/>
          <w:highlight w:val="none"/>
          <w14:textFill>
            <w14:solidFill>
              <w14:schemeClr w14:val="tx1"/>
            </w14:solidFill>
          </w14:textFill>
        </w:rPr>
        <w:t xml:space="preserve">1 </w:t>
      </w:r>
      <w:r>
        <w:rPr>
          <w:rFonts w:hint="eastAsia" w:ascii="宋体" w:hAnsi="宋体" w:eastAsia="宋体" w:cs="宋体"/>
          <w:color w:val="000000" w:themeColor="text1"/>
          <w:spacing w:val="0"/>
          <w:sz w:val="24"/>
          <w:szCs w:val="24"/>
          <w:highlight w:val="none"/>
          <w14:textFill>
            <w14:solidFill>
              <w14:schemeClr w14:val="tx1"/>
            </w14:solidFill>
          </w14:textFill>
        </w:rPr>
        <w:t>为中标单价；F</w:t>
      </w:r>
      <w:r>
        <w:rPr>
          <w:rFonts w:hint="eastAsia" w:ascii="宋体" w:hAnsi="宋体" w:eastAsia="宋体" w:cs="宋体"/>
          <w:color w:val="000000" w:themeColor="text1"/>
          <w:spacing w:val="0"/>
          <w:position w:val="-1"/>
          <w:sz w:val="15"/>
          <w:szCs w:val="15"/>
          <w:highlight w:val="none"/>
          <w14:textFill>
            <w14:solidFill>
              <w14:schemeClr w14:val="tx1"/>
            </w14:solidFill>
          </w14:textFill>
        </w:rPr>
        <w:t>0</w:t>
      </w:r>
      <w:r>
        <w:rPr>
          <w:rFonts w:hint="eastAsia" w:ascii="宋体" w:hAnsi="宋体" w:eastAsia="宋体" w:cs="宋体"/>
          <w:color w:val="000000" w:themeColor="text1"/>
          <w:spacing w:val="0"/>
          <w:w w:val="101"/>
          <w:position w:val="-1"/>
          <w:sz w:val="15"/>
          <w:szCs w:val="15"/>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为基准单价；F</w:t>
      </w:r>
      <w:r>
        <w:rPr>
          <w:rFonts w:hint="eastAsia" w:ascii="宋体" w:hAnsi="宋体" w:eastAsia="宋体" w:cs="宋体"/>
          <w:color w:val="000000" w:themeColor="text1"/>
          <w:spacing w:val="0"/>
          <w:position w:val="-1"/>
          <w:sz w:val="15"/>
          <w:szCs w:val="15"/>
          <w:highlight w:val="none"/>
          <w14:textFill>
            <w14:solidFill>
              <w14:schemeClr w14:val="tx1"/>
            </w14:solidFill>
          </w14:textFill>
        </w:rPr>
        <w:t xml:space="preserve">2 </w:t>
      </w:r>
      <w:r>
        <w:rPr>
          <w:rFonts w:hint="eastAsia" w:ascii="宋体" w:hAnsi="宋体" w:eastAsia="宋体" w:cs="宋体"/>
          <w:color w:val="000000" w:themeColor="text1"/>
          <w:spacing w:val="0"/>
          <w:sz w:val="24"/>
          <w:szCs w:val="24"/>
          <w:highlight w:val="none"/>
          <w14:textFill>
            <w14:solidFill>
              <w14:schemeClr w14:val="tx1"/>
            </w14:solidFill>
          </w14:textFill>
        </w:rPr>
        <w:t>为施工当月项目所在地工程造价管理机构发布的施工机具台班单价；B 为合同约定的施工机具台班单价涨跌风险幅度值。</w:t>
      </w:r>
    </w:p>
    <w:p w14:paraId="08F7A996">
      <w:pPr>
        <w:keepNext w:val="0"/>
        <w:keepLines w:val="0"/>
        <w:pageBreakBefore w:val="0"/>
        <w:wordWrap w:val="0"/>
        <w:overflowPunct/>
        <w:topLinePunct w:val="0"/>
        <w:bidi w:val="0"/>
        <w:spacing w:before="39" w:line="219" w:lineRule="auto"/>
        <w:ind w:left="48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2.3.7  </w:t>
      </w:r>
      <w:r>
        <w:rPr>
          <w:rFonts w:hint="eastAsia" w:ascii="宋体" w:hAnsi="宋体" w:eastAsia="宋体" w:cs="宋体"/>
          <w:color w:val="000000" w:themeColor="text1"/>
          <w:spacing w:val="0"/>
          <w:sz w:val="24"/>
          <w:szCs w:val="24"/>
          <w:highlight w:val="none"/>
          <w14:textFill>
            <w14:solidFill>
              <w14:schemeClr w14:val="tx1"/>
            </w14:solidFill>
          </w14:textFill>
        </w:rPr>
        <w:t>暂估价和暂列金额</w:t>
      </w:r>
    </w:p>
    <w:p w14:paraId="55F5A879">
      <w:pPr>
        <w:keepNext w:val="0"/>
        <w:keepLines w:val="0"/>
        <w:pageBreakBefore w:val="0"/>
        <w:wordWrap w:val="0"/>
        <w:overflowPunct/>
        <w:topLinePunct w:val="0"/>
        <w:bidi w:val="0"/>
        <w:spacing w:before="154" w:line="299" w:lineRule="auto"/>
        <w:ind w:left="7" w:right="57" w:firstLine="477"/>
        <w:rPr>
          <w:rFonts w:hint="eastAsia" w:ascii="宋体" w:hAnsi="宋体" w:eastAsia="宋体" w:cs="宋体"/>
          <w:snapToGrid w:val="0"/>
          <w:color w:val="000000" w:themeColor="text1"/>
          <w:spacing w:val="0"/>
          <w:ker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"2.3.7.1"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2.3.7.1</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snapToGrid w:val="0"/>
          <w:color w:val="000000" w:themeColor="text1"/>
          <w:spacing w:val="0"/>
          <w:kern w:val="0"/>
          <w:sz w:val="24"/>
          <w:szCs w:val="24"/>
          <w:highlight w:val="none"/>
          <w:lang w:eastAsia="zh-CN"/>
          <w14:textFill>
            <w14:solidFill>
              <w14:schemeClr w14:val="tx1"/>
            </w14:solidFill>
          </w14:textFill>
        </w:rPr>
        <w:t xml:space="preserve">暂估价项目按第一章第三节“投标人须知正文 ”第 </w:t>
      </w:r>
      <w:r>
        <w:rPr>
          <w:rFonts w:hint="eastAsia" w:ascii="宋体" w:hAnsi="宋体" w:eastAsia="宋体" w:cs="宋体"/>
          <w:b/>
          <w:bCs/>
          <w:snapToGrid w:val="0"/>
          <w:color w:val="000000" w:themeColor="text1"/>
          <w:spacing w:val="0"/>
          <w:kern w:val="0"/>
          <w:sz w:val="24"/>
          <w:szCs w:val="24"/>
          <w:highlight w:val="none"/>
          <w:lang w:eastAsia="zh-CN"/>
          <w14:textFill>
            <w14:solidFill>
              <w14:schemeClr w14:val="tx1"/>
            </w14:solidFill>
          </w14:textFill>
        </w:rPr>
        <w:t>8.5</w:t>
      </w:r>
      <w:r>
        <w:rPr>
          <w:rFonts w:hint="eastAsia" w:ascii="宋体" w:hAnsi="宋体" w:eastAsia="宋体" w:cs="宋体"/>
          <w:snapToGrid w:val="0"/>
          <w:color w:val="000000" w:themeColor="text1"/>
          <w:spacing w:val="0"/>
          <w:kern w:val="0"/>
          <w:sz w:val="24"/>
          <w:szCs w:val="24"/>
          <w:highlight w:val="none"/>
          <w:lang w:eastAsia="zh-CN"/>
          <w14:textFill>
            <w14:solidFill>
              <w14:schemeClr w14:val="tx1"/>
            </w14:solidFill>
          </w14:textFill>
        </w:rPr>
        <w:t xml:space="preserve"> 条的规定确定专业工程承包人（或材料供应商、工程设备供应商）后，将专业工程合同价款（或材料单价、工程设备单价）取代相应暂估价，并调整合同价款。</w:t>
      </w:r>
    </w:p>
    <w:p w14:paraId="75732179">
      <w:pPr>
        <w:keepNext w:val="0"/>
        <w:keepLines w:val="0"/>
        <w:pageBreakBefore w:val="0"/>
        <w:wordWrap w:val="0"/>
        <w:overflowPunct/>
        <w:topLinePunct w:val="0"/>
        <w:bidi w:val="0"/>
        <w:spacing w:before="153" w:line="315" w:lineRule="auto"/>
        <w:ind w:left="8" w:right="2"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"2.3.7.2"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2.3.7.2</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暂列金额由发包人掌握和使用。暂列金额项目若有发生，按第一章第三节“投标人须知正文 ”第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8.6 </w:t>
      </w:r>
      <w:r>
        <w:rPr>
          <w:rFonts w:hint="eastAsia" w:ascii="宋体" w:hAnsi="宋体" w:eastAsia="宋体" w:cs="宋体"/>
          <w:color w:val="000000" w:themeColor="text1"/>
          <w:spacing w:val="0"/>
          <w:sz w:val="24"/>
          <w:szCs w:val="24"/>
          <w:highlight w:val="none"/>
          <w14:textFill>
            <w14:solidFill>
              <w14:schemeClr w14:val="tx1"/>
            </w14:solidFill>
          </w14:textFill>
        </w:rPr>
        <w:t>条的规定确定材料供应商（或工程设备供应商、服务供应商）后，材料（或工程设备、服务）的合同价款从暂列金额中支付。暂列金额扣除已发生的暂列 金额项目合同价款、已发生的合同约定调整因素出现时的调整价款、已发生的索赔以及现场签证确认等的费用后，余额（若有）归发包人所有。</w:t>
      </w:r>
    </w:p>
    <w:p w14:paraId="1FFEB093">
      <w:pPr>
        <w:keepNext w:val="0"/>
        <w:keepLines w:val="0"/>
        <w:pageBreakBefore w:val="0"/>
        <w:wordWrap w:val="0"/>
        <w:overflowPunct/>
        <w:topLinePunct w:val="0"/>
        <w:bidi w:val="0"/>
        <w:spacing w:before="153" w:line="315" w:lineRule="auto"/>
        <w:ind w:left="8" w:right="2"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2.3.8</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预算包干费按照分部分项的人工费与施工机具费之和及投标费率计取。本招标项目的预算包干内容包括：施工雨水、污水的排除；因地形影响造成的场内料具二次运输；20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米以内挖土方的塌方；日间照明施工增加费(不包括地下室和特殊工程)；完工清场后的垃圾外运；地上(地下)设施，建筑物的临时保护设施费和二次加工基地设施费；雨季施工增加费；己完工程及设备保护等。</w:t>
      </w:r>
    </w:p>
    <w:p w14:paraId="00D8F120">
      <w:pPr>
        <w:keepNext w:val="0"/>
        <w:keepLines w:val="0"/>
        <w:pageBreakBefore w:val="0"/>
        <w:wordWrap w:val="0"/>
        <w:overflowPunct/>
        <w:topLinePunct w:val="0"/>
        <w:bidi w:val="0"/>
        <w:spacing w:before="153" w:line="315" w:lineRule="auto"/>
        <w:ind w:left="8" w:right="2"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2.3.</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9</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其余事项（如不可抗力、索赔、现场签证等）的调整原则按照《</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建设工程工程量清单计价标准</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GB/T50500-2024</w:t>
      </w:r>
      <w:r>
        <w:rPr>
          <w:rFonts w:hint="eastAsia" w:ascii="宋体" w:hAnsi="宋体" w:eastAsia="宋体" w:cs="宋体"/>
          <w:color w:val="000000" w:themeColor="text1"/>
          <w:spacing w:val="0"/>
          <w:sz w:val="24"/>
          <w:szCs w:val="24"/>
          <w:highlight w:val="none"/>
          <w14:textFill>
            <w14:solidFill>
              <w14:schemeClr w14:val="tx1"/>
            </w14:solidFill>
          </w14:textFill>
        </w:rPr>
        <w:t>）有关规定执行。</w:t>
      </w:r>
    </w:p>
    <w:p w14:paraId="0C5E03A8">
      <w:pPr>
        <w:keepNext w:val="0"/>
        <w:keepLines w:val="0"/>
        <w:pageBreakBefore w:val="0"/>
        <w:wordWrap w:val="0"/>
        <w:overflowPunct/>
        <w:topLinePunct w:val="0"/>
        <w:bidi w:val="0"/>
        <w:spacing w:before="156" w:line="299" w:lineRule="auto"/>
        <w:ind w:left="12" w:right="65" w:firstLine="55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2.4  </w:t>
      </w:r>
      <w:r>
        <w:rPr>
          <w:rFonts w:hint="eastAsia" w:ascii="宋体" w:hAnsi="宋体" w:eastAsia="宋体" w:cs="宋体"/>
          <w:color w:val="000000" w:themeColor="text1"/>
          <w:spacing w:val="0"/>
          <w:sz w:val="24"/>
          <w:szCs w:val="24"/>
          <w:highlight w:val="none"/>
          <w14:textFill>
            <w14:solidFill>
              <w14:schemeClr w14:val="tx1"/>
            </w14:solidFill>
          </w14:textFill>
        </w:rPr>
        <w:t>凡将引起合同价款调增的事项，承包人必须于拟实施 14 天前，将详细的报价书（含拟实施项目名称、变更部位、理由、预计造价等）报监理单位审核和发包人批准后方可实施。</w:t>
      </w:r>
    </w:p>
    <w:p w14:paraId="7E55A3E2">
      <w:pPr>
        <w:keepNext w:val="0"/>
        <w:keepLines w:val="0"/>
        <w:pageBreakBefore w:val="0"/>
        <w:wordWrap w:val="0"/>
        <w:overflowPunct/>
        <w:topLinePunct w:val="0"/>
        <w:bidi w:val="0"/>
        <w:spacing w:before="153" w:line="279" w:lineRule="auto"/>
        <w:ind w:left="9" w:right="102"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2.5 </w:t>
      </w:r>
      <w:r>
        <w:rPr>
          <w:rFonts w:hint="eastAsia" w:ascii="宋体" w:hAnsi="宋体" w:eastAsia="宋体" w:cs="宋体"/>
          <w:color w:val="000000" w:themeColor="text1"/>
          <w:spacing w:val="0"/>
          <w:sz w:val="24"/>
          <w:szCs w:val="24"/>
          <w:highlight w:val="none"/>
          <w14:textFill>
            <w14:solidFill>
              <w14:schemeClr w14:val="tx1"/>
            </w14:solidFill>
          </w14:textFill>
        </w:rPr>
        <w:t>承包人不得以不完全了解现场情况为理由，提出额外付款或延长工期等要求。 对此类要求，发包人不作任何考虑及答复。</w:t>
      </w:r>
    </w:p>
    <w:p w14:paraId="50E281B0">
      <w:pPr>
        <w:keepNext w:val="0"/>
        <w:keepLines w:val="0"/>
        <w:pageBreakBefore w:val="0"/>
        <w:wordWrap w:val="0"/>
        <w:overflowPunct/>
        <w:topLinePunct w:val="0"/>
        <w:bidi w:val="0"/>
        <w:spacing w:before="154" w:line="279" w:lineRule="auto"/>
        <w:ind w:left="10" w:right="63"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2.6 </w:t>
      </w:r>
      <w:r>
        <w:rPr>
          <w:rFonts w:hint="eastAsia" w:ascii="宋体" w:hAnsi="宋体" w:eastAsia="宋体" w:cs="宋体"/>
          <w:color w:val="000000" w:themeColor="text1"/>
          <w:spacing w:val="0"/>
          <w:sz w:val="24"/>
          <w:szCs w:val="24"/>
          <w:highlight w:val="none"/>
          <w14:textFill>
            <w14:solidFill>
              <w14:schemeClr w14:val="tx1"/>
            </w14:solidFill>
          </w14:textFill>
        </w:rPr>
        <w:t>承包人已标价工程量清单中漏报、错报或少报的清单项目，其价格均视为已经包含在其它清单项目中，竣工结算时不得重新组价和调整。</w:t>
      </w:r>
    </w:p>
    <w:p w14:paraId="75BC7B06">
      <w:pPr>
        <w:keepNext w:val="0"/>
        <w:keepLines w:val="0"/>
        <w:pageBreakBefore w:val="0"/>
        <w:wordWrap w:val="0"/>
        <w:overflowPunct/>
        <w:topLinePunct w:val="0"/>
        <w:bidi w:val="0"/>
        <w:spacing w:before="155" w:line="299" w:lineRule="auto"/>
        <w:ind w:left="12" w:right="65" w:firstLine="47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2.7  </w:t>
      </w:r>
      <w:r>
        <w:rPr>
          <w:rFonts w:hint="eastAsia" w:ascii="宋体" w:hAnsi="宋体" w:eastAsia="宋体" w:cs="宋体"/>
          <w:color w:val="000000" w:themeColor="text1"/>
          <w:spacing w:val="0"/>
          <w:sz w:val="24"/>
          <w:szCs w:val="24"/>
          <w:highlight w:val="none"/>
          <w14:textFill>
            <w14:solidFill>
              <w14:schemeClr w14:val="tx1"/>
            </w14:solidFill>
          </w14:textFill>
        </w:rPr>
        <w:t>项目完工后，发、承包双方和受其委托具备相应资质的工程造价咨询单位必须按照《</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建设工程工程量清单计价标准</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GB/T50500-2024</w:t>
      </w:r>
      <w:r>
        <w:rPr>
          <w:rFonts w:hint="eastAsia" w:ascii="宋体" w:hAnsi="宋体" w:eastAsia="宋体" w:cs="宋体"/>
          <w:color w:val="000000" w:themeColor="text1"/>
          <w:spacing w:val="0"/>
          <w:sz w:val="24"/>
          <w:szCs w:val="24"/>
          <w:highlight w:val="none"/>
          <w14:textFill>
            <w14:solidFill>
              <w14:schemeClr w14:val="tx1"/>
            </w14:solidFill>
          </w14:textFill>
        </w:rPr>
        <w:t>）和国家、省、市的有关规定办理竣工结算。</w:t>
      </w:r>
    </w:p>
    <w:p w14:paraId="18501ACB">
      <w:pPr>
        <w:keepNext w:val="0"/>
        <w:keepLines w:val="0"/>
        <w:pageBreakBefore w:val="0"/>
        <w:wordWrap w:val="0"/>
        <w:overflowPunct/>
        <w:topLinePunct w:val="0"/>
        <w:bidi w:val="0"/>
        <w:spacing w:before="152" w:line="319" w:lineRule="auto"/>
        <w:ind w:left="8" w:right="38" w:firstLine="55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2.8  </w:t>
      </w:r>
      <w:r>
        <w:rPr>
          <w:rFonts w:hint="eastAsia" w:ascii="宋体" w:hAnsi="宋体" w:eastAsia="宋体" w:cs="宋体"/>
          <w:color w:val="000000" w:themeColor="text1"/>
          <w:spacing w:val="0"/>
          <w:sz w:val="24"/>
          <w:szCs w:val="24"/>
          <w:highlight w:val="none"/>
          <w14:textFill>
            <w14:solidFill>
              <w14:schemeClr w14:val="tx1"/>
            </w14:solidFill>
          </w14:textFill>
        </w:rPr>
        <w:t>承包人已标价工程量清单中没有的材料（或工程设备），承包人在使用前必须将材料（或工程设备）样板、材料合格证明（或产品合格证书）、材料（或工程设备）检验报告提交给监理单位和发包人审核。发包人审定并确定价格后，承包人方可采购和使用。如果在交货验收和使用过程中发现货不对板，监理单位和发包人有权拒用，并要 求承包人立即进行更换。更换后的材料（或工程设备）应再次进行检查和检验。由此增 加的费用和（或）工期延误由承包人承担。</w:t>
      </w:r>
    </w:p>
    <w:p w14:paraId="32105AE6">
      <w:pPr>
        <w:keepNext w:val="0"/>
        <w:keepLines w:val="0"/>
        <w:pageBreakBefore w:val="0"/>
        <w:wordWrap w:val="0"/>
        <w:overflowPunct/>
        <w:topLinePunct w:val="0"/>
        <w:bidi w:val="0"/>
        <w:spacing w:before="152" w:line="319" w:lineRule="auto"/>
        <w:ind w:left="8" w:right="38" w:firstLine="55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2.9 </w:t>
      </w:r>
      <w:r>
        <w:rPr>
          <w:rFonts w:hint="eastAsia" w:ascii="宋体" w:hAnsi="宋体" w:eastAsia="宋体" w:cs="宋体"/>
          <w:color w:val="000000" w:themeColor="text1"/>
          <w:spacing w:val="0"/>
          <w:sz w:val="24"/>
          <w:szCs w:val="24"/>
          <w:highlight w:val="none"/>
          <w14:textFill>
            <w14:solidFill>
              <w14:schemeClr w14:val="tx1"/>
            </w14:solidFill>
          </w14:textFill>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电商平台价格（优先从京东、国美、苏宁等大型电商平台查询取其平均价）；若以上方式均无法确定材料价格 的，则采用厂商报价或市场询价等方式取得有合法依据的市场价格，报发包人确认。</w:t>
      </w:r>
    </w:p>
    <w:p w14:paraId="1C684DEC">
      <w:pPr>
        <w:pStyle w:val="35"/>
        <w:keepNext w:val="0"/>
        <w:keepLines w:val="0"/>
        <w:pageBreakBefore w:val="0"/>
        <w:wordWrap w:val="0"/>
        <w:overflowPunct/>
        <w:topLinePunct w:val="0"/>
        <w:bidi w:val="0"/>
        <w:snapToGrid w:val="0"/>
        <w:spacing w:line="440" w:lineRule="exact"/>
        <w:ind w:firstLine="480"/>
        <w:jc w:val="both"/>
        <w:outlineLvl w:val="2"/>
        <w:rPr>
          <w:rStyle w:val="26"/>
          <w:rFonts w:hint="eastAsia" w:ascii="宋体" w:hAnsi="宋体" w:eastAsia="宋体" w:cs="宋体"/>
          <w:b/>
          <w:bCs/>
          <w:color w:val="000000" w:themeColor="text1"/>
          <w:spacing w:val="0"/>
          <w:sz w:val="24"/>
          <w:szCs w:val="24"/>
          <w:highlight w:val="none"/>
          <w14:textFill>
            <w14:solidFill>
              <w14:schemeClr w14:val="tx1"/>
            </w14:solidFill>
          </w14:textFill>
        </w:rPr>
      </w:pPr>
      <w:bookmarkStart w:id="173" w:name="_Toc1816"/>
      <w:bookmarkStart w:id="174" w:name="_Toc15937"/>
      <w:r>
        <w:rPr>
          <w:rStyle w:val="26"/>
          <w:rFonts w:hint="eastAsia" w:ascii="宋体" w:hAnsi="宋体" w:eastAsia="宋体" w:cs="宋体"/>
          <w:b/>
          <w:bCs/>
          <w:color w:val="000000" w:themeColor="text1"/>
          <w:spacing w:val="0"/>
          <w:sz w:val="24"/>
          <w:szCs w:val="24"/>
          <w:highlight w:val="none"/>
          <w14:textFill>
            <w14:solidFill>
              <w14:schemeClr w14:val="tx1"/>
            </w14:solidFill>
          </w14:textFill>
        </w:rPr>
        <w:t>3. 工程付款办法</w:t>
      </w:r>
      <w:bookmarkEnd w:id="173"/>
      <w:bookmarkEnd w:id="174"/>
    </w:p>
    <w:p w14:paraId="1DE34436">
      <w:pPr>
        <w:wordWrap w:val="0"/>
        <w:adjustRightInd w:val="0"/>
        <w:snapToGrid w:val="0"/>
        <w:spacing w:line="360" w:lineRule="auto"/>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3.1</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本工程</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支付 </w:t>
      </w:r>
      <w:r>
        <w:rPr>
          <w:rFonts w:hint="eastAsia" w:ascii="宋体" w:hAnsi="宋体" w:eastAsia="宋体" w:cs="宋体"/>
          <w:snapToGrid w:val="0"/>
          <w:color w:val="000000" w:themeColor="text1"/>
          <w:kern w:val="0"/>
          <w:sz w:val="24"/>
          <w:szCs w:val="24"/>
          <w:highlight w:val="none"/>
          <w14:textFill>
            <w14:solidFill>
              <w14:schemeClr w14:val="tx1"/>
            </w14:solidFill>
          </w14:textFill>
        </w:rPr>
        <w:t>施工预付款。</w:t>
      </w:r>
    </w:p>
    <w:p w14:paraId="241C9822">
      <w:pPr>
        <w:wordWrap w:val="0"/>
        <w:adjustRightInd w:val="0"/>
        <w:snapToGrid w:val="0"/>
        <w:spacing w:line="360" w:lineRule="auto"/>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3.2</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施工预付款必须专用于合同工程，并按以下原则支付和抵扣：</w:t>
      </w:r>
    </w:p>
    <w:p w14:paraId="446B4EBF">
      <w:pPr>
        <w:wordWrap w:val="0"/>
        <w:adjustRightInd w:val="0"/>
        <w:snapToGrid w:val="0"/>
        <w:spacing w:line="360" w:lineRule="auto"/>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3.2.1</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施工预付款支付比例为：按施工合同价的</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30% </w:t>
      </w:r>
      <w:r>
        <w:rPr>
          <w:rFonts w:hint="eastAsia" w:ascii="宋体" w:hAnsi="宋体" w:eastAsia="宋体" w:cs="宋体"/>
          <w:snapToGrid w:val="0"/>
          <w:color w:val="000000" w:themeColor="text1"/>
          <w:kern w:val="0"/>
          <w:sz w:val="24"/>
          <w:szCs w:val="24"/>
          <w:highlight w:val="none"/>
          <w14:textFill>
            <w14:solidFill>
              <w14:schemeClr w14:val="tx1"/>
            </w14:solidFill>
          </w14:textFill>
        </w:rPr>
        <w:t>支付。</w:t>
      </w:r>
    </w:p>
    <w:p w14:paraId="571C8EB5">
      <w:pPr>
        <w:wordWrap w:val="0"/>
        <w:adjustRightInd w:val="0"/>
        <w:snapToGrid w:val="0"/>
        <w:spacing w:line="360" w:lineRule="auto"/>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3.2.2</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本招标项目</w:t>
      </w:r>
      <w:r>
        <w:rPr>
          <w:rFonts w:hint="eastAsia" w:ascii="宋体" w:hAnsi="宋体" w:eastAsia="宋体" w:cs="宋体"/>
          <w:b/>
          <w:bCs/>
          <w:snapToGrid w:val="0"/>
          <w:color w:val="000000" w:themeColor="text1"/>
          <w:kern w:val="0"/>
          <w:sz w:val="24"/>
          <w:szCs w:val="24"/>
          <w:highlight w:val="none"/>
          <w:u w:val="single"/>
          <w14:textFill>
            <w14:solidFill>
              <w14:schemeClr w14:val="tx1"/>
            </w14:solidFill>
          </w14:textFill>
        </w:rPr>
        <w:t>要求</w:t>
      </w:r>
      <w:r>
        <w:rPr>
          <w:rFonts w:hint="eastAsia" w:ascii="宋体" w:hAnsi="宋体" w:eastAsia="宋体" w:cs="宋体"/>
          <w:snapToGrid w:val="0"/>
          <w:color w:val="000000" w:themeColor="text1"/>
          <w:kern w:val="0"/>
          <w:sz w:val="24"/>
          <w:szCs w:val="24"/>
          <w:highlight w:val="none"/>
          <w14:textFill>
            <w14:solidFill>
              <w14:schemeClr w14:val="tx1"/>
            </w14:solidFill>
          </w14:textFill>
        </w:rPr>
        <w:t>承包人提供与预付款等额的预付款保函。</w:t>
      </w:r>
    </w:p>
    <w:p w14:paraId="4A4F23D6">
      <w:pPr>
        <w:wordWrap w:val="0"/>
        <w:adjustRightInd w:val="0"/>
        <w:snapToGrid w:val="0"/>
        <w:spacing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3.2.3</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承包人应在签订合同后，</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在提供符合要求的预付款保函或预付款保险</w:t>
      </w:r>
      <w:r>
        <w:rPr>
          <w:rFonts w:hint="eastAsia" w:ascii="宋体" w:hAnsi="宋体" w:eastAsia="宋体" w:cs="宋体"/>
          <w:snapToGrid w:val="0"/>
          <w:color w:val="000000" w:themeColor="text1"/>
          <w:kern w:val="0"/>
          <w:sz w:val="24"/>
          <w:szCs w:val="24"/>
          <w:highlight w:val="none"/>
          <w14:textFill>
            <w14:solidFill>
              <w14:schemeClr w14:val="tx1"/>
            </w14:solidFill>
          </w14:textFill>
        </w:rPr>
        <w:t>及在具备施工条件的前提下，向发包人提交预付款支付申请。发包人应对在收到支付申请的7天内进行核实后向承包人发出预付款支付证书，并在签发支付证书后的7天内向承包人支付预付款。凡未签订合同或不具备施工条件的工程，发包人不得预付工程款。</w:t>
      </w:r>
    </w:p>
    <w:p w14:paraId="4C8F6CA9">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3.2.4预付款应从每支付期应支付给承包人的工程进度款中扣回，直到扣回的金额达到合同约定的预付款金额为止。</w:t>
      </w:r>
    </w:p>
    <w:p w14:paraId="6BF55ED4">
      <w:pPr>
        <w:wordWrap w:val="0"/>
        <w:adjustRightInd w:val="0"/>
        <w:snapToGrid w:val="0"/>
        <w:spacing w:line="360" w:lineRule="auto"/>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3.3 </w:t>
      </w:r>
      <w:r>
        <w:rPr>
          <w:rFonts w:hint="eastAsia" w:ascii="宋体" w:hAnsi="宋体" w:eastAsia="宋体" w:cs="宋体"/>
          <w:snapToGrid w:val="0"/>
          <w:color w:val="000000" w:themeColor="text1"/>
          <w:kern w:val="0"/>
          <w:sz w:val="24"/>
          <w:szCs w:val="24"/>
          <w:highlight w:val="none"/>
          <w14:textFill>
            <w14:solidFill>
              <w14:schemeClr w14:val="tx1"/>
            </w14:solidFill>
          </w14:textFill>
        </w:rPr>
        <w:t>施工过程中按月申报工程进度款：承包人每月按工程实际完成工程量（含变更及增加工程）申报，承包人必须将《已完成工程量报表》和《工程付款申请书》于当月26日前报监理单位核</w:t>
      </w:r>
      <w:bookmarkStart w:id="175" w:name="_Hlt127094354"/>
      <w:bookmarkEnd w:id="175"/>
      <w:r>
        <w:rPr>
          <w:rFonts w:hint="eastAsia" w:ascii="宋体" w:hAnsi="宋体" w:eastAsia="宋体" w:cs="宋体"/>
          <w:snapToGrid w:val="0"/>
          <w:color w:val="000000" w:themeColor="text1"/>
          <w:kern w:val="0"/>
          <w:sz w:val="24"/>
          <w:szCs w:val="24"/>
          <w:highlight w:val="none"/>
          <w14:textFill>
            <w14:solidFill>
              <w14:schemeClr w14:val="tx1"/>
            </w14:solidFill>
          </w14:textFill>
        </w:rPr>
        <w:t>实。经监理单位审核、发包人审定后的工程进度款（指已经按照合同约定，扣除该支付期内因承包人违约而应扣除的管理费），申报后按财政资金拨付到位实际情况进行支付。</w:t>
      </w:r>
    </w:p>
    <w:p w14:paraId="1161B1D0">
      <w:pPr>
        <w:wordWrap w:val="0"/>
        <w:adjustRightInd w:val="0"/>
        <w:snapToGrid w:val="0"/>
        <w:spacing w:line="360" w:lineRule="auto"/>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3.4</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每月的工程进度款按工程实际完成工程量的</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85% </w:t>
      </w:r>
      <w:r>
        <w:rPr>
          <w:rFonts w:hint="eastAsia" w:ascii="宋体" w:hAnsi="宋体" w:eastAsia="宋体" w:cs="宋体"/>
          <w:snapToGrid w:val="0"/>
          <w:color w:val="000000" w:themeColor="text1"/>
          <w:kern w:val="0"/>
          <w:sz w:val="24"/>
          <w:szCs w:val="24"/>
          <w:highlight w:val="none"/>
          <w14:textFill>
            <w14:solidFill>
              <w14:schemeClr w14:val="tx1"/>
            </w14:solidFill>
          </w14:textFill>
        </w:rPr>
        <w:t>申请支付，工程进度款中的作业工人工资款项由发包人单独足额拨付到承包人的工资专户。</w:t>
      </w:r>
    </w:p>
    <w:p w14:paraId="5A4324B0">
      <w:pPr>
        <w:wordWrap w:val="0"/>
        <w:adjustRightInd w:val="0"/>
        <w:snapToGrid w:val="0"/>
        <w:spacing w:line="360" w:lineRule="auto"/>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3.5</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措施项目费中的“</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安全生产措施费</w:t>
      </w:r>
      <w:r>
        <w:rPr>
          <w:rFonts w:hint="eastAsia" w:ascii="宋体" w:hAnsi="宋体" w:eastAsia="宋体" w:cs="宋体"/>
          <w:snapToGrid w:val="0"/>
          <w:color w:val="000000" w:themeColor="text1"/>
          <w:kern w:val="0"/>
          <w:sz w:val="24"/>
          <w:szCs w:val="24"/>
          <w:highlight w:val="none"/>
          <w14:textFill>
            <w14:solidFill>
              <w14:schemeClr w14:val="tx1"/>
            </w14:solidFill>
          </w14:textFill>
        </w:rPr>
        <w:t>”拨付按照《广东省建设工程计价依据（2018）》执行，按照项目所在地的建设行政主管部门有关规定支付。发生一般事故及以上等级重大安全事故的，发包人可扣除承包人金额相当于所有“</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安全生产措施费</w:t>
      </w:r>
      <w:r>
        <w:rPr>
          <w:rFonts w:hint="eastAsia" w:ascii="宋体" w:hAnsi="宋体" w:eastAsia="宋体" w:cs="宋体"/>
          <w:snapToGrid w:val="0"/>
          <w:color w:val="000000" w:themeColor="text1"/>
          <w:kern w:val="0"/>
          <w:sz w:val="24"/>
          <w:szCs w:val="24"/>
          <w:highlight w:val="none"/>
          <w14:textFill>
            <w14:solidFill>
              <w14:schemeClr w14:val="tx1"/>
            </w14:solidFill>
          </w14:textFill>
        </w:rPr>
        <w:t>”的工程管理费。</w:t>
      </w:r>
    </w:p>
    <w:p w14:paraId="58038E18">
      <w:pPr>
        <w:wordWrap w:val="0"/>
        <w:adjustRightInd w:val="0"/>
        <w:snapToGrid w:val="0"/>
        <w:spacing w:line="360" w:lineRule="auto"/>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3.6</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变更工程造价必须经监理单位核实，并经发包人核定后方可支付。</w:t>
      </w:r>
    </w:p>
    <w:p w14:paraId="63B44E6E">
      <w:pPr>
        <w:wordWrap w:val="0"/>
        <w:adjustRightInd w:val="0"/>
        <w:snapToGrid w:val="0"/>
        <w:spacing w:line="360" w:lineRule="auto"/>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3.7</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结算审核完成后，于次月支付至合同价格的97%，剩余3%转为质量保证金；承包人提交了等额质量保证担保或质量保证保险的，于次月一次性结清合同价格。</w:t>
      </w:r>
    </w:p>
    <w:p w14:paraId="058D0CE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both"/>
        <w:textAlignment w:val="auto"/>
        <w:rPr>
          <w:rFonts w:hint="eastAsia" w:ascii="宋体" w:hAnsi="宋体" w:eastAsia="宋体" w:cs="宋体"/>
          <w:snapToGrid w:val="0"/>
          <w:color w:val="000000" w:themeColor="text1"/>
          <w:spacing w:val="0"/>
          <w:kern w:val="0"/>
          <w:sz w:val="24"/>
          <w:szCs w:val="24"/>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3.8</w:t>
      </w:r>
      <w:r>
        <w:rPr>
          <w:rFonts w:hint="eastAsia" w:ascii="宋体" w:hAnsi="宋体" w:eastAsia="宋体" w:cs="宋体"/>
          <w:color w:val="000000" w:themeColor="text1"/>
          <w:sz w:val="24"/>
          <w:szCs w:val="24"/>
          <w:highlight w:val="none"/>
          <w14:textFill>
            <w14:solidFill>
              <w14:schemeClr w14:val="tx1"/>
            </w14:solidFill>
          </w14:textFill>
        </w:rPr>
        <w:t>本招标项目缺陷责任期为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年（自通过竣工验收之日起计）。缺陷责任期到期后，承包人向发包人申请退还质量保证。发包人收到退还申请后，于14天内会同承包人进行核实。经双方核实且均无异议后，发包人在核实之日起 14 天内将应返保证金（或银行保函）退还承包人。</w:t>
      </w:r>
    </w:p>
    <w:p w14:paraId="5F97EA0E">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snapToGrid w:val="0"/>
          <w:color w:val="000000" w:themeColor="text1"/>
          <w:spacing w:val="0"/>
          <w:kern w:val="0"/>
          <w:sz w:val="24"/>
          <w:szCs w:val="20"/>
          <w:highlight w:val="none"/>
          <w:lang w:eastAsia="zh-CN"/>
          <w14:textFill>
            <w14:solidFill>
              <w14:schemeClr w14:val="tx1"/>
            </w14:solidFill>
          </w14:textFill>
        </w:rPr>
      </w:pPr>
      <w:r>
        <w:rPr>
          <w:rFonts w:hint="eastAsia" w:ascii="宋体" w:hAnsi="宋体" w:eastAsia="宋体" w:cs="宋体"/>
          <w:b/>
          <w:bCs/>
          <w:snapToGrid w:val="0"/>
          <w:color w:val="000000" w:themeColor="text1"/>
          <w:spacing w:val="0"/>
          <w:kern w:val="0"/>
          <w:sz w:val="24"/>
          <w:szCs w:val="20"/>
          <w:highlight w:val="none"/>
          <w:lang w:eastAsia="zh-CN"/>
          <w14:textFill>
            <w14:solidFill>
              <w14:schemeClr w14:val="tx1"/>
            </w14:solidFill>
          </w14:textFill>
        </w:rPr>
        <w:t>3.9</w:t>
      </w:r>
      <w:r>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t xml:space="preserve"> </w:t>
      </w:r>
      <w:r>
        <w:rPr>
          <w:rFonts w:hint="eastAsia" w:ascii="宋体" w:hAnsi="宋体" w:eastAsia="宋体" w:cs="宋体"/>
          <w:b/>
          <w:bCs/>
          <w:snapToGrid w:val="0"/>
          <w:color w:val="000000" w:themeColor="text1"/>
          <w:spacing w:val="0"/>
          <w:kern w:val="0"/>
          <w:sz w:val="24"/>
          <w:szCs w:val="20"/>
          <w:highlight w:val="none"/>
          <w:lang w:eastAsia="zh-CN"/>
          <w14:textFill>
            <w14:solidFill>
              <w14:schemeClr w14:val="tx1"/>
            </w14:solidFill>
          </w14:textFill>
        </w:rPr>
        <w:t>发包人每次支付工程款前，承包人均应提供有效的增值税专用发票。如果承包人无法提供符合要求的发票，由此造成的相应损失由承包人承担。</w:t>
      </w:r>
    </w:p>
    <w:p w14:paraId="5FDBA552">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pPr>
      <w:r>
        <w:rPr>
          <w:rFonts w:hint="eastAsia" w:ascii="宋体" w:hAnsi="宋体" w:eastAsia="宋体" w:cs="宋体"/>
          <w:b/>
          <w:bCs/>
          <w:snapToGrid w:val="0"/>
          <w:color w:val="000000" w:themeColor="text1"/>
          <w:spacing w:val="0"/>
          <w:kern w:val="0"/>
          <w:sz w:val="24"/>
          <w:szCs w:val="20"/>
          <w:highlight w:val="none"/>
          <w:lang w:eastAsia="zh-CN"/>
          <w14:textFill>
            <w14:solidFill>
              <w14:schemeClr w14:val="tx1"/>
            </w14:solidFill>
          </w14:textFill>
        </w:rPr>
        <w:t>3.</w:t>
      </w:r>
      <w:r>
        <w:rPr>
          <w:rFonts w:hint="eastAsia" w:ascii="宋体" w:hAnsi="宋体" w:eastAsia="宋体" w:cs="宋体"/>
          <w:b/>
          <w:bCs/>
          <w:snapToGrid w:val="0"/>
          <w:color w:val="000000" w:themeColor="text1"/>
          <w:spacing w:val="0"/>
          <w:kern w:val="0"/>
          <w:sz w:val="24"/>
          <w:szCs w:val="20"/>
          <w:highlight w:val="none"/>
          <w:lang w:val="en-US" w:eastAsia="zh-CN"/>
          <w14:textFill>
            <w14:solidFill>
              <w14:schemeClr w14:val="tx1"/>
            </w14:solidFill>
          </w14:textFill>
        </w:rPr>
        <w:t>10</w:t>
      </w:r>
      <w:r>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t>暂列金额支付方式：</w:t>
      </w:r>
      <w:r>
        <w:rPr>
          <w:rFonts w:hint="eastAsia" w:ascii="宋体" w:hAnsi="宋体" w:eastAsia="宋体" w:cs="宋体"/>
          <w:snapToGrid w:val="0"/>
          <w:color w:val="000000" w:themeColor="text1"/>
          <w:spacing w:val="0"/>
          <w:kern w:val="0"/>
          <w:sz w:val="24"/>
          <w:szCs w:val="20"/>
          <w:highlight w:val="none"/>
          <w:u w:val="single"/>
          <w:lang w:val="en-US" w:eastAsia="zh-CN"/>
          <w14:textFill>
            <w14:solidFill>
              <w14:schemeClr w14:val="tx1"/>
            </w14:solidFill>
          </w14:textFill>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中的变更签证部分暂停拨付。在暂列金额的范围内，最终经发包人确认后支付至该部分实际完成工程量的（80％），其余部分待结算完成审核后支付至 97%，剩余 3%为工程质量保修金。</w:t>
      </w:r>
    </w:p>
    <w:p w14:paraId="4273771D">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spacing w:val="0"/>
          <w:kern w:val="0"/>
          <w:sz w:val="24"/>
          <w:szCs w:val="20"/>
          <w:highlight w:val="none"/>
          <w:u w:val="single"/>
          <w:lang w:eastAsia="zh-CN"/>
          <w14:textFill>
            <w14:solidFill>
              <w14:schemeClr w14:val="tx1"/>
            </w14:solidFill>
          </w14:textFill>
        </w:rPr>
      </w:pPr>
      <w:r>
        <w:rPr>
          <w:rFonts w:hint="eastAsia" w:ascii="宋体" w:hAnsi="宋体" w:eastAsia="宋体" w:cs="宋体"/>
          <w:b/>
          <w:bCs/>
          <w:snapToGrid w:val="0"/>
          <w:color w:val="000000" w:themeColor="text1"/>
          <w:spacing w:val="0"/>
          <w:kern w:val="0"/>
          <w:sz w:val="24"/>
          <w:szCs w:val="20"/>
          <w:highlight w:val="none"/>
          <w:lang w:eastAsia="zh-CN"/>
          <w14:textFill>
            <w14:solidFill>
              <w14:schemeClr w14:val="tx1"/>
            </w14:solidFill>
          </w14:textFill>
        </w:rPr>
        <w:t>3.11</w:t>
      </w:r>
      <w:r>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t xml:space="preserve"> 材料暂估价、专业工程暂估价支付方式：</w:t>
      </w:r>
      <w:r>
        <w:rPr>
          <w:rFonts w:hint="eastAsia" w:ascii="宋体" w:hAnsi="宋体" w:eastAsia="宋体" w:cs="宋体"/>
          <w:snapToGrid w:val="0"/>
          <w:color w:val="000000" w:themeColor="text1"/>
          <w:spacing w:val="0"/>
          <w:kern w:val="0"/>
          <w:sz w:val="24"/>
          <w:szCs w:val="20"/>
          <w:highlight w:val="none"/>
          <w:u w:val="single"/>
          <w:lang w:eastAsia="zh-CN"/>
          <w14:textFill>
            <w14:solidFill>
              <w14:schemeClr w14:val="tx1"/>
            </w14:solidFill>
          </w14:textFill>
        </w:rPr>
        <w:t>材料暂估价、专业工程暂估价与每个月的工程进度款一并报送，但需要列明详细项目内容，该部分材料暂估价、专业工程暂估价按该部分实际完成工程量的50%支付，工程竣工验收合格后</w:t>
      </w:r>
      <w:r>
        <w:rPr>
          <w:rFonts w:hint="eastAsia" w:ascii="宋体" w:hAnsi="宋体" w:eastAsia="宋体" w:cs="宋体"/>
          <w:snapToGrid w:val="0"/>
          <w:color w:val="000000" w:themeColor="text1"/>
          <w:spacing w:val="0"/>
          <w:kern w:val="0"/>
          <w:sz w:val="24"/>
          <w:szCs w:val="20"/>
          <w:highlight w:val="none"/>
          <w:u w:val="single"/>
          <w:lang w:val="en-US" w:eastAsia="zh-CN"/>
          <w14:textFill>
            <w14:solidFill>
              <w14:schemeClr w14:val="tx1"/>
            </w14:solidFill>
          </w14:textFill>
        </w:rPr>
        <w:t>14天内</w:t>
      </w:r>
      <w:r>
        <w:rPr>
          <w:rFonts w:hint="eastAsia" w:ascii="宋体" w:hAnsi="宋体" w:eastAsia="宋体" w:cs="宋体"/>
          <w:snapToGrid w:val="0"/>
          <w:color w:val="000000" w:themeColor="text1"/>
          <w:spacing w:val="0"/>
          <w:kern w:val="0"/>
          <w:sz w:val="24"/>
          <w:szCs w:val="20"/>
          <w:highlight w:val="none"/>
          <w:u w:val="single"/>
          <w:lang w:eastAsia="zh-CN"/>
          <w14:textFill>
            <w14:solidFill>
              <w14:schemeClr w14:val="tx1"/>
            </w14:solidFill>
          </w14:textFill>
        </w:rPr>
        <w:t>支付至8</w:t>
      </w:r>
      <w:r>
        <w:rPr>
          <w:rFonts w:hint="eastAsia" w:ascii="宋体" w:hAnsi="宋体" w:eastAsia="宋体" w:cs="宋体"/>
          <w:snapToGrid w:val="0"/>
          <w:color w:val="000000" w:themeColor="text1"/>
          <w:spacing w:val="0"/>
          <w:kern w:val="0"/>
          <w:sz w:val="24"/>
          <w:szCs w:val="20"/>
          <w:highlight w:val="none"/>
          <w:u w:val="single"/>
          <w:lang w:val="en-US" w:eastAsia="zh-CN"/>
          <w14:textFill>
            <w14:solidFill>
              <w14:schemeClr w14:val="tx1"/>
            </w14:solidFill>
          </w14:textFill>
        </w:rPr>
        <w:t>0</w:t>
      </w:r>
      <w:r>
        <w:rPr>
          <w:rFonts w:hint="eastAsia" w:ascii="宋体" w:hAnsi="宋体" w:eastAsia="宋体" w:cs="宋体"/>
          <w:snapToGrid w:val="0"/>
          <w:color w:val="000000" w:themeColor="text1"/>
          <w:spacing w:val="0"/>
          <w:kern w:val="0"/>
          <w:sz w:val="24"/>
          <w:szCs w:val="20"/>
          <w:highlight w:val="none"/>
          <w:u w:val="single"/>
          <w:lang w:eastAsia="zh-CN"/>
          <w14:textFill>
            <w14:solidFill>
              <w14:schemeClr w14:val="tx1"/>
            </w14:solidFill>
          </w14:textFill>
        </w:rPr>
        <w:t>%，剩余部分结算完成后支付至审定造价的97%，剩余3%为工程质量保修金。</w:t>
      </w:r>
      <w:bookmarkStart w:id="272" w:name="_GoBack"/>
      <w:bookmarkEnd w:id="272"/>
    </w:p>
    <w:p w14:paraId="1B4A6494">
      <w:pPr>
        <w:keepNext w:val="0"/>
        <w:keepLines w:val="0"/>
        <w:pageBreakBefore w:val="0"/>
        <w:wordWrap w:val="0"/>
        <w:overflowPunct/>
        <w:topLinePunct w:val="0"/>
        <w:bidi w:val="0"/>
        <w:spacing w:before="154" w:line="212" w:lineRule="auto"/>
        <w:ind w:left="486"/>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176" w:name="_Toc13671"/>
      <w:r>
        <w:rPr>
          <w:rFonts w:hint="eastAsia" w:ascii="宋体" w:hAnsi="宋体" w:eastAsia="宋体" w:cs="宋体"/>
          <w:b/>
          <w:bCs/>
          <w:color w:val="000000" w:themeColor="text1"/>
          <w:spacing w:val="0"/>
          <w:sz w:val="24"/>
          <w:szCs w:val="24"/>
          <w:highlight w:val="none"/>
          <w14:textFill>
            <w14:solidFill>
              <w14:schemeClr w14:val="tx1"/>
            </w14:solidFill>
          </w14:textFill>
        </w:rPr>
        <w:t>4 ．其他专用合同条款</w:t>
      </w:r>
      <w:bookmarkEnd w:id="176"/>
    </w:p>
    <w:p w14:paraId="51069F9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 xml:space="preserve">4.1 </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专业工程分包 </w:t>
      </w:r>
    </w:p>
    <w:p w14:paraId="71E5A23E">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 </w:t>
      </w:r>
    </w:p>
    <w:p w14:paraId="0D298AF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工人工资支付专用账户 </w:t>
      </w:r>
    </w:p>
    <w:p w14:paraId="2454931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4.2.1</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发、承包双方订立合同时，应就承包人设立工人工资支付专用账户（以下简称“工资专户”）、工程进度款中工人工资款的比例为30%、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3733DDD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4.2.2</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64D1C6EB">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按韶关市人力资源和社会保障局 韶关市住房和城乡建设管理局 韶关市交通运输局韶关市水务局 韶关市金融工作局 国家金融监督管理总局韶关监管分局关于印发《韶关市工程建设领域农民工工资保证金管理实施细则》的通知(韶人社规〔2023〕2 号) 及《韶关市工程建设领域农民工工资保证金管理实施细则》（韶法审〔2023〕19 号）规定执行。承包人在签订工程施工承包合同后一个月内必须办妥该事项，并将办妥回执交发包人。 </w:t>
      </w:r>
    </w:p>
    <w:p w14:paraId="6F4D018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 </w:t>
      </w:r>
    </w:p>
    <w:p w14:paraId="4564E298">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4.2.3</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承包人应在工资专户开立后 2 个工作日内，将开户银行及其账号、开户协议等资料提交给发包人。 </w:t>
      </w:r>
    </w:p>
    <w:p w14:paraId="0F3EA377">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（1）用人单位应当在建设项目动工前，在建设项目所在地商业银行设立工人工资支付专用账户。 </w:t>
      </w:r>
    </w:p>
    <w:p w14:paraId="776A9988">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（2）用人单位应当在用工之日起 15 日内为每一位工人办理个人银行账户。</w:t>
      </w:r>
    </w:p>
    <w:p w14:paraId="630E1A6B">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（3）用人单位应当指定专人负责建设项目施工现场台账管理，真实、准确记录工人名册、劳务合同、劳动合同、工程进度、工时台账、劳务承包款和工人工资支付等信息，并保存两年以上备查。 </w:t>
      </w:r>
    </w:p>
    <w:p w14:paraId="493CA8AC">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（4）用人单位应当按照“及时支付，按实结算”的原则，在规定日期前通过银行工人工资支付专用账户将工人工资直接支付到工人的个人银行账户，并按月将工人工资支付 明细表报施工总承包单位和建设单位备案。</w:t>
      </w:r>
    </w:p>
    <w:p w14:paraId="2E48CB0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用人单位未建立、保存用工管理台账，或者伪造相关台账的，按照《广东省劳动保障监察条例》第五十条的规定，由人力资源社会保障部门责令改正，并可处以二千元以上二万元以下的人民币罚款。</w:t>
      </w:r>
    </w:p>
    <w:p w14:paraId="35366B38">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4.2.4</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 </w:t>
      </w:r>
    </w:p>
    <w:p w14:paraId="34B5D41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4.3</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诚信登记 </w:t>
      </w:r>
    </w:p>
    <w:p w14:paraId="6076B96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根据资质管理规定，许可机关应当建立、健全建筑业企业信用档案管理制度，包括企业基本信息、资质、业绩、工程质量和安全、合同履约、社会投诉和违法行为等情况。 </w:t>
      </w:r>
    </w:p>
    <w:p w14:paraId="1254AFF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4.4</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工期进度 </w:t>
      </w:r>
    </w:p>
    <w:p w14:paraId="50B1FB1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4.4.1</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本招标项目施工标准工期为</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240</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个日历天，招标工期为</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240</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个日历天，承包人必须在招标工期内完成招标范围内的全部内容。 </w:t>
      </w:r>
    </w:p>
    <w:p w14:paraId="3937827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4.4.2</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施工工期从承包人收到监理单位签发的开工令之日起计，至竣工验收合格之日止。</w:t>
      </w:r>
    </w:p>
    <w:p w14:paraId="48D28B1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4.4.3</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工期奖罚 </w:t>
      </w:r>
    </w:p>
    <w:p w14:paraId="046DC92A">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□竣工验收合格交付使用每提前</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天竣工；奖</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元，奖励金额不超过合同价款的</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%（一般为 2%～5%）且不超过</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元。 </w:t>
      </w:r>
    </w:p>
    <w:p w14:paraId="65E4E594">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□按施工合同期约定,因承包人原因每延误</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天竣工,罚</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元。 </w:t>
      </w:r>
    </w:p>
    <w:p w14:paraId="74F80B1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□按施工合同期约定,因承包人原因延误工期</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天内不处罚， 自第壹天起每延误</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天竣工,罚元。处罚金额不超过合同价款的</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%（一般为 2%～5%）且不超过万元，累计延误工期达到</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天，报请建设行政主管部门作不良行为记录，非承包方原因或不可抗力造成延误的除外。 </w:t>
      </w:r>
    </w:p>
    <w:p w14:paraId="7091C39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☑其它说明：（1）因承包人原因，工程没有按期竣工时，承包人须在逾期第壹天起每天按合同价的 1‰ 向发包人返纳逾期竣工违约金。逾期竣工违约金的最高限额为合同价款的3%。</w:t>
      </w:r>
    </w:p>
    <w:p w14:paraId="3965E8AD">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2000元缴纳违约金给发包人，在结算中一并扣除。</w:t>
      </w:r>
    </w:p>
    <w:p w14:paraId="2B12986D">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（3）承包人在进场后7天内提交施工进度计划，并注明主要施工节点时间，送监理单位及发包人审核后，作为工期考核的阶段性指标。</w:t>
      </w:r>
    </w:p>
    <w:p w14:paraId="28565A0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4.5</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项目管理机构 </w:t>
      </w:r>
    </w:p>
    <w:p w14:paraId="27CA87A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4.5.1</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承包人派驻的项目管理班子成员必须为其投标文件确定的人员，否则发包人有权终止合同。 </w:t>
      </w:r>
    </w:p>
    <w:p w14:paraId="155CBDD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4.5.2</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项目管理班子成员不得擅自变更。其中，项目经理若有《广东省住房和城乡建设厅关于建设工程项目招标中标后监督检查的办法》（粤建市〔2009〕8 号，以下简称“《办法》”）第九条所述除外情形之一确需变更的，承包人应填写《建设工程项目管理班子变更情况报告表》（《办法》附件 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 </w:t>
      </w:r>
    </w:p>
    <w:p w14:paraId="0AE1D1C1">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4.6</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现场管理 </w:t>
      </w:r>
    </w:p>
    <w:p w14:paraId="75752DF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4.6.1</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 </w:t>
      </w:r>
    </w:p>
    <w:p w14:paraId="63E3D6B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4.6.2</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承包人应按安全施工有关规定，采取严格、科学的安全防护措施，确保施工和人员（包括第三者）的安全，承担由于自身安全防护措施不力所造成的安全事故责任和发生的费用。</w:t>
      </w:r>
    </w:p>
    <w:p w14:paraId="36093A8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4.6.3</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为保证施工现场的环境卫生，承包人在本招标项目施工过程中，所有的车辆必须按发包人规定的行车路线行驶。 </w:t>
      </w:r>
    </w:p>
    <w:p w14:paraId="18513EF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4.7</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监督实施 </w:t>
      </w:r>
    </w:p>
    <w:p w14:paraId="11B9958F">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承包人须服从发包人对工程质量、进度、成本的全方位监督，施工中的年度计划、季度计划、月度计划、施工方案等应报送监理单位审批和发包人备案。施工中的质量保措施等资料均应及时报送监理单位和发包人备案。 </w:t>
      </w:r>
    </w:p>
    <w:p w14:paraId="1E49796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4.8</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主材的采购和使用 </w:t>
      </w:r>
    </w:p>
    <w:p w14:paraId="45CFC6FF">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 </w:t>
      </w:r>
    </w:p>
    <w:p w14:paraId="637CD19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 xml:space="preserve">4.9 </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竣工资料移交 </w:t>
      </w:r>
    </w:p>
    <w:p w14:paraId="5E7CD976">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项目竣工验收时，承包人应向监理单位和发包人提供符合国家档案部门备案要求的，编制成册的竣工图及有关的技术档案资料（含声像档案）一式份。 </w:t>
      </w:r>
    </w:p>
    <w:p w14:paraId="4941230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4.10</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质量保证</w:t>
      </w:r>
    </w:p>
    <w:p w14:paraId="7C977E2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4.10.1</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本招标项目缺陷责任期为</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2</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年（自通过竣工验收之日起计），在此期间预留金额为结算价</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3%</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的质量保证。 </w:t>
      </w:r>
    </w:p>
    <w:p w14:paraId="7A2DA1C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4.10.2</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质量保证的形式包括质量保证金、质量保证担保、质量保证保险三种，由承包人自主选择。 </w:t>
      </w:r>
    </w:p>
    <w:p w14:paraId="5014A831">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（1）采用质量保证金形式的，在结清审定总造价时一次性扣留相应金额作为质量保证金。</w:t>
      </w:r>
    </w:p>
    <w:p w14:paraId="0CE411C4">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2）采用质量保证担保或质量保证保险的，承包人应在竣工验收时向发包人提交有效的商业保函、银行保函或保险合同（或保险单）原件，商业保函、银行保函或保险合同（或保险单）的有效期不得短于缺陷责任期。 </w:t>
      </w:r>
    </w:p>
    <w:p w14:paraId="00FA11C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4.10.3</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 </w:t>
      </w:r>
    </w:p>
    <w:p w14:paraId="215343EA">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由他人原因造成的缺陷，发包人负责组织维修，承包人不承担费用，且发包人不得从质量保证中扣除费用。 </w:t>
      </w:r>
    </w:p>
    <w:p w14:paraId="7C6CD6D1">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4.10.4</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缺陷责任期内，承包人应认真履行合同约定的责任。缺陷责任期到期后，承包人向发包人申请退还质量保证，发包人应按照《建设工程质量保证金管理办法》有关规定将质量保证退还给承包人。  </w:t>
      </w:r>
    </w:p>
    <w:p w14:paraId="2102D96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4.11</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不良行为处理 </w:t>
      </w:r>
    </w:p>
    <w:p w14:paraId="043D6EC9">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承包人及其有关人员有下列行为之一的，发包人应及时向建设行政主管部门报告。除按照有关法律、法规进行处罚外，不良行为将计入企业及有关个人诚信档案，并在韶关市住房和城乡建设管理局网站（http://zgj.sg.gov.cn）公示。 </w:t>
      </w:r>
    </w:p>
    <w:p w14:paraId="67A4E90D">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（1）转包、违法分包或违反投标承诺分包工程的； </w:t>
      </w:r>
    </w:p>
    <w:p w14:paraId="01E2E653">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（2）非原参加投标中标的项目经理负责组织施工或在实施过程中擅自更换项目经理的、项目的其他主要管理人员与中标文件确定的人员不相符的；</w:t>
      </w:r>
    </w:p>
    <w:p w14:paraId="4FF9DCC5">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（3）投标文件确定的大型机械设备没有进入施工现场的； </w:t>
      </w:r>
    </w:p>
    <w:p w14:paraId="2C56F21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（4）与建设单位、监理单位串通，签认虚假工程量或工程造价的； </w:t>
      </w:r>
    </w:p>
    <w:p w14:paraId="32D0DD6E">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（5）项目经理施工现场管理不到位的； </w:t>
      </w:r>
    </w:p>
    <w:p w14:paraId="01C481BC">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（6）项目经理在非本人资格证书注册单位从事工程项目施工管理的； </w:t>
      </w:r>
    </w:p>
    <w:p w14:paraId="6E3D80EF">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（7）项目经理同时承担超过一项工程项目的； </w:t>
      </w:r>
    </w:p>
    <w:p w14:paraId="7A86FACA">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（8）违反有关法律、法规、规章规定的其它行为。 </w:t>
      </w:r>
    </w:p>
    <w:p w14:paraId="2E40166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 xml:space="preserve">4.12 </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信用评价条款内容 </w:t>
      </w:r>
    </w:p>
    <w:p w14:paraId="00CEB1A4">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由发包人决定是否对施工单位的履约情况进行信用评价。若进行信用评价，评价条款由发包人自拟，条款内容可参考人员到位情况、服务配合程度、服务成果质量、项目后期服务及信用评价结果的运用等。 </w:t>
      </w:r>
    </w:p>
    <w:p w14:paraId="7742348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4.13</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危险性较大的分部分项工程安全管理约定 。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 </w:t>
      </w:r>
    </w:p>
    <w:p w14:paraId="29E4D296">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承包人应根据《危险性较大的分部分项工程安全管理规定》（住房城乡建设部令第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 </w:t>
      </w:r>
    </w:p>
    <w:p w14:paraId="54C50EB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4.14</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承包人在工程实施过程中，按照国家、省、市的相关规定制定相关的专项安全施工方案（如高支模、基坑支护、沉井等），编制专项施工方案报监理人、发包人审批后方可开展专项工程的施工。 </w:t>
      </w:r>
    </w:p>
    <w:p w14:paraId="155F342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4.15</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承包人须按照《韶关市建筑垃圾管理条例》（2021 年 5 月 1 日起施行），将弃土运至发包人指定的场所，否则发包人有权要求承包人无条件将弃土从违约弃土点运至发包人指定的场所并扣除违约金人民币</w:t>
      </w:r>
      <w:r>
        <w:rPr>
          <w:rFonts w:hint="eastAsia" w:ascii="宋体" w:hAnsi="宋体" w:eastAsia="宋体" w:cs="宋体"/>
          <w:color w:val="000000" w:themeColor="text1"/>
          <w:spacing w:val="0"/>
          <w:kern w:val="2"/>
          <w:sz w:val="24"/>
          <w:szCs w:val="24"/>
          <w:highlight w:val="none"/>
          <w:u w:val="single"/>
          <w:shd w:val="clear" w:color="auto" w:fill="FFFFFF"/>
          <w:lang w:val="en-US" w:eastAsia="zh-CN" w:bidi="ar-SA"/>
          <w14:textFill>
            <w14:solidFill>
              <w14:schemeClr w14:val="tx1"/>
            </w14:solidFill>
          </w14:textFill>
        </w:rPr>
        <w:t xml:space="preserve"> 壹 </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万元/次。承包人对建筑垃圾须按《韶关市建筑垃圾管理条例》（2021 年 5 月 1 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 </w:t>
      </w:r>
    </w:p>
    <w:p w14:paraId="30E88A48">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 xml:space="preserve">4.16 </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工程竣工验收后 15 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 </w:t>
      </w:r>
    </w:p>
    <w:p w14:paraId="234A348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4.17</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 </w:t>
      </w:r>
    </w:p>
    <w:p w14:paraId="3EA232A4">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4.18</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承包人中标后必须按规定及时缴交工人工资保证金、环保噪声排污费等。 </w:t>
      </w:r>
    </w:p>
    <w:p w14:paraId="232F19C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4.19</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工程质量保修期按《中华人民共和国建筑法》、《建设工程质量管理条例》等相关规定实施。 </w:t>
      </w:r>
    </w:p>
    <w:p w14:paraId="794DBDF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4.20</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如项目实施过程中发生了工程变更及工程签证，承包人需根据发包人发布的《工程变更管理办法》和《工程签证管理办法》完善工程变更签证相关程序。 </w:t>
      </w:r>
    </w:p>
    <w:p w14:paraId="0657C355">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4.21</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承包人需按相关规定要求，设置本工程符合相关要求的永久性标牌及规划公示牌，投标人在投标报价时综合考虑在报价内，发包人不另行支付该部分费用。 </w:t>
      </w:r>
    </w:p>
    <w:p w14:paraId="1605F613">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4.22</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承包人应在项目所在地住建管理部门办理诚信登记，发包人将严格按住建管理部门诚信登记管理办法对承包人履约情况进行考核。 </w:t>
      </w:r>
    </w:p>
    <w:p w14:paraId="7F42F4A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4.23</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承包人应按韶关市住房和城乡建设管理局、韶关市人力资源和社会保障局等职能部门对用工实名制的相关规定,落实工人及相关软硬件设施要求。</w:t>
      </w:r>
    </w:p>
    <w:p w14:paraId="6E4D0758">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4.24</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质量违约</w:t>
      </w:r>
    </w:p>
    <w:p w14:paraId="3501D77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4.24.1</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材料违约处理：若发现材料不符合国家标准或发包人在技术规范中规定的标准， </w:t>
      </w:r>
    </w:p>
    <w:p w14:paraId="3A33DEBF">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视为承包人违约，按现行《建设工程质量管理条例》处理。 </w:t>
      </w:r>
    </w:p>
    <w:p w14:paraId="172C2EA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4.24.1.1</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成品采购项目在采购前，承包人必须先行书面征求监理人、发包人的同意并 </w:t>
      </w:r>
    </w:p>
    <w:p w14:paraId="0FE498C6">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一起看样定版后方能实施。未经监理人、发包人同意擅自先行采购和实施的，否则因不符 </w:t>
      </w:r>
    </w:p>
    <w:p w14:paraId="78BCD3A2">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合设计要求返工造成的费用由承包人承担。</w:t>
      </w:r>
    </w:p>
    <w:p w14:paraId="77B7961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4.24.2</w:t>
      </w: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工程质量违约： </w:t>
      </w:r>
    </w:p>
    <w:p w14:paraId="433283B4">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4.24.2.1</w:t>
      </w: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在施工过程中经监理单位日常巡查或抽检发现未达到合格标准，责令承包人进 </w:t>
      </w:r>
    </w:p>
    <w:p w14:paraId="12C6716D">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行整改，如未按规定时间进行整改或整改不到位的，每次按 5000 元缴纳违约金给发包人，在进度款或结算款中一并扣除。 </w:t>
      </w:r>
    </w:p>
    <w:p w14:paraId="5755758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4.24.2.2</w:t>
      </w: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工程质量标准须达到国家验收合格标准。如未达到合格标准，除无偿返工至合 </w:t>
      </w:r>
    </w:p>
    <w:p w14:paraId="2A82A30B">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格外，还要按合同价款的 1%向招标人支付质量违约金，工期不予顺延。 </w:t>
      </w:r>
    </w:p>
    <w:p w14:paraId="44A72C4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4.25</w:t>
      </w: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重大责任事故违约 </w:t>
      </w:r>
    </w:p>
    <w:p w14:paraId="7EC71D9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4.25.1</w:t>
      </w: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承包人因违反国家安全质量法规及合同有关条款约定,出现火灾、坍塌、人员重 </w:t>
      </w:r>
    </w:p>
    <w:p w14:paraId="3E6F36F7">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伤、死亡等重大责任事故,则承包人应承担全部损失,并按相关法规接受行政处罚；如造成发 </w:t>
      </w:r>
    </w:p>
    <w:p w14:paraId="105736B3">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包人及对第三人利益的损害,该等损害赔偿责任均由承包人承担。 </w:t>
      </w:r>
    </w:p>
    <w:p w14:paraId="5C6E18CD">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4.26</w:t>
      </w: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用工违约 </w:t>
      </w:r>
    </w:p>
    <w:p w14:paraId="244A204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4.26.1</w:t>
      </w: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在合同履行期间，如经查实承包人拖欠或克扣农民工或劳务工工资，导致劳资纠纷或发生危及公共安全或正常社会秩序的事件的，按承包人违约处理，承包人应按拖欠或克 </w:t>
      </w:r>
    </w:p>
    <w:p w14:paraId="6B19D6EE">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扣农民工工资总金额 2 倍的标准向发包人缴纳惩罚性违约金。 </w:t>
      </w:r>
    </w:p>
    <w:p w14:paraId="7980D17E">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4.27</w:t>
      </w: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安全文明施工违约 </w:t>
      </w:r>
    </w:p>
    <w:p w14:paraId="58B0684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4.27.1</w:t>
      </w: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如承包人违反国家、广东省、发包人及合同关于安全文明施工的规定，但尚未造 </w:t>
      </w:r>
    </w:p>
    <w:p w14:paraId="0E250BDA">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成安全责任事故，承包人应及时改正行为并赔偿相关方的损失，如未及时整改,针对每一违约 </w:t>
      </w:r>
    </w:p>
    <w:p w14:paraId="4F637481">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行为每持续一天应缴纳违约金 1000.00 元。</w:t>
      </w:r>
    </w:p>
    <w:p w14:paraId="5152D74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4.27.2</w:t>
      </w: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承包人必须接受发包人及监理单位组织的安全、文明施工的检查，检查中的不合 </w:t>
      </w:r>
    </w:p>
    <w:p w14:paraId="48A3EC33">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格项目、安全隐患必须在规定的时间内整改完成，否则每拖延一天处以 2000.00 元人民币违约金，直至整改合格。 </w:t>
      </w:r>
    </w:p>
    <w:p w14:paraId="1D39E82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4.28</w:t>
      </w: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其他违约 </w:t>
      </w:r>
    </w:p>
    <w:p w14:paraId="338BE054">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4.28.1</w:t>
      </w: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承包人安排在施工场地的主要管理人员（主要指项目经理、项目技术负责人和专 </w:t>
      </w:r>
    </w:p>
    <w:p w14:paraId="3987CEFB">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职安全生产管理人员）应与承包人投标文件承诺的名单一致，并保持相对稳定。未经总监理工程师批准，上述人员不应无故不到位或被替换。若确实无法到位或需替换，需经总监理工</w:t>
      </w:r>
    </w:p>
    <w:p w14:paraId="7093E00C">
      <w:pPr>
        <w:keepNext w:val="0"/>
        <w:keepLines w:val="0"/>
        <w:pageBreakBefore w:val="0"/>
        <w:wordWrap w:val="0"/>
        <w:overflowPunct/>
        <w:topLinePunct w:val="0"/>
        <w:bidi w:val="0"/>
        <w:adjustRightInd w:val="0"/>
        <w:snapToGrid w:val="0"/>
        <w:spacing w:line="440" w:lineRule="exact"/>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程师审核并报发包人批准后，承包人可安排同等资历的人员替换。 </w:t>
      </w:r>
    </w:p>
    <w:p w14:paraId="06E8294D">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4.28.2</w:t>
      </w: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中标人施工资料必须与形象进度同步。 </w:t>
      </w:r>
    </w:p>
    <w:p w14:paraId="0E435855">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4.28.3</w:t>
      </w: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承包人没有正当合理的理由中途退场，可扣除承包人已递交的所有履约风险保证 </w:t>
      </w:r>
    </w:p>
    <w:p w14:paraId="7B1DB3D2">
      <w:pPr>
        <w:keepNext w:val="0"/>
        <w:keepLines w:val="0"/>
        <w:pageBreakBefore w:val="0"/>
        <w:wordWrap w:val="0"/>
        <w:overflowPunct/>
        <w:topLinePunct w:val="0"/>
        <w:bidi w:val="0"/>
        <w:adjustRightInd w:val="0"/>
        <w:snapToGrid w:val="0"/>
        <w:spacing w:line="440" w:lineRule="exact"/>
        <w:rPr>
          <w:rFonts w:hint="eastAsia" w:ascii="宋体" w:hAnsi="宋体" w:eastAsia="宋体" w:cs="宋体"/>
          <w:bCs/>
          <w:snapToGrid w:val="0"/>
          <w:color w:val="000000" w:themeColor="text1"/>
          <w:spacing w:val="0"/>
          <w:kern w:val="0"/>
          <w:sz w:val="24"/>
          <w:szCs w:val="24"/>
          <w:highlight w:val="none"/>
          <w:lang w:val="en-US" w:eastAsia="zh-CN" w:bidi="ar-SA"/>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金。承包人因上述违约行为而须缴纳的违约金在工程进度款中或结算时一并扣除。</w:t>
      </w:r>
    </w:p>
    <w:p w14:paraId="22A28A7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5.其他合同条款由招标人与中标人自行协商约定</w:t>
      </w:r>
    </w:p>
    <w:p w14:paraId="76E3D22A">
      <w:pPr>
        <w:keepNext w:val="0"/>
        <w:keepLines w:val="0"/>
        <w:pageBreakBefore w:val="0"/>
        <w:wordWrap w:val="0"/>
        <w:overflowPunct/>
        <w:topLinePunct w:val="0"/>
        <w:bidi w:val="0"/>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br w:type="page"/>
      </w:r>
    </w:p>
    <w:p w14:paraId="592C9070">
      <w:pPr>
        <w:keepNext w:val="0"/>
        <w:keepLines w:val="0"/>
        <w:pageBreakBefore w:val="0"/>
        <w:wordWrap w:val="0"/>
        <w:overflowPunct/>
        <w:topLinePunct w:val="0"/>
        <w:bidi w:val="0"/>
        <w:spacing w:before="78" w:line="219" w:lineRule="auto"/>
        <w:ind w:left="3273"/>
        <w:outlineLvl w:val="0"/>
        <w:rPr>
          <w:rFonts w:hint="eastAsia" w:ascii="宋体" w:hAnsi="宋体" w:eastAsia="宋体" w:cs="宋体"/>
          <w:color w:val="000000" w:themeColor="text1"/>
          <w:spacing w:val="0"/>
          <w:highlight w:val="none"/>
          <w14:textFill>
            <w14:solidFill>
              <w14:schemeClr w14:val="tx1"/>
            </w14:solidFill>
          </w14:textFill>
        </w:rPr>
      </w:pPr>
      <w:bookmarkStart w:id="177" w:name="_Toc31378"/>
      <w:r>
        <w:rPr>
          <w:rFonts w:hint="eastAsia" w:ascii="宋体" w:hAnsi="宋体" w:eastAsia="宋体" w:cs="宋体"/>
          <w:b/>
          <w:bCs/>
          <w:color w:val="000000" w:themeColor="text1"/>
          <w:spacing w:val="0"/>
          <w:sz w:val="24"/>
          <w:szCs w:val="24"/>
          <w:highlight w:val="none"/>
          <w14:textFill>
            <w14:solidFill>
              <w14:schemeClr w14:val="tx1"/>
            </w14:solidFill>
          </w14:textFill>
        </w:rPr>
        <w:t>第四章</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技术要求</w:t>
      </w:r>
      <w:bookmarkEnd w:id="177"/>
    </w:p>
    <w:p w14:paraId="3E6A87FB">
      <w:pPr>
        <w:pStyle w:val="5"/>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39F1228B">
      <w:pPr>
        <w:keepNext w:val="0"/>
        <w:keepLines w:val="0"/>
        <w:pageBreakBefore w:val="0"/>
        <w:wordWrap w:val="0"/>
        <w:overflowPunct/>
        <w:topLinePunct w:val="0"/>
        <w:bidi w:val="0"/>
        <w:spacing w:before="78" w:line="221" w:lineRule="auto"/>
        <w:ind w:left="125"/>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78" w:name="_Toc25709"/>
      <w:bookmarkStart w:id="179" w:name="_Toc10155"/>
      <w:r>
        <w:rPr>
          <w:rFonts w:hint="eastAsia" w:ascii="宋体" w:hAnsi="宋体" w:eastAsia="宋体" w:cs="宋体"/>
          <w:b/>
          <w:bCs/>
          <w:color w:val="000000" w:themeColor="text1"/>
          <w:spacing w:val="0"/>
          <w:sz w:val="24"/>
          <w:szCs w:val="24"/>
          <w:highlight w:val="none"/>
          <w14:textFill>
            <w14:solidFill>
              <w14:schemeClr w14:val="tx1"/>
            </w14:solidFill>
          </w14:textFill>
        </w:rPr>
        <w:t>1 ．房屋建筑工程建设项目</w:t>
      </w:r>
      <w:bookmarkEnd w:id="178"/>
      <w:bookmarkEnd w:id="179"/>
    </w:p>
    <w:p w14:paraId="0CE4FE26">
      <w:pPr>
        <w:keepNext w:val="0"/>
        <w:keepLines w:val="0"/>
        <w:pageBreakBefore w:val="0"/>
        <w:wordWrap w:val="0"/>
        <w:overflowPunct/>
        <w:topLinePunct w:val="0"/>
        <w:bidi w:val="0"/>
        <w:spacing w:before="152" w:line="220" w:lineRule="auto"/>
        <w:ind w:left="12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房屋建筑工程建设项目必须执行的现行技术规范，包括且不限于：</w:t>
      </w:r>
    </w:p>
    <w:p w14:paraId="2E913A2A">
      <w:pPr>
        <w:keepNext w:val="0"/>
        <w:keepLines w:val="0"/>
        <w:pageBreakBefore w:val="0"/>
        <w:wordWrap w:val="0"/>
        <w:overflowPunct/>
        <w:topLinePunct w:val="0"/>
        <w:bidi w:val="0"/>
        <w:spacing w:before="155" w:line="220"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（1）《建筑工程施工质量验收统一标准》；</w:t>
      </w:r>
    </w:p>
    <w:p w14:paraId="21289F3F">
      <w:pPr>
        <w:keepNext w:val="0"/>
        <w:keepLines w:val="0"/>
        <w:pageBreakBefore w:val="0"/>
        <w:wordWrap w:val="0"/>
        <w:overflowPunct/>
        <w:topLinePunct w:val="0"/>
        <w:bidi w:val="0"/>
        <w:spacing w:before="153" w:line="220"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（2）《建筑地基基础工程施工质量验收规范》；</w:t>
      </w:r>
    </w:p>
    <w:p w14:paraId="21379855">
      <w:pPr>
        <w:keepNext w:val="0"/>
        <w:keepLines w:val="0"/>
        <w:pageBreakBefore w:val="0"/>
        <w:wordWrap w:val="0"/>
        <w:overflowPunct/>
        <w:topLinePunct w:val="0"/>
        <w:bidi w:val="0"/>
        <w:spacing w:before="153" w:line="220"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（3）《砌体工程施工质量验收规范》；</w:t>
      </w:r>
    </w:p>
    <w:p w14:paraId="191C91D8">
      <w:pPr>
        <w:keepNext w:val="0"/>
        <w:keepLines w:val="0"/>
        <w:pageBreakBefore w:val="0"/>
        <w:wordWrap w:val="0"/>
        <w:overflowPunct/>
        <w:topLinePunct w:val="0"/>
        <w:bidi w:val="0"/>
        <w:spacing w:before="155" w:line="220"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（4）《混凝土结构工程施工质量验收规范》；</w:t>
      </w:r>
    </w:p>
    <w:p w14:paraId="3087379D">
      <w:pPr>
        <w:keepNext w:val="0"/>
        <w:keepLines w:val="0"/>
        <w:pageBreakBefore w:val="0"/>
        <w:wordWrap w:val="0"/>
        <w:overflowPunct/>
        <w:topLinePunct w:val="0"/>
        <w:bidi w:val="0"/>
        <w:spacing w:before="153" w:line="220"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（5）《屋面工程质量验收规范》；</w:t>
      </w:r>
    </w:p>
    <w:p w14:paraId="3B431104">
      <w:pPr>
        <w:keepNext w:val="0"/>
        <w:keepLines w:val="0"/>
        <w:pageBreakBefore w:val="0"/>
        <w:wordWrap w:val="0"/>
        <w:overflowPunct/>
        <w:topLinePunct w:val="0"/>
        <w:bidi w:val="0"/>
        <w:spacing w:before="153" w:line="220"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（6）《地下防水工程质量验收规范》；</w:t>
      </w:r>
    </w:p>
    <w:p w14:paraId="47AE272D">
      <w:pPr>
        <w:keepNext w:val="0"/>
        <w:keepLines w:val="0"/>
        <w:pageBreakBefore w:val="0"/>
        <w:wordWrap w:val="0"/>
        <w:overflowPunct/>
        <w:topLinePunct w:val="0"/>
        <w:bidi w:val="0"/>
        <w:spacing w:before="156" w:line="220"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（7）《建筑地面工程施工质量验收规范》；</w:t>
      </w:r>
    </w:p>
    <w:p w14:paraId="76A79CB0">
      <w:pPr>
        <w:keepNext w:val="0"/>
        <w:keepLines w:val="0"/>
        <w:pageBreakBefore w:val="0"/>
        <w:wordWrap w:val="0"/>
        <w:overflowPunct/>
        <w:topLinePunct w:val="0"/>
        <w:bidi w:val="0"/>
        <w:spacing w:before="153" w:line="220"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（8）《建筑装饰装修工程施工质量验收规范》；</w:t>
      </w:r>
    </w:p>
    <w:p w14:paraId="7E836C74">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（9）《建筑给排水及采暖工程施工质量验收规范》；</w:t>
      </w:r>
    </w:p>
    <w:p w14:paraId="27101421">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（10）《建筑电气工程施工质量验收规范》；</w:t>
      </w:r>
    </w:p>
    <w:p w14:paraId="64136A99">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（11）《住建部绿色建筑评价标准》；</w:t>
      </w:r>
    </w:p>
    <w:p w14:paraId="394AE18E">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（12）《建筑节能与可再生能源利用通用规范》（GB55015-2021）；</w:t>
      </w:r>
    </w:p>
    <w:p w14:paraId="5F96829D">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（13）《建筑环境通用规范》；</w:t>
      </w:r>
    </w:p>
    <w:p w14:paraId="0198E858">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bookmarkStart w:id="180" w:name="_Toc12084"/>
      <w:bookmarkStart w:id="181" w:name="_Toc16294"/>
      <w:r>
        <w:rPr>
          <w:rFonts w:hint="eastAsia" w:ascii="宋体" w:hAnsi="宋体" w:eastAsia="宋体" w:cs="宋体"/>
          <w:color w:val="000000" w:themeColor="text1"/>
          <w:spacing w:val="0"/>
          <w:sz w:val="24"/>
          <w:szCs w:val="24"/>
          <w:highlight w:val="none"/>
          <w14:textFill>
            <w14:solidFill>
              <w14:schemeClr w14:val="tx1"/>
            </w14:solidFill>
          </w14:textFill>
        </w:rPr>
        <w:t>（14）《建筑与市政工程无障碍通用规范》 GB 55019-2021；</w:t>
      </w:r>
      <w:bookmarkEnd w:id="180"/>
      <w:bookmarkEnd w:id="181"/>
    </w:p>
    <w:p w14:paraId="208415E7">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bookmarkStart w:id="182" w:name="_Toc1177"/>
      <w:bookmarkStart w:id="183" w:name="_Toc15158"/>
      <w:r>
        <w:rPr>
          <w:rFonts w:hint="eastAsia" w:ascii="宋体" w:hAnsi="宋体" w:eastAsia="宋体" w:cs="宋体"/>
          <w:color w:val="000000" w:themeColor="text1"/>
          <w:spacing w:val="0"/>
          <w:sz w:val="24"/>
          <w:szCs w:val="24"/>
          <w:highlight w:val="none"/>
          <w14:textFill>
            <w14:solidFill>
              <w14:schemeClr w14:val="tx1"/>
            </w14:solidFill>
          </w14:textFill>
        </w:rPr>
        <w:t>（15）《建筑防火通用规范》GB 55037-2022;</w:t>
      </w:r>
      <w:bookmarkEnd w:id="182"/>
      <w:bookmarkEnd w:id="183"/>
    </w:p>
    <w:p w14:paraId="3CAEBDB1">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bookmarkStart w:id="184" w:name="_Toc24233"/>
      <w:bookmarkStart w:id="185" w:name="_Toc2461"/>
      <w:r>
        <w:rPr>
          <w:rFonts w:hint="eastAsia" w:ascii="宋体" w:hAnsi="宋体" w:eastAsia="宋体" w:cs="宋体"/>
          <w:color w:val="000000" w:themeColor="text1"/>
          <w:spacing w:val="0"/>
          <w:sz w:val="24"/>
          <w:szCs w:val="24"/>
          <w:highlight w:val="none"/>
          <w14:textFill>
            <w14:solidFill>
              <w14:schemeClr w14:val="tx1"/>
            </w14:solidFill>
          </w14:textFill>
        </w:rPr>
        <w:t>（16）《建筑与市政工程抗震通用规范》GB55002-2001;</w:t>
      </w:r>
      <w:bookmarkEnd w:id="184"/>
      <w:bookmarkEnd w:id="185"/>
    </w:p>
    <w:p w14:paraId="685DD796">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bookmarkStart w:id="186" w:name="_Toc8109"/>
      <w:bookmarkStart w:id="187" w:name="_Toc5777"/>
      <w:r>
        <w:rPr>
          <w:rFonts w:hint="eastAsia" w:ascii="宋体" w:hAnsi="宋体" w:eastAsia="宋体" w:cs="宋体"/>
          <w:color w:val="000000" w:themeColor="text1"/>
          <w:spacing w:val="0"/>
          <w:sz w:val="24"/>
          <w:szCs w:val="24"/>
          <w:highlight w:val="none"/>
          <w14:textFill>
            <w14:solidFill>
              <w14:schemeClr w14:val="tx1"/>
            </w14:solidFill>
          </w14:textFill>
        </w:rPr>
        <w:t>（17）《建筑与市政地基基础通用规范》GB55003-2001;</w:t>
      </w:r>
      <w:bookmarkEnd w:id="186"/>
      <w:bookmarkEnd w:id="187"/>
    </w:p>
    <w:p w14:paraId="00DBFC09">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（18）《广东省住房和城乡建设厅绿色施工导则》；</w:t>
      </w:r>
    </w:p>
    <w:p w14:paraId="5D7737AC">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（19）《广东省建筑工程绿色施工评价标准》；</w:t>
      </w:r>
    </w:p>
    <w:p w14:paraId="5CD8C62F">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（20）《广东省建筑节能与绿色建筑工程施工质量验收规范》</w:t>
      </w:r>
    </w:p>
    <w:p w14:paraId="067E85AF">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（21）其他现行国家、广东省关于房建工程的施工及验收规范、定额、规程、标准。</w:t>
      </w:r>
    </w:p>
    <w:p w14:paraId="36B34C1F">
      <w:pPr>
        <w:pStyle w:val="5"/>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75E00F81">
      <w:pPr>
        <w:keepNext w:val="0"/>
        <w:keepLines w:val="0"/>
        <w:pageBreakBefore w:val="0"/>
        <w:wordWrap w:val="0"/>
        <w:overflowPunct/>
        <w:topLinePunct w:val="0"/>
        <w:bidi w:val="0"/>
        <w:spacing w:before="78" w:line="220" w:lineRule="auto"/>
        <w:ind w:left="115"/>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88" w:name="_Toc3901"/>
      <w:bookmarkStart w:id="189" w:name="_Toc15652"/>
      <w:r>
        <w:rPr>
          <w:rFonts w:hint="eastAsia" w:ascii="宋体" w:hAnsi="宋体" w:eastAsia="宋体" w:cs="宋体"/>
          <w:b/>
          <w:bCs/>
          <w:color w:val="000000" w:themeColor="text1"/>
          <w:spacing w:val="0"/>
          <w:sz w:val="24"/>
          <w:szCs w:val="24"/>
          <w:highlight w:val="none"/>
          <w14:textFill>
            <w14:solidFill>
              <w14:schemeClr w14:val="tx1"/>
            </w14:solidFill>
          </w14:textFill>
        </w:rPr>
        <w:t>2 ．市政基础设施工程建设项目</w:t>
      </w:r>
      <w:bookmarkEnd w:id="188"/>
      <w:bookmarkEnd w:id="189"/>
    </w:p>
    <w:p w14:paraId="1DE67B68">
      <w:pPr>
        <w:keepNext w:val="0"/>
        <w:keepLines w:val="0"/>
        <w:pageBreakBefore w:val="0"/>
        <w:wordWrap w:val="0"/>
        <w:overflowPunct/>
        <w:topLinePunct w:val="0"/>
        <w:bidi w:val="0"/>
        <w:spacing w:before="154" w:line="220" w:lineRule="auto"/>
        <w:ind w:left="12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市政基础设施工程建设项目必须执行的现行技术规范，包括且不限于：</w:t>
      </w:r>
    </w:p>
    <w:p w14:paraId="7EF67537">
      <w:pPr>
        <w:keepNext w:val="0"/>
        <w:keepLines w:val="0"/>
        <w:pageBreakBefore w:val="0"/>
        <w:wordWrap w:val="0"/>
        <w:overflowPunct/>
        <w:topLinePunct w:val="0"/>
        <w:bidi w:val="0"/>
        <w:spacing w:before="155" w:line="220"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（1）《公路路基施工技术规范》；</w:t>
      </w:r>
    </w:p>
    <w:p w14:paraId="0FD09BDA">
      <w:pPr>
        <w:keepNext w:val="0"/>
        <w:keepLines w:val="0"/>
        <w:pageBreakBefore w:val="0"/>
        <w:wordWrap w:val="0"/>
        <w:overflowPunct/>
        <w:topLinePunct w:val="0"/>
        <w:bidi w:val="0"/>
        <w:spacing w:before="153" w:line="220"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（2）《市政道路工程质量检验评定标准》；</w:t>
      </w:r>
    </w:p>
    <w:p w14:paraId="5E4C6C0A">
      <w:pPr>
        <w:keepNext w:val="0"/>
        <w:keepLines w:val="0"/>
        <w:pageBreakBefore w:val="0"/>
        <w:wordWrap w:val="0"/>
        <w:overflowPunct/>
        <w:topLinePunct w:val="0"/>
        <w:bidi w:val="0"/>
        <w:spacing w:before="154" w:line="220"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（3）《市政排水管渠工程质量检验评定标准》；</w:t>
      </w:r>
    </w:p>
    <w:p w14:paraId="5FFAA5AA">
      <w:pPr>
        <w:keepNext w:val="0"/>
        <w:keepLines w:val="0"/>
        <w:pageBreakBefore w:val="0"/>
        <w:widowControl w:val="0"/>
        <w:kinsoku w:val="0"/>
        <w:wordWrap w:val="0"/>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（4）《给水排水管道工程施工及验收规范》；</w:t>
      </w:r>
    </w:p>
    <w:p w14:paraId="5C80DC30">
      <w:pPr>
        <w:keepNext w:val="0"/>
        <w:keepLines w:val="0"/>
        <w:pageBreakBefore w:val="0"/>
        <w:widowControl w:val="0"/>
        <w:kinsoku w:val="0"/>
        <w:wordWrap w:val="0"/>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（5）《城市道路路基工程施工及验收规范》；</w:t>
      </w:r>
    </w:p>
    <w:p w14:paraId="3DE05869">
      <w:pPr>
        <w:keepNext w:val="0"/>
        <w:keepLines w:val="0"/>
        <w:pageBreakBefore w:val="0"/>
        <w:widowControl w:val="0"/>
        <w:kinsoku w:val="0"/>
        <w:wordWrap w:val="0"/>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（6）《水泥砼路面施工及验收规范》；</w:t>
      </w:r>
    </w:p>
    <w:p w14:paraId="2D0FA851">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（7）《公路水泥砼路面施工技术规范》；</w:t>
      </w:r>
    </w:p>
    <w:p w14:paraId="3DDEEDA6">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（8）《埋地硬聚氯乙烯排水管道工程技术规程》；</w:t>
      </w:r>
    </w:p>
    <w:p w14:paraId="0C40551B">
      <w:pPr>
        <w:keepNext w:val="0"/>
        <w:keepLines w:val="0"/>
        <w:pageBreakBefore w:val="0"/>
        <w:widowControl w:val="0"/>
        <w:kinsoku w:val="0"/>
        <w:wordWrap w:val="0"/>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（9）《沥青路面施工及验收规范》；</w:t>
      </w:r>
    </w:p>
    <w:p w14:paraId="051F222E">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（10）《广东省市政工程施工质量技术资料统一用表》。</w:t>
      </w:r>
    </w:p>
    <w:p w14:paraId="71A0E2DE">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bookmarkStart w:id="190" w:name="_Toc8494"/>
      <w:bookmarkStart w:id="191" w:name="_Toc30781"/>
      <w:r>
        <w:rPr>
          <w:rFonts w:hint="eastAsia" w:ascii="宋体" w:hAnsi="宋体" w:eastAsia="宋体" w:cs="宋体"/>
          <w:color w:val="000000" w:themeColor="text1"/>
          <w:spacing w:val="0"/>
          <w:sz w:val="24"/>
          <w:szCs w:val="24"/>
          <w:highlight w:val="none"/>
          <w14:textFill>
            <w14:solidFill>
              <w14:schemeClr w14:val="tx1"/>
            </w14:solidFill>
          </w14:textFill>
        </w:rPr>
        <w:t>（11）《建筑与市政工程无障碍通用规范》 GB 55019-2021；</w:t>
      </w:r>
      <w:bookmarkEnd w:id="190"/>
      <w:bookmarkEnd w:id="191"/>
    </w:p>
    <w:p w14:paraId="0BB30486">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bookmarkStart w:id="192" w:name="_Toc31143"/>
      <w:bookmarkStart w:id="193" w:name="_Toc17383"/>
      <w:r>
        <w:rPr>
          <w:rFonts w:hint="eastAsia" w:ascii="宋体" w:hAnsi="宋体" w:eastAsia="宋体" w:cs="宋体"/>
          <w:color w:val="000000" w:themeColor="text1"/>
          <w:spacing w:val="0"/>
          <w:sz w:val="24"/>
          <w:szCs w:val="24"/>
          <w:highlight w:val="none"/>
          <w14:textFill>
            <w14:solidFill>
              <w14:schemeClr w14:val="tx1"/>
            </w14:solidFill>
          </w14:textFill>
        </w:rPr>
        <w:t>（12）《建筑防火通用规范》GB 55037-2022;</w:t>
      </w:r>
      <w:bookmarkEnd w:id="192"/>
      <w:bookmarkEnd w:id="193"/>
    </w:p>
    <w:p w14:paraId="3167F8CD">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bookmarkStart w:id="194" w:name="_Toc32476"/>
      <w:bookmarkStart w:id="195" w:name="_Toc954"/>
      <w:r>
        <w:rPr>
          <w:rFonts w:hint="eastAsia" w:ascii="宋体" w:hAnsi="宋体" w:eastAsia="宋体" w:cs="宋体"/>
          <w:color w:val="000000" w:themeColor="text1"/>
          <w:spacing w:val="0"/>
          <w:sz w:val="24"/>
          <w:szCs w:val="24"/>
          <w:highlight w:val="none"/>
          <w14:textFill>
            <w14:solidFill>
              <w14:schemeClr w14:val="tx1"/>
            </w14:solidFill>
          </w14:textFill>
        </w:rPr>
        <w:t>（13）《建筑与市政工程抗震通用规范》GB55002-2001;</w:t>
      </w:r>
      <w:bookmarkEnd w:id="194"/>
      <w:bookmarkEnd w:id="195"/>
    </w:p>
    <w:p w14:paraId="7E7E1132">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bookmarkStart w:id="196" w:name="_Toc27898"/>
      <w:bookmarkStart w:id="197" w:name="_Toc7185"/>
      <w:r>
        <w:rPr>
          <w:rFonts w:hint="eastAsia" w:ascii="宋体" w:hAnsi="宋体" w:eastAsia="宋体" w:cs="宋体"/>
          <w:color w:val="000000" w:themeColor="text1"/>
          <w:spacing w:val="0"/>
          <w:sz w:val="24"/>
          <w:szCs w:val="24"/>
          <w:highlight w:val="none"/>
          <w14:textFill>
            <w14:solidFill>
              <w14:schemeClr w14:val="tx1"/>
            </w14:solidFill>
          </w14:textFill>
        </w:rPr>
        <w:t>（14）《建筑与市政地基基础通用规范》GB55003-2001;</w:t>
      </w:r>
      <w:bookmarkEnd w:id="196"/>
      <w:bookmarkEnd w:id="197"/>
    </w:p>
    <w:p w14:paraId="598E0BAE">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bookmarkStart w:id="198" w:name="_Toc17281"/>
      <w:bookmarkStart w:id="199" w:name="_Toc29669"/>
      <w:r>
        <w:rPr>
          <w:rFonts w:hint="eastAsia" w:ascii="宋体" w:hAnsi="宋体" w:eastAsia="宋体" w:cs="宋体"/>
          <w:color w:val="000000" w:themeColor="text1"/>
          <w:spacing w:val="0"/>
          <w:sz w:val="24"/>
          <w:szCs w:val="24"/>
          <w:highlight w:val="none"/>
          <w14:textFill>
            <w14:solidFill>
              <w14:schemeClr w14:val="tx1"/>
            </w14:solidFill>
          </w14:textFill>
        </w:rPr>
        <w:t>（15）《城市道路照明设计标准》（CJJ45-2015）；</w:t>
      </w:r>
      <w:bookmarkEnd w:id="198"/>
      <w:bookmarkEnd w:id="199"/>
    </w:p>
    <w:p w14:paraId="17AD9E79">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bookmarkStart w:id="200" w:name="_Toc9161"/>
      <w:bookmarkStart w:id="201" w:name="_Toc31812"/>
      <w:r>
        <w:rPr>
          <w:rFonts w:hint="eastAsia" w:ascii="宋体" w:hAnsi="宋体" w:eastAsia="宋体" w:cs="宋体"/>
          <w:color w:val="000000" w:themeColor="text1"/>
          <w:spacing w:val="0"/>
          <w:sz w:val="24"/>
          <w:szCs w:val="24"/>
          <w:highlight w:val="none"/>
          <w14:textFill>
            <w14:solidFill>
              <w14:schemeClr w14:val="tx1"/>
            </w14:solidFill>
          </w14:textFill>
        </w:rPr>
        <w:t>（16）《低压配电设计规范》（GB50054-2011）；</w:t>
      </w:r>
      <w:bookmarkEnd w:id="200"/>
      <w:bookmarkEnd w:id="201"/>
    </w:p>
    <w:p w14:paraId="39AD9BAB">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bookmarkStart w:id="202" w:name="_Toc6405"/>
      <w:bookmarkStart w:id="203" w:name="_Toc18255"/>
      <w:r>
        <w:rPr>
          <w:rFonts w:hint="eastAsia" w:ascii="宋体" w:hAnsi="宋体" w:eastAsia="宋体" w:cs="宋体"/>
          <w:color w:val="000000" w:themeColor="text1"/>
          <w:spacing w:val="0"/>
          <w:sz w:val="24"/>
          <w:szCs w:val="24"/>
          <w:highlight w:val="none"/>
          <w14:textFill>
            <w14:solidFill>
              <w14:schemeClr w14:val="tx1"/>
            </w14:solidFill>
          </w14:textFill>
        </w:rPr>
        <w:t>（17）《城市道路照明工程施工及验收规程》（CJJ89-2012）；</w:t>
      </w:r>
      <w:bookmarkEnd w:id="202"/>
      <w:bookmarkEnd w:id="203"/>
    </w:p>
    <w:p w14:paraId="5C08A858">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（18）《LED 道路照明工程技术规范》（DB44/T 1898-2016）；</w:t>
      </w:r>
    </w:p>
    <w:p w14:paraId="2E0247A6">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（19）《灯具第 1 部分：一般要求与试验》（GB7000.1-2015）；</w:t>
      </w:r>
    </w:p>
    <w:p w14:paraId="304A14BA">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（20）《电缆工程电缆设计标准》（GB50217-2018）；</w:t>
      </w:r>
    </w:p>
    <w:p w14:paraId="2781CAEA">
      <w:pPr>
        <w:keepNext w:val="0"/>
        <w:keepLines w:val="0"/>
        <w:pageBreakBefore w:val="0"/>
        <w:widowControl w:val="0"/>
        <w:kinsoku w:val="0"/>
        <w:wordWrap w:val="0"/>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（21）其他现行国家、广东省关于市政工程的技术及验收规范、定额、规程、标准。</w:t>
      </w:r>
    </w:p>
    <w:p w14:paraId="4A2CCAE5">
      <w:pPr>
        <w:pStyle w:val="5"/>
        <w:keepNext w:val="0"/>
        <w:keepLines w:val="0"/>
        <w:pageBreakBefore w:val="0"/>
        <w:widowControl w:val="0"/>
        <w:kinsoku w:val="0"/>
        <w:wordWrap w:val="0"/>
        <w:overflowPunct/>
        <w:topLinePunct w:val="0"/>
        <w:autoSpaceDE w:val="0"/>
        <w:autoSpaceDN w:val="0"/>
        <w:bidi w:val="0"/>
        <w:adjustRightInd w:val="0"/>
        <w:snapToGrid w:val="0"/>
        <w:spacing w:line="255" w:lineRule="auto"/>
        <w:textAlignment w:val="baseline"/>
        <w:rPr>
          <w:rFonts w:hint="eastAsia" w:ascii="宋体" w:hAnsi="宋体" w:eastAsia="宋体" w:cs="宋体"/>
          <w:color w:val="000000" w:themeColor="text1"/>
          <w:spacing w:val="0"/>
          <w:highlight w:val="none"/>
          <w14:textFill>
            <w14:solidFill>
              <w14:schemeClr w14:val="tx1"/>
            </w14:solidFill>
          </w14:textFill>
        </w:rPr>
      </w:pPr>
    </w:p>
    <w:p w14:paraId="4C853389">
      <w:pPr>
        <w:pStyle w:val="5"/>
        <w:keepNext w:val="0"/>
        <w:keepLines w:val="0"/>
        <w:pageBreakBefore w:val="0"/>
        <w:widowControl w:val="0"/>
        <w:kinsoku w:val="0"/>
        <w:wordWrap w:val="0"/>
        <w:overflowPunct/>
        <w:topLinePunct w:val="0"/>
        <w:autoSpaceDE w:val="0"/>
        <w:autoSpaceDN w:val="0"/>
        <w:bidi w:val="0"/>
        <w:adjustRightInd w:val="0"/>
        <w:snapToGrid w:val="0"/>
        <w:spacing w:line="255" w:lineRule="auto"/>
        <w:textAlignment w:val="baseline"/>
        <w:rPr>
          <w:rFonts w:hint="eastAsia" w:ascii="宋体" w:hAnsi="宋体" w:eastAsia="宋体" w:cs="宋体"/>
          <w:color w:val="000000" w:themeColor="text1"/>
          <w:spacing w:val="0"/>
          <w:highlight w:val="none"/>
          <w14:textFill>
            <w14:solidFill>
              <w14:schemeClr w14:val="tx1"/>
            </w14:solidFill>
          </w14:textFill>
        </w:rPr>
      </w:pPr>
    </w:p>
    <w:p w14:paraId="75A42B65">
      <w:pPr>
        <w:keepNext w:val="0"/>
        <w:keepLines w:val="0"/>
        <w:pageBreakBefore w:val="0"/>
        <w:widowControl w:val="0"/>
        <w:kinsoku w:val="0"/>
        <w:wordWrap w:val="0"/>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204" w:name="_Toc22617"/>
      <w:bookmarkStart w:id="205" w:name="_Toc9200"/>
      <w:r>
        <w:rPr>
          <w:rFonts w:hint="eastAsia" w:ascii="宋体" w:hAnsi="宋体" w:eastAsia="宋体" w:cs="宋体"/>
          <w:b/>
          <w:bCs/>
          <w:color w:val="000000" w:themeColor="text1"/>
          <w:spacing w:val="0"/>
          <w:sz w:val="24"/>
          <w:szCs w:val="24"/>
          <w:highlight w:val="none"/>
          <w14:textFill>
            <w14:solidFill>
              <w14:schemeClr w14:val="tx1"/>
            </w14:solidFill>
          </w14:textFill>
        </w:rPr>
        <w:t>3 ．备查要求</w:t>
      </w:r>
      <w:bookmarkEnd w:id="204"/>
      <w:bookmarkEnd w:id="205"/>
    </w:p>
    <w:p w14:paraId="0334C0EA">
      <w:pPr>
        <w:keepNext w:val="0"/>
        <w:keepLines w:val="0"/>
        <w:pageBreakBefore w:val="0"/>
        <w:widowControl w:val="0"/>
        <w:kinsoku w:val="0"/>
        <w:wordWrap w:val="0"/>
        <w:overflowPunct/>
        <w:topLinePunct w:val="0"/>
        <w:autoSpaceDE w:val="0"/>
        <w:autoSpaceDN w:val="0"/>
        <w:bidi w:val="0"/>
        <w:adjustRightInd w:val="0"/>
        <w:snapToGrid w:val="0"/>
        <w:spacing w:before="155" w:line="324" w:lineRule="auto"/>
        <w:ind w:right="81" w:firstLine="561"/>
        <w:jc w:val="both"/>
        <w:textAlignment w:val="baseline"/>
        <w:rPr>
          <w:rFonts w:hint="eastAsia" w:ascii="宋体" w:hAnsi="宋体" w:eastAsia="宋体" w:cs="宋体"/>
          <w:color w:val="000000" w:themeColor="text1"/>
          <w:spacing w:val="0"/>
          <w:highlight w:val="none"/>
          <w14:textFill>
            <w14:solidFill>
              <w14:schemeClr w14:val="tx1"/>
            </w14:solidFill>
          </w14:textFill>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000000" w:themeColor="text1"/>
          <w:spacing w:val="0"/>
          <w:sz w:val="24"/>
          <w:szCs w:val="24"/>
          <w:highlight w:val="none"/>
          <w14:textFill>
            <w14:solidFill>
              <w14:schemeClr w14:val="tx1"/>
            </w14:solidFill>
          </w14:textFill>
        </w:rPr>
        <w:t>承包人必须在施工现场准备至少一套上述规范，发包人和监理单位可随时检查承 包人的上述规范，并监督承包人按规范要求执行。</w:t>
      </w:r>
    </w:p>
    <w:p w14:paraId="4E917614">
      <w:pPr>
        <w:keepNext w:val="0"/>
        <w:keepLines w:val="0"/>
        <w:pageBreakBefore w:val="0"/>
        <w:wordWrap w:val="0"/>
        <w:overflowPunct/>
        <w:topLinePunct w:val="0"/>
        <w:bidi w:val="0"/>
        <w:spacing w:before="78" w:line="219" w:lineRule="auto"/>
        <w:jc w:val="center"/>
        <w:outlineLvl w:val="0"/>
        <w:rPr>
          <w:rFonts w:hint="eastAsia" w:ascii="宋体" w:hAnsi="宋体" w:eastAsia="宋体" w:cs="宋体"/>
          <w:color w:val="000000" w:themeColor="text1"/>
          <w:spacing w:val="0"/>
          <w:sz w:val="24"/>
          <w:szCs w:val="24"/>
          <w:highlight w:val="none"/>
          <w14:textFill>
            <w14:solidFill>
              <w14:schemeClr w14:val="tx1"/>
            </w14:solidFill>
          </w14:textFill>
        </w:rPr>
      </w:pPr>
      <w:bookmarkStart w:id="206" w:name="bookmark100"/>
      <w:bookmarkEnd w:id="206"/>
      <w:bookmarkStart w:id="207" w:name="bookmark146"/>
      <w:bookmarkEnd w:id="207"/>
      <w:bookmarkStart w:id="208" w:name="_Toc22604"/>
      <w:r>
        <w:rPr>
          <w:rFonts w:hint="eastAsia" w:ascii="宋体" w:hAnsi="宋体" w:eastAsia="宋体" w:cs="宋体"/>
          <w:b/>
          <w:bCs/>
          <w:color w:val="000000" w:themeColor="text1"/>
          <w:spacing w:val="0"/>
          <w:sz w:val="24"/>
          <w:szCs w:val="24"/>
          <w:highlight w:val="none"/>
          <w14:textFill>
            <w14:solidFill>
              <w14:schemeClr w14:val="tx1"/>
            </w14:solidFill>
          </w14:textFill>
        </w:rPr>
        <w:t>第五章</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图纸和招标工程量清单</w:t>
      </w:r>
      <w:bookmarkEnd w:id="208"/>
    </w:p>
    <w:p w14:paraId="5FC74284">
      <w:pPr>
        <w:pStyle w:val="5"/>
        <w:keepNext w:val="0"/>
        <w:keepLines w:val="0"/>
        <w:pageBreakBefore w:val="0"/>
        <w:wordWrap w:val="0"/>
        <w:overflowPunct/>
        <w:topLinePunct w:val="0"/>
        <w:bidi w:val="0"/>
        <w:spacing w:line="283" w:lineRule="auto"/>
        <w:rPr>
          <w:rFonts w:hint="eastAsia" w:ascii="宋体" w:hAnsi="宋体" w:eastAsia="宋体" w:cs="宋体"/>
          <w:color w:val="000000" w:themeColor="text1"/>
          <w:spacing w:val="0"/>
          <w:highlight w:val="none"/>
          <w14:textFill>
            <w14:solidFill>
              <w14:schemeClr w14:val="tx1"/>
            </w14:solidFill>
          </w14:textFill>
        </w:rPr>
      </w:pPr>
    </w:p>
    <w:p w14:paraId="4531523B">
      <w:pPr>
        <w:pStyle w:val="5"/>
        <w:keepNext w:val="0"/>
        <w:keepLines w:val="0"/>
        <w:pageBreakBefore w:val="0"/>
        <w:wordWrap w:val="0"/>
        <w:overflowPunct/>
        <w:topLinePunct w:val="0"/>
        <w:bidi w:val="0"/>
        <w:spacing w:line="284" w:lineRule="auto"/>
        <w:rPr>
          <w:rFonts w:hint="eastAsia" w:ascii="宋体" w:hAnsi="宋体" w:eastAsia="宋体" w:cs="宋体"/>
          <w:color w:val="000000" w:themeColor="text1"/>
          <w:spacing w:val="0"/>
          <w:highlight w:val="none"/>
          <w14:textFill>
            <w14:solidFill>
              <w14:schemeClr w14:val="tx1"/>
            </w14:solidFill>
          </w14:textFill>
        </w:rPr>
      </w:pPr>
    </w:p>
    <w:p w14:paraId="57E54AE6">
      <w:pPr>
        <w:keepNext w:val="0"/>
        <w:keepLines w:val="0"/>
        <w:pageBreakBefore w:val="0"/>
        <w:wordWrap w:val="0"/>
        <w:overflowPunct/>
        <w:topLinePunct w:val="0"/>
        <w:bidi w:val="0"/>
        <w:spacing w:before="78" w:line="219" w:lineRule="auto"/>
        <w:ind w:left="106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□有，另附复印件         </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有，自行网上下载(浏览)           □无</w:t>
      </w:r>
    </w:p>
    <w:p w14:paraId="78499731">
      <w:pPr>
        <w:pStyle w:val="5"/>
        <w:keepNext w:val="0"/>
        <w:keepLines w:val="0"/>
        <w:pageBreakBefore w:val="0"/>
        <w:wordWrap w:val="0"/>
        <w:overflowPunct/>
        <w:topLinePunct w:val="0"/>
        <w:bidi w:val="0"/>
        <w:spacing w:line="265" w:lineRule="auto"/>
        <w:rPr>
          <w:rFonts w:hint="eastAsia" w:ascii="宋体" w:hAnsi="宋体" w:eastAsia="宋体" w:cs="宋体"/>
          <w:color w:val="000000" w:themeColor="text1"/>
          <w:spacing w:val="0"/>
          <w:highlight w:val="none"/>
          <w14:textFill>
            <w14:solidFill>
              <w14:schemeClr w14:val="tx1"/>
            </w14:solidFill>
          </w14:textFill>
        </w:rPr>
      </w:pPr>
    </w:p>
    <w:p w14:paraId="660835A9">
      <w:pPr>
        <w:keepNext w:val="0"/>
        <w:keepLines w:val="0"/>
        <w:pageBreakBefore w:val="0"/>
        <w:wordWrap w:val="0"/>
        <w:overflowPunct/>
        <w:topLinePunct w:val="0"/>
        <w:bidi w:val="0"/>
        <w:spacing w:before="151" w:line="222" w:lineRule="auto"/>
        <w:ind w:left="715"/>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209" w:name="_Toc24268"/>
      <w:bookmarkStart w:id="210" w:name="_Toc24446"/>
      <w:r>
        <w:rPr>
          <w:rFonts w:hint="eastAsia" w:ascii="宋体" w:hAnsi="宋体" w:eastAsia="宋体" w:cs="宋体"/>
          <w:b/>
          <w:bCs/>
          <w:color w:val="000000" w:themeColor="text1"/>
          <w:spacing w:val="0"/>
          <w:sz w:val="24"/>
          <w:szCs w:val="24"/>
          <w:highlight w:val="none"/>
          <w14:textFill>
            <w14:solidFill>
              <w14:schemeClr w14:val="tx1"/>
            </w14:solidFill>
          </w14:textFill>
        </w:rPr>
        <w:t>1 ．图纸</w:t>
      </w:r>
      <w:bookmarkEnd w:id="209"/>
      <w:bookmarkEnd w:id="210"/>
    </w:p>
    <w:p w14:paraId="00652F97">
      <w:pPr>
        <w:keepNext w:val="0"/>
        <w:keepLines w:val="0"/>
        <w:pageBreakBefore w:val="0"/>
        <w:wordWrap w:val="0"/>
        <w:overflowPunct/>
        <w:topLinePunct w:val="0"/>
        <w:bidi w:val="0"/>
        <w:spacing w:before="150" w:line="330" w:lineRule="auto"/>
        <w:ind w:left="230" w:firstLine="48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本招标文件随文另附施工图（电子文件）一套。</w:t>
      </w:r>
    </w:p>
    <w:p w14:paraId="48EB0DBD">
      <w:pPr>
        <w:pStyle w:val="5"/>
        <w:keepNext w:val="0"/>
        <w:keepLines w:val="0"/>
        <w:pageBreakBefore w:val="0"/>
        <w:wordWrap w:val="0"/>
        <w:overflowPunct/>
        <w:topLinePunct w:val="0"/>
        <w:bidi w:val="0"/>
        <w:spacing w:line="253" w:lineRule="auto"/>
        <w:rPr>
          <w:rFonts w:hint="eastAsia" w:ascii="宋体" w:hAnsi="宋体" w:eastAsia="宋体" w:cs="宋体"/>
          <w:color w:val="000000" w:themeColor="text1"/>
          <w:spacing w:val="0"/>
          <w:highlight w:val="none"/>
          <w14:textFill>
            <w14:solidFill>
              <w14:schemeClr w14:val="tx1"/>
            </w14:solidFill>
          </w14:textFill>
        </w:rPr>
      </w:pPr>
    </w:p>
    <w:p w14:paraId="7191C978">
      <w:pPr>
        <w:keepNext w:val="0"/>
        <w:keepLines w:val="0"/>
        <w:pageBreakBefore w:val="0"/>
        <w:wordWrap w:val="0"/>
        <w:overflowPunct/>
        <w:topLinePunct w:val="0"/>
        <w:bidi w:val="0"/>
        <w:spacing w:before="79" w:line="221" w:lineRule="auto"/>
        <w:ind w:left="705"/>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211" w:name="_Toc12212"/>
      <w:bookmarkStart w:id="212" w:name="_Toc9064"/>
      <w:r>
        <w:rPr>
          <w:rFonts w:hint="eastAsia" w:ascii="宋体" w:hAnsi="宋体" w:eastAsia="宋体" w:cs="宋体"/>
          <w:b/>
          <w:bCs/>
          <w:color w:val="000000" w:themeColor="text1"/>
          <w:spacing w:val="0"/>
          <w:sz w:val="24"/>
          <w:szCs w:val="24"/>
          <w:highlight w:val="none"/>
          <w14:textFill>
            <w14:solidFill>
              <w14:schemeClr w14:val="tx1"/>
            </w14:solidFill>
          </w14:textFill>
        </w:rPr>
        <w:t>2 ．招标工程量清单</w:t>
      </w:r>
      <w:bookmarkEnd w:id="211"/>
      <w:bookmarkEnd w:id="212"/>
    </w:p>
    <w:p w14:paraId="6A47FAFD">
      <w:pPr>
        <w:keepNext w:val="0"/>
        <w:keepLines w:val="0"/>
        <w:pageBreakBefore w:val="0"/>
        <w:wordWrap w:val="0"/>
        <w:overflowPunct/>
        <w:topLinePunct w:val="0"/>
        <w:bidi w:val="0"/>
        <w:spacing w:before="117" w:line="312" w:lineRule="auto"/>
        <w:ind w:left="231" w:firstLine="47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2.1  </w:t>
      </w:r>
      <w:r>
        <w:rPr>
          <w:rFonts w:hint="eastAsia" w:ascii="宋体" w:hAnsi="宋体" w:eastAsia="宋体" w:cs="宋体"/>
          <w:color w:val="000000" w:themeColor="text1"/>
          <w:spacing w:val="0"/>
          <w:sz w:val="24"/>
          <w:szCs w:val="24"/>
          <w:highlight w:val="none"/>
          <w14:textFill>
            <w14:solidFill>
              <w14:schemeClr w14:val="tx1"/>
            </w14:solidFill>
          </w14:textFill>
        </w:rPr>
        <w:t>本招标文件随文另附</w:t>
      </w:r>
      <w:bookmarkStart w:id="213" w:name="OLE_LINK33"/>
      <w:r>
        <w:rPr>
          <w:rFonts w:hint="eastAsia" w:ascii="宋体" w:hAnsi="宋体" w:eastAsia="宋体" w:cs="宋体"/>
          <w:color w:val="000000" w:themeColor="text1"/>
          <w:spacing w:val="0"/>
          <w:sz w:val="24"/>
          <w:szCs w:val="24"/>
          <w:highlight w:val="none"/>
          <w:u w:val="single"/>
          <w14:textFill>
            <w14:solidFill>
              <w14:schemeClr w14:val="tx1"/>
            </w14:solidFill>
          </w14:textFill>
        </w:rPr>
        <w:t>招标工程量清单  EXCEL 版</w:t>
      </w:r>
      <w:bookmarkEnd w:id="213"/>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电子文件一套。</w:t>
      </w:r>
    </w:p>
    <w:p w14:paraId="076FE901">
      <w:pPr>
        <w:keepNext w:val="0"/>
        <w:keepLines w:val="0"/>
        <w:pageBreakBefore w:val="0"/>
        <w:wordWrap w:val="0"/>
        <w:overflowPunct/>
        <w:topLinePunct w:val="0"/>
        <w:bidi w:val="0"/>
        <w:spacing w:before="78" w:line="219" w:lineRule="auto"/>
        <w:ind w:left="478" w:firstLine="241" w:firstLineChars="100"/>
        <w:rPr>
          <w:rFonts w:hint="eastAsia" w:ascii="宋体" w:hAnsi="宋体" w:eastAsia="宋体" w:cs="宋体"/>
          <w:color w:val="000000" w:themeColor="text1"/>
          <w:spacing w:val="0"/>
          <w:sz w:val="24"/>
          <w:szCs w:val="24"/>
          <w:highlight w:val="none"/>
          <w14:textFill>
            <w14:solidFill>
              <w14:schemeClr w14:val="tx1"/>
            </w14:solidFill>
          </w14:textFill>
        </w:rPr>
      </w:pPr>
      <w:bookmarkStart w:id="214" w:name="bookmark147"/>
      <w:bookmarkEnd w:id="214"/>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2.2  </w:t>
      </w:r>
      <w:r>
        <w:rPr>
          <w:rFonts w:hint="eastAsia" w:ascii="宋体" w:hAnsi="宋体" w:eastAsia="宋体" w:cs="宋体"/>
          <w:color w:val="000000" w:themeColor="text1"/>
          <w:spacing w:val="0"/>
          <w:sz w:val="24"/>
          <w:szCs w:val="24"/>
          <w:highlight w:val="none"/>
          <w14:textFill>
            <w14:solidFill>
              <w14:schemeClr w14:val="tx1"/>
            </w14:solidFill>
          </w14:textFill>
        </w:rPr>
        <w:t>本工程按照以下依据编制</w:t>
      </w:r>
      <w:r>
        <w:rPr>
          <w:rFonts w:hint="eastAsia" w:ascii="宋体" w:hAnsi="宋体" w:eastAsia="宋体" w:cs="宋体"/>
          <w:color w:val="000000" w:themeColor="text1"/>
          <w:spacing w:val="0"/>
          <w:sz w:val="24"/>
          <w:szCs w:val="24"/>
          <w:highlight w:val="none"/>
          <w:u w:val="single"/>
          <w14:textFill>
            <w14:solidFill>
              <w14:schemeClr w14:val="tx1"/>
            </w14:solidFill>
          </w14:textFill>
        </w:rPr>
        <w:t>招标工程量清单</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678730BC">
      <w:pPr>
        <w:keepNext w:val="0"/>
        <w:keepLines w:val="0"/>
        <w:pageBreakBefore w:val="0"/>
        <w:wordWrap w:val="0"/>
        <w:overflowPunct/>
        <w:topLinePunct w:val="0"/>
        <w:bidi w:val="0"/>
        <w:spacing w:before="123" w:line="219" w:lineRule="auto"/>
        <w:ind w:left="49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建设工程工程量清单计价标准</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GB/T50500-2024</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53E00F35">
      <w:pPr>
        <w:keepNext w:val="0"/>
        <w:keepLines w:val="0"/>
        <w:pageBreakBefore w:val="0"/>
        <w:wordWrap w:val="0"/>
        <w:overflowPunct/>
        <w:topLinePunct w:val="0"/>
        <w:bidi w:val="0"/>
        <w:spacing w:before="115" w:line="299" w:lineRule="auto"/>
        <w:ind w:firstLine="493"/>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量清单与计价表”中每个工作子目的工程量进行重新计算和校核。如果投标人经过检查和复核以后认为招标人提供的工程量清单存在差异，则投标人应将此类差异的详细情况连同按“投标须知 ”规定提交的要求招标人澄清的其他问题一起提交给招标人，招标人将根据实际情况决定是否颁发</w:t>
      </w:r>
      <w:r>
        <w:rPr>
          <w:rFonts w:hint="eastAsia" w:ascii="宋体" w:hAnsi="宋体" w:eastAsia="宋体" w:cs="宋体"/>
          <w:color w:val="000000" w:themeColor="text1"/>
          <w:spacing w:val="0"/>
          <w:sz w:val="24"/>
          <w:szCs w:val="24"/>
          <w:highlight w:val="none"/>
          <w:u w:val="single"/>
          <w14:textFill>
            <w14:solidFill>
              <w14:schemeClr w14:val="tx1"/>
            </w14:solidFill>
          </w14:textFill>
        </w:rPr>
        <w:t>工程量清单</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最高投标限价</w:t>
      </w:r>
      <w:r>
        <w:rPr>
          <w:rFonts w:hint="eastAsia" w:ascii="宋体" w:hAnsi="宋体" w:eastAsia="宋体" w:cs="宋体"/>
          <w:color w:val="000000" w:themeColor="text1"/>
          <w:spacing w:val="0"/>
          <w:sz w:val="24"/>
          <w:szCs w:val="24"/>
          <w:highlight w:val="none"/>
          <w14:textFill>
            <w14:solidFill>
              <w14:schemeClr w14:val="tx1"/>
            </w14:solidFill>
          </w14:textFill>
        </w:rPr>
        <w:t>的补充和(或)修改文件。</w:t>
      </w:r>
    </w:p>
    <w:p w14:paraId="3E496F3B">
      <w:pPr>
        <w:keepNext w:val="0"/>
        <w:keepLines w:val="0"/>
        <w:pageBreakBefore w:val="0"/>
        <w:wordWrap w:val="0"/>
        <w:overflowPunct/>
        <w:topLinePunct w:val="0"/>
        <w:bidi w:val="0"/>
        <w:spacing w:before="79" w:line="263" w:lineRule="auto"/>
        <w:ind w:left="2" w:right="2" w:firstLine="48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（3）本招标工程量清单措施项目中的</w:t>
      </w:r>
      <w:r>
        <w:rPr>
          <w:rFonts w:hint="eastAsia" w:ascii="宋体" w:hAnsi="宋体" w:eastAsia="宋体" w:cs="宋体"/>
          <w:b/>
          <w:bCs/>
          <w:color w:val="000000" w:themeColor="text1"/>
          <w:spacing w:val="0"/>
          <w:sz w:val="24"/>
          <w:szCs w:val="24"/>
          <w:highlight w:val="none"/>
          <w14:textFill>
            <w14:solidFill>
              <w14:schemeClr w14:val="tx1"/>
            </w14:solidFill>
          </w14:textFill>
        </w:rPr>
        <w:t>暂列金额、暂估价</w:t>
      </w:r>
      <w:r>
        <w:rPr>
          <w:rFonts w:hint="eastAsia" w:ascii="宋体" w:hAnsi="宋体" w:eastAsia="宋体" w:cs="宋体"/>
          <w:color w:val="000000" w:themeColor="text1"/>
          <w:spacing w:val="0"/>
          <w:sz w:val="24"/>
          <w:szCs w:val="24"/>
          <w:highlight w:val="none"/>
          <w14:textFill>
            <w14:solidFill>
              <w14:schemeClr w14:val="tx1"/>
            </w14:solidFill>
          </w14:textFill>
        </w:rPr>
        <w:t>不得作为竞争性费用，投标报价必须按本招标工程量清单规定的金额填报。</w:t>
      </w:r>
    </w:p>
    <w:p w14:paraId="24C45CC5">
      <w:pPr>
        <w:keepNext w:val="0"/>
        <w:keepLines w:val="0"/>
        <w:pageBreakBefore w:val="0"/>
        <w:wordWrap w:val="0"/>
        <w:overflowPunct/>
        <w:topLinePunct w:val="0"/>
        <w:bidi w:val="0"/>
        <w:spacing w:before="118" w:line="265" w:lineRule="auto"/>
        <w:ind w:left="7" w:right="4" w:firstLine="48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（4）投标报价使用的表格格式须按照《</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建设工程工程量清单计价标准</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GB/T50500-2024</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5D89ED6B">
      <w:pPr>
        <w:keepNext w:val="0"/>
        <w:keepLines w:val="0"/>
        <w:pageBreakBefore w:val="0"/>
        <w:wordWrap w:val="0"/>
        <w:overflowPunct/>
        <w:topLinePunct w:val="0"/>
        <w:bidi w:val="0"/>
        <w:spacing w:before="107" w:line="286" w:lineRule="auto"/>
        <w:ind w:right="4" w:firstLine="49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4B3D583F">
      <w:pPr>
        <w:keepNext w:val="0"/>
        <w:keepLines w:val="0"/>
        <w:pageBreakBefore w:val="0"/>
        <w:wordWrap w:val="0"/>
        <w:overflowPunct/>
        <w:topLinePunct w:val="0"/>
        <w:bidi w:val="0"/>
        <w:spacing w:before="146" w:line="221" w:lineRule="auto"/>
        <w:ind w:left="49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（6）施工图及相关资料；</w:t>
      </w:r>
    </w:p>
    <w:p w14:paraId="2C855D25">
      <w:pPr>
        <w:keepNext w:val="0"/>
        <w:keepLines w:val="0"/>
        <w:pageBreakBefore w:val="0"/>
        <w:wordWrap w:val="0"/>
        <w:overflowPunct/>
        <w:topLinePunct w:val="0"/>
        <w:bidi w:val="0"/>
        <w:spacing w:before="153" w:line="220" w:lineRule="auto"/>
        <w:ind w:left="49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（7）招标文件；</w:t>
      </w:r>
    </w:p>
    <w:p w14:paraId="7D4A78D6">
      <w:pPr>
        <w:keepNext w:val="0"/>
        <w:keepLines w:val="0"/>
        <w:pageBreakBefore w:val="0"/>
        <w:wordWrap w:val="0"/>
        <w:overflowPunct/>
        <w:topLinePunct w:val="0"/>
        <w:bidi w:val="0"/>
        <w:spacing w:before="155" w:line="220" w:lineRule="auto"/>
        <w:ind w:left="49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（8）施工现场情况、地勘水文资料、工程特点及常规施工方案；</w:t>
      </w:r>
    </w:p>
    <w:p w14:paraId="617E9DDC">
      <w:pPr>
        <w:keepNext w:val="0"/>
        <w:keepLines w:val="0"/>
        <w:pageBreakBefore w:val="0"/>
        <w:wordWrap w:val="0"/>
        <w:overflowPunct/>
        <w:topLinePunct w:val="0"/>
        <w:bidi w:val="0"/>
        <w:spacing w:before="153" w:line="219" w:lineRule="auto"/>
        <w:ind w:left="49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（9）与建设工程有关的标准、规范、技术资料、材料设备信息价或市场价格等。</w:t>
      </w:r>
    </w:p>
    <w:p w14:paraId="12618F59">
      <w:pPr>
        <w:pStyle w:val="24"/>
        <w:rPr>
          <w:rFonts w:hint="eastAsia" w:ascii="宋体" w:hAnsi="宋体" w:eastAsia="宋体" w:cs="宋体"/>
          <w:color w:val="000000" w:themeColor="text1"/>
          <w:highlight w:val="none"/>
          <w14:textFill>
            <w14:solidFill>
              <w14:schemeClr w14:val="tx1"/>
            </w14:solidFill>
          </w14:textFill>
        </w:rPr>
      </w:pPr>
    </w:p>
    <w:p w14:paraId="499D0013">
      <w:pPr>
        <w:keepNext w:val="0"/>
        <w:keepLines w:val="0"/>
        <w:pageBreakBefore w:val="0"/>
        <w:wordWrap w:val="0"/>
        <w:overflowPunct/>
        <w:topLinePunct w:val="0"/>
        <w:bidi w:val="0"/>
        <w:spacing w:line="219" w:lineRule="auto"/>
        <w:rPr>
          <w:rFonts w:hint="eastAsia" w:ascii="宋体" w:hAnsi="宋体" w:eastAsia="宋体" w:cs="宋体"/>
          <w:color w:val="000000" w:themeColor="text1"/>
          <w:spacing w:val="0"/>
          <w:sz w:val="24"/>
          <w:szCs w:val="24"/>
          <w:highlight w:val="none"/>
          <w14:textFill>
            <w14:solidFill>
              <w14:schemeClr w14:val="tx1"/>
            </w14:solidFill>
          </w14:textFill>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6C94DD83">
      <w:pPr>
        <w:pStyle w:val="5"/>
        <w:keepNext w:val="0"/>
        <w:keepLines w:val="0"/>
        <w:pageBreakBefore w:val="0"/>
        <w:wordWrap w:val="0"/>
        <w:overflowPunct/>
        <w:topLinePunct w:val="0"/>
        <w:bidi w:val="0"/>
        <w:spacing w:line="304" w:lineRule="auto"/>
        <w:rPr>
          <w:rFonts w:hint="eastAsia" w:ascii="宋体" w:hAnsi="宋体" w:eastAsia="宋体" w:cs="宋体"/>
          <w:color w:val="000000" w:themeColor="text1"/>
          <w:spacing w:val="0"/>
          <w:highlight w:val="none"/>
          <w14:textFill>
            <w14:solidFill>
              <w14:schemeClr w14:val="tx1"/>
            </w14:solidFill>
          </w14:textFill>
        </w:rPr>
      </w:pPr>
    </w:p>
    <w:p w14:paraId="0C8B4CB9">
      <w:pPr>
        <w:keepNext w:val="0"/>
        <w:keepLines w:val="0"/>
        <w:pageBreakBefore w:val="0"/>
        <w:wordWrap w:val="0"/>
        <w:overflowPunct/>
        <w:topLinePunct w:val="0"/>
        <w:bidi w:val="0"/>
        <w:spacing w:before="78" w:line="219" w:lineRule="auto"/>
        <w:ind w:left="3357"/>
        <w:outlineLvl w:val="0"/>
        <w:rPr>
          <w:rFonts w:hint="eastAsia" w:ascii="宋体" w:hAnsi="宋体" w:eastAsia="宋体" w:cs="宋体"/>
          <w:color w:val="000000" w:themeColor="text1"/>
          <w:spacing w:val="0"/>
          <w:sz w:val="24"/>
          <w:szCs w:val="24"/>
          <w:highlight w:val="none"/>
          <w14:textFill>
            <w14:solidFill>
              <w14:schemeClr w14:val="tx1"/>
            </w14:solidFill>
          </w14:textFill>
        </w:rPr>
      </w:pPr>
      <w:bookmarkStart w:id="215" w:name="_Toc26988"/>
      <w:r>
        <w:rPr>
          <w:rFonts w:hint="eastAsia" w:ascii="宋体" w:hAnsi="宋体" w:eastAsia="宋体" w:cs="宋体"/>
          <w:b/>
          <w:bCs/>
          <w:color w:val="000000" w:themeColor="text1"/>
          <w:spacing w:val="0"/>
          <w:sz w:val="24"/>
          <w:szCs w:val="24"/>
          <w:highlight w:val="none"/>
          <w14:textFill>
            <w14:solidFill>
              <w14:schemeClr w14:val="tx1"/>
            </w14:solidFill>
          </w14:textFill>
        </w:rPr>
        <w:t>第六章</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投标文件格式</w:t>
      </w:r>
      <w:bookmarkEnd w:id="215"/>
    </w:p>
    <w:p w14:paraId="5B1AE375">
      <w:pPr>
        <w:pStyle w:val="5"/>
        <w:keepNext w:val="0"/>
        <w:keepLines w:val="0"/>
        <w:pageBreakBefore w:val="0"/>
        <w:wordWrap w:val="0"/>
        <w:overflowPunct/>
        <w:topLinePunct w:val="0"/>
        <w:bidi w:val="0"/>
        <w:spacing w:line="302" w:lineRule="auto"/>
        <w:jc w:val="right"/>
        <w:rPr>
          <w:rFonts w:hint="eastAsia" w:ascii="宋体" w:hAnsi="宋体" w:eastAsia="宋体" w:cs="宋体"/>
          <w:color w:val="000000" w:themeColor="text1"/>
          <w:spacing w:val="0"/>
          <w:highlight w:val="none"/>
          <w14:textFill>
            <w14:solidFill>
              <w14:schemeClr w14:val="tx1"/>
            </w14:solidFill>
          </w14:textFill>
        </w:rPr>
      </w:pPr>
    </w:p>
    <w:p w14:paraId="732FF561">
      <w:pPr>
        <w:keepNext w:val="0"/>
        <w:keepLines w:val="0"/>
        <w:pageBreakBefore w:val="0"/>
        <w:wordWrap w:val="0"/>
        <w:overflowPunct/>
        <w:topLinePunct w:val="0"/>
        <w:bidi w:val="0"/>
        <w:spacing w:before="78" w:line="220" w:lineRule="auto"/>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216" w:name="_Toc27109"/>
      <w:r>
        <w:rPr>
          <w:rFonts w:hint="eastAsia" w:ascii="宋体" w:hAnsi="宋体" w:eastAsia="宋体" w:cs="宋体"/>
          <w:b/>
          <w:bCs/>
          <w:color w:val="000000" w:themeColor="text1"/>
          <w:spacing w:val="0"/>
          <w:sz w:val="24"/>
          <w:szCs w:val="24"/>
          <w:highlight w:val="none"/>
          <w14:textFill>
            <w14:solidFill>
              <w14:schemeClr w14:val="tx1"/>
            </w14:solidFill>
          </w14:textFill>
        </w:rPr>
        <w:t>格式一</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封面</w:t>
      </w:r>
      <w:bookmarkEnd w:id="216"/>
    </w:p>
    <w:p w14:paraId="3D936F71">
      <w:pPr>
        <w:pStyle w:val="5"/>
        <w:keepNext w:val="0"/>
        <w:keepLines w:val="0"/>
        <w:pageBreakBefore w:val="0"/>
        <w:wordWrap w:val="0"/>
        <w:overflowPunct/>
        <w:topLinePunct w:val="0"/>
        <w:bidi w:val="0"/>
        <w:spacing w:line="258" w:lineRule="auto"/>
        <w:rPr>
          <w:rFonts w:hint="eastAsia" w:ascii="宋体" w:hAnsi="宋体" w:eastAsia="宋体" w:cs="宋体"/>
          <w:color w:val="000000" w:themeColor="text1"/>
          <w:spacing w:val="0"/>
          <w:highlight w:val="none"/>
          <w14:textFill>
            <w14:solidFill>
              <w14:schemeClr w14:val="tx1"/>
            </w14:solidFill>
          </w14:textFill>
        </w:rPr>
      </w:pPr>
    </w:p>
    <w:p w14:paraId="068AB70E">
      <w:pPr>
        <w:pStyle w:val="5"/>
        <w:keepNext w:val="0"/>
        <w:keepLines w:val="0"/>
        <w:pageBreakBefore w:val="0"/>
        <w:wordWrap w:val="0"/>
        <w:overflowPunct/>
        <w:topLinePunct w:val="0"/>
        <w:bidi w:val="0"/>
        <w:spacing w:line="259" w:lineRule="auto"/>
        <w:rPr>
          <w:rFonts w:hint="eastAsia" w:ascii="宋体" w:hAnsi="宋体" w:eastAsia="宋体" w:cs="宋体"/>
          <w:color w:val="000000" w:themeColor="text1"/>
          <w:spacing w:val="0"/>
          <w:highlight w:val="none"/>
          <w14:textFill>
            <w14:solidFill>
              <w14:schemeClr w14:val="tx1"/>
            </w14:solidFill>
          </w14:textFill>
        </w:rPr>
      </w:pPr>
    </w:p>
    <w:p w14:paraId="0DE0F809">
      <w:pPr>
        <w:pStyle w:val="5"/>
        <w:keepNext w:val="0"/>
        <w:keepLines w:val="0"/>
        <w:pageBreakBefore w:val="0"/>
        <w:wordWrap w:val="0"/>
        <w:overflowPunct/>
        <w:topLinePunct w:val="0"/>
        <w:bidi w:val="0"/>
        <w:spacing w:line="259" w:lineRule="auto"/>
        <w:rPr>
          <w:rFonts w:hint="eastAsia" w:ascii="宋体" w:hAnsi="宋体" w:eastAsia="宋体" w:cs="宋体"/>
          <w:color w:val="000000" w:themeColor="text1"/>
          <w:spacing w:val="0"/>
          <w:highlight w:val="none"/>
          <w14:textFill>
            <w14:solidFill>
              <w14:schemeClr w14:val="tx1"/>
            </w14:solidFill>
          </w14:textFill>
        </w:rPr>
      </w:pPr>
    </w:p>
    <w:p w14:paraId="5ED9FBF6">
      <w:pPr>
        <w:keepNext w:val="0"/>
        <w:keepLines w:val="0"/>
        <w:pageBreakBefore w:val="0"/>
        <w:wordWrap w:val="0"/>
        <w:overflowPunct/>
        <w:topLinePunct w:val="0"/>
        <w:bidi w:val="0"/>
        <w:spacing w:before="153" w:line="225" w:lineRule="auto"/>
        <w:ind w:left="-1" w:leftChars="0" w:firstLine="0" w:firstLineChars="0"/>
        <w:jc w:val="center"/>
        <w:rPr>
          <w:rFonts w:hint="eastAsia" w:ascii="宋体" w:hAnsi="宋体" w:eastAsia="宋体" w:cs="宋体"/>
          <w:color w:val="000000" w:themeColor="text1"/>
          <w:spacing w:val="0"/>
          <w:sz w:val="47"/>
          <w:szCs w:val="47"/>
          <w:highlight w:val="none"/>
          <w14:textFill>
            <w14:solidFill>
              <w14:schemeClr w14:val="tx1"/>
            </w14:solidFill>
          </w14:textFill>
        </w:rPr>
      </w:pPr>
      <w:r>
        <w:rPr>
          <w:rFonts w:hint="eastAsia" w:ascii="宋体" w:hAnsi="宋体" w:eastAsia="宋体" w:cs="宋体"/>
          <w:b/>
          <w:bCs/>
          <w:color w:val="000000" w:themeColor="text1"/>
          <w:spacing w:val="0"/>
          <w:sz w:val="47"/>
          <w:szCs w:val="47"/>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pacing w:val="0"/>
          <w:sz w:val="47"/>
          <w:szCs w:val="47"/>
          <w:highlight w:val="none"/>
          <w:u w:val="single"/>
          <w14:textFill>
            <w14:solidFill>
              <w14:schemeClr w14:val="tx1"/>
            </w14:solidFill>
          </w14:textFill>
        </w:rPr>
        <w:t>（项目名称）</w:t>
      </w:r>
      <w:r>
        <w:rPr>
          <w:rFonts w:hint="eastAsia" w:ascii="宋体" w:hAnsi="宋体" w:eastAsia="宋体" w:cs="宋体"/>
          <w:b/>
          <w:bCs/>
          <w:color w:val="000000" w:themeColor="text1"/>
          <w:spacing w:val="0"/>
          <w:sz w:val="47"/>
          <w:szCs w:val="47"/>
          <w:highlight w:val="none"/>
          <w:u w:val="none"/>
          <w:lang w:val="en-US" w:eastAsia="zh-CN"/>
          <w14:textFill>
            <w14:solidFill>
              <w14:schemeClr w14:val="tx1"/>
            </w14:solidFill>
          </w14:textFill>
        </w:rPr>
        <w:t>施工</w:t>
      </w:r>
      <w:r>
        <w:rPr>
          <w:rFonts w:hint="eastAsia" w:ascii="宋体" w:hAnsi="宋体" w:eastAsia="宋体" w:cs="宋体"/>
          <w:b/>
          <w:bCs/>
          <w:color w:val="000000" w:themeColor="text1"/>
          <w:spacing w:val="0"/>
          <w:sz w:val="47"/>
          <w:szCs w:val="47"/>
          <w:highlight w:val="none"/>
          <w14:textFill>
            <w14:solidFill>
              <w14:schemeClr w14:val="tx1"/>
            </w14:solidFill>
          </w14:textFill>
        </w:rPr>
        <w:t>招标</w:t>
      </w:r>
    </w:p>
    <w:p w14:paraId="6DEABEF4">
      <w:pPr>
        <w:pStyle w:val="5"/>
        <w:keepNext w:val="0"/>
        <w:keepLines w:val="0"/>
        <w:pageBreakBefore w:val="0"/>
        <w:wordWrap w:val="0"/>
        <w:overflowPunct/>
        <w:topLinePunct w:val="0"/>
        <w:bidi w:val="0"/>
        <w:spacing w:line="247" w:lineRule="auto"/>
        <w:rPr>
          <w:rFonts w:hint="eastAsia" w:ascii="宋体" w:hAnsi="宋体" w:eastAsia="宋体" w:cs="宋体"/>
          <w:color w:val="000000" w:themeColor="text1"/>
          <w:spacing w:val="0"/>
          <w:highlight w:val="none"/>
          <w14:textFill>
            <w14:solidFill>
              <w14:schemeClr w14:val="tx1"/>
            </w14:solidFill>
          </w14:textFill>
        </w:rPr>
      </w:pPr>
    </w:p>
    <w:p w14:paraId="5EF5EDE9">
      <w:pPr>
        <w:pStyle w:val="5"/>
        <w:keepNext w:val="0"/>
        <w:keepLines w:val="0"/>
        <w:pageBreakBefore w:val="0"/>
        <w:wordWrap w:val="0"/>
        <w:overflowPunct/>
        <w:topLinePunct w:val="0"/>
        <w:bidi w:val="0"/>
        <w:spacing w:line="247" w:lineRule="auto"/>
        <w:rPr>
          <w:rFonts w:hint="eastAsia" w:ascii="宋体" w:hAnsi="宋体" w:eastAsia="宋体" w:cs="宋体"/>
          <w:color w:val="000000" w:themeColor="text1"/>
          <w:spacing w:val="0"/>
          <w:highlight w:val="none"/>
          <w14:textFill>
            <w14:solidFill>
              <w14:schemeClr w14:val="tx1"/>
            </w14:solidFill>
          </w14:textFill>
        </w:rPr>
      </w:pPr>
    </w:p>
    <w:p w14:paraId="34AB878A">
      <w:pPr>
        <w:pStyle w:val="5"/>
        <w:keepNext w:val="0"/>
        <w:keepLines w:val="0"/>
        <w:pageBreakBefore w:val="0"/>
        <w:wordWrap w:val="0"/>
        <w:overflowPunct/>
        <w:topLinePunct w:val="0"/>
        <w:bidi w:val="0"/>
        <w:spacing w:line="247" w:lineRule="auto"/>
        <w:rPr>
          <w:rFonts w:hint="eastAsia" w:ascii="宋体" w:hAnsi="宋体" w:eastAsia="宋体" w:cs="宋体"/>
          <w:color w:val="000000" w:themeColor="text1"/>
          <w:spacing w:val="0"/>
          <w:highlight w:val="none"/>
          <w14:textFill>
            <w14:solidFill>
              <w14:schemeClr w14:val="tx1"/>
            </w14:solidFill>
          </w14:textFill>
        </w:rPr>
      </w:pPr>
    </w:p>
    <w:p w14:paraId="15E641E6">
      <w:pPr>
        <w:pStyle w:val="5"/>
        <w:keepNext w:val="0"/>
        <w:keepLines w:val="0"/>
        <w:pageBreakBefore w:val="0"/>
        <w:wordWrap w:val="0"/>
        <w:overflowPunct/>
        <w:topLinePunct w:val="0"/>
        <w:bidi w:val="0"/>
        <w:spacing w:line="247" w:lineRule="auto"/>
        <w:rPr>
          <w:rFonts w:hint="eastAsia" w:ascii="宋体" w:hAnsi="宋体" w:eastAsia="宋体" w:cs="宋体"/>
          <w:color w:val="000000" w:themeColor="text1"/>
          <w:spacing w:val="0"/>
          <w:highlight w:val="none"/>
          <w14:textFill>
            <w14:solidFill>
              <w14:schemeClr w14:val="tx1"/>
            </w14:solidFill>
          </w14:textFill>
        </w:rPr>
      </w:pPr>
    </w:p>
    <w:p w14:paraId="3098056B">
      <w:pPr>
        <w:pStyle w:val="5"/>
        <w:keepNext w:val="0"/>
        <w:keepLines w:val="0"/>
        <w:pageBreakBefore w:val="0"/>
        <w:wordWrap w:val="0"/>
        <w:overflowPunct/>
        <w:topLinePunct w:val="0"/>
        <w:bidi w:val="0"/>
        <w:spacing w:line="248" w:lineRule="auto"/>
        <w:rPr>
          <w:rFonts w:hint="eastAsia" w:ascii="宋体" w:hAnsi="宋体" w:eastAsia="宋体" w:cs="宋体"/>
          <w:color w:val="000000" w:themeColor="text1"/>
          <w:spacing w:val="0"/>
          <w:highlight w:val="none"/>
          <w14:textFill>
            <w14:solidFill>
              <w14:schemeClr w14:val="tx1"/>
            </w14:solidFill>
          </w14:textFill>
        </w:rPr>
      </w:pPr>
    </w:p>
    <w:p w14:paraId="4ECB4A2E">
      <w:pPr>
        <w:keepNext w:val="0"/>
        <w:keepLines w:val="0"/>
        <w:pageBreakBefore w:val="0"/>
        <w:wordWrap w:val="0"/>
        <w:overflowPunct/>
        <w:topLinePunct w:val="0"/>
        <w:bidi w:val="0"/>
        <w:spacing w:before="231" w:line="223" w:lineRule="auto"/>
        <w:jc w:val="center"/>
        <w:rPr>
          <w:rFonts w:hint="eastAsia" w:ascii="宋体" w:hAnsi="宋体" w:eastAsia="宋体" w:cs="宋体"/>
          <w:color w:val="000000" w:themeColor="text1"/>
          <w:spacing w:val="0"/>
          <w:sz w:val="71"/>
          <w:szCs w:val="71"/>
          <w:highlight w:val="none"/>
          <w14:textFill>
            <w14:solidFill>
              <w14:schemeClr w14:val="tx1"/>
            </w14:solidFill>
          </w14:textFill>
        </w:rPr>
      </w:pPr>
      <w:r>
        <w:rPr>
          <w:rFonts w:hint="eastAsia" w:ascii="宋体" w:hAnsi="宋体" w:eastAsia="宋体" w:cs="宋体"/>
          <w:b/>
          <w:bCs/>
          <w:color w:val="000000" w:themeColor="text1"/>
          <w:spacing w:val="0"/>
          <w:sz w:val="71"/>
          <w:szCs w:val="71"/>
          <w:highlight w:val="none"/>
          <w14:textFill>
            <w14:solidFill>
              <w14:schemeClr w14:val="tx1"/>
            </w14:solidFill>
          </w14:textFill>
        </w:rPr>
        <w:t>投</w:t>
      </w:r>
      <w:r>
        <w:rPr>
          <w:rFonts w:hint="eastAsia" w:ascii="宋体" w:hAnsi="宋体" w:eastAsia="宋体" w:cs="宋体"/>
          <w:color w:val="000000" w:themeColor="text1"/>
          <w:spacing w:val="0"/>
          <w:sz w:val="71"/>
          <w:szCs w:val="71"/>
          <w:highlight w:val="none"/>
          <w14:textFill>
            <w14:solidFill>
              <w14:schemeClr w14:val="tx1"/>
            </w14:solidFill>
          </w14:textFill>
        </w:rPr>
        <w:t xml:space="preserve">  </w:t>
      </w:r>
      <w:r>
        <w:rPr>
          <w:rFonts w:hint="eastAsia" w:ascii="宋体" w:hAnsi="宋体" w:eastAsia="宋体" w:cs="宋体"/>
          <w:b/>
          <w:bCs/>
          <w:color w:val="000000" w:themeColor="text1"/>
          <w:spacing w:val="0"/>
          <w:sz w:val="71"/>
          <w:szCs w:val="71"/>
          <w:highlight w:val="none"/>
          <w14:textFill>
            <w14:solidFill>
              <w14:schemeClr w14:val="tx1"/>
            </w14:solidFill>
          </w14:textFill>
        </w:rPr>
        <w:t>标</w:t>
      </w:r>
      <w:r>
        <w:rPr>
          <w:rFonts w:hint="eastAsia" w:ascii="宋体" w:hAnsi="宋体" w:eastAsia="宋体" w:cs="宋体"/>
          <w:color w:val="000000" w:themeColor="text1"/>
          <w:spacing w:val="0"/>
          <w:sz w:val="71"/>
          <w:szCs w:val="71"/>
          <w:highlight w:val="none"/>
          <w14:textFill>
            <w14:solidFill>
              <w14:schemeClr w14:val="tx1"/>
            </w14:solidFill>
          </w14:textFill>
        </w:rPr>
        <w:t xml:space="preserve">  </w:t>
      </w:r>
      <w:r>
        <w:rPr>
          <w:rFonts w:hint="eastAsia" w:ascii="宋体" w:hAnsi="宋体" w:eastAsia="宋体" w:cs="宋体"/>
          <w:b/>
          <w:bCs/>
          <w:color w:val="000000" w:themeColor="text1"/>
          <w:spacing w:val="0"/>
          <w:sz w:val="71"/>
          <w:szCs w:val="71"/>
          <w:highlight w:val="none"/>
          <w14:textFill>
            <w14:solidFill>
              <w14:schemeClr w14:val="tx1"/>
            </w14:solidFill>
          </w14:textFill>
        </w:rPr>
        <w:t>文</w:t>
      </w:r>
      <w:r>
        <w:rPr>
          <w:rFonts w:hint="eastAsia" w:ascii="宋体" w:hAnsi="宋体" w:eastAsia="宋体" w:cs="宋体"/>
          <w:color w:val="000000" w:themeColor="text1"/>
          <w:spacing w:val="0"/>
          <w:sz w:val="71"/>
          <w:szCs w:val="71"/>
          <w:highlight w:val="none"/>
          <w14:textFill>
            <w14:solidFill>
              <w14:schemeClr w14:val="tx1"/>
            </w14:solidFill>
          </w14:textFill>
        </w:rPr>
        <w:t xml:space="preserve">  </w:t>
      </w:r>
      <w:r>
        <w:rPr>
          <w:rFonts w:hint="eastAsia" w:ascii="宋体" w:hAnsi="宋体" w:eastAsia="宋体" w:cs="宋体"/>
          <w:b/>
          <w:bCs/>
          <w:color w:val="000000" w:themeColor="text1"/>
          <w:spacing w:val="0"/>
          <w:sz w:val="71"/>
          <w:szCs w:val="71"/>
          <w:highlight w:val="none"/>
          <w14:textFill>
            <w14:solidFill>
              <w14:schemeClr w14:val="tx1"/>
            </w14:solidFill>
          </w14:textFill>
        </w:rPr>
        <w:t>件</w:t>
      </w:r>
    </w:p>
    <w:p w14:paraId="23F78714">
      <w:pPr>
        <w:pStyle w:val="5"/>
        <w:keepNext w:val="0"/>
        <w:keepLines w:val="0"/>
        <w:pageBreakBefore w:val="0"/>
        <w:wordWrap w:val="0"/>
        <w:overflowPunct/>
        <w:topLinePunct w:val="0"/>
        <w:bidi w:val="0"/>
        <w:spacing w:line="293" w:lineRule="auto"/>
        <w:rPr>
          <w:rFonts w:hint="eastAsia" w:ascii="宋体" w:hAnsi="宋体" w:eastAsia="宋体" w:cs="宋体"/>
          <w:color w:val="000000" w:themeColor="text1"/>
          <w:spacing w:val="0"/>
          <w:highlight w:val="none"/>
          <w14:textFill>
            <w14:solidFill>
              <w14:schemeClr w14:val="tx1"/>
            </w14:solidFill>
          </w14:textFill>
        </w:rPr>
      </w:pPr>
    </w:p>
    <w:p w14:paraId="0CD43441">
      <w:pPr>
        <w:pStyle w:val="5"/>
        <w:keepNext w:val="0"/>
        <w:keepLines w:val="0"/>
        <w:pageBreakBefore w:val="0"/>
        <w:wordWrap w:val="0"/>
        <w:overflowPunct/>
        <w:topLinePunct w:val="0"/>
        <w:bidi w:val="0"/>
        <w:spacing w:line="293" w:lineRule="auto"/>
        <w:rPr>
          <w:rFonts w:hint="eastAsia" w:ascii="宋体" w:hAnsi="宋体" w:eastAsia="宋体" w:cs="宋体"/>
          <w:color w:val="000000" w:themeColor="text1"/>
          <w:spacing w:val="0"/>
          <w:highlight w:val="none"/>
          <w14:textFill>
            <w14:solidFill>
              <w14:schemeClr w14:val="tx1"/>
            </w14:solidFill>
          </w14:textFill>
        </w:rPr>
      </w:pPr>
    </w:p>
    <w:p w14:paraId="48210BB7">
      <w:pPr>
        <w:keepNext w:val="0"/>
        <w:keepLines w:val="0"/>
        <w:pageBreakBefore w:val="0"/>
        <w:wordWrap w:val="0"/>
        <w:overflowPunct/>
        <w:topLinePunct w:val="0"/>
        <w:bidi w:val="0"/>
        <w:spacing w:before="152" w:line="223" w:lineRule="auto"/>
        <w:jc w:val="center"/>
        <w:rPr>
          <w:rFonts w:hint="eastAsia" w:ascii="宋体" w:hAnsi="宋体" w:eastAsia="宋体" w:cs="宋体"/>
          <w:b/>
          <w:bCs/>
          <w:color w:val="000000" w:themeColor="text1"/>
          <w:spacing w:val="0"/>
          <w:sz w:val="47"/>
          <w:szCs w:val="47"/>
          <w:highlight w:val="none"/>
          <w14:textFill>
            <w14:solidFill>
              <w14:schemeClr w14:val="tx1"/>
            </w14:solidFill>
          </w14:textFill>
        </w:rPr>
      </w:pPr>
      <w:bookmarkStart w:id="217" w:name="bookmark105"/>
      <w:bookmarkEnd w:id="217"/>
      <w:r>
        <w:rPr>
          <w:rFonts w:hint="eastAsia" w:ascii="宋体" w:hAnsi="宋体" w:eastAsia="宋体" w:cs="宋体"/>
          <w:b/>
          <w:bCs/>
          <w:color w:val="000000" w:themeColor="text1"/>
          <w:spacing w:val="0"/>
          <w:sz w:val="47"/>
          <w:szCs w:val="47"/>
          <w:highlight w:val="none"/>
          <w14:textFill>
            <w14:solidFill>
              <w14:schemeClr w14:val="tx1"/>
            </w14:solidFill>
          </w14:textFill>
        </w:rPr>
        <w:t>（商务标书／经济标书／施工组织设计）</w:t>
      </w:r>
    </w:p>
    <w:p w14:paraId="33EFFA4B">
      <w:pPr>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p w14:paraId="71694CDA">
      <w:pPr>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p w14:paraId="7C6BCB43">
      <w:pPr>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p w14:paraId="10E86CD1">
      <w:pPr>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p w14:paraId="7AB4BF47">
      <w:pPr>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p w14:paraId="306BB099">
      <w:pPr>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p w14:paraId="17C1C6BE">
      <w:pPr>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p w14:paraId="313F4F70">
      <w:pPr>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p w14:paraId="2D1F340C">
      <w:pPr>
        <w:pStyle w:val="45"/>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000000" w:themeColor="text1"/>
          <w:spacing w:val="0"/>
          <w:sz w:val="32"/>
          <w:highlight w:val="none"/>
          <w14:textFill>
            <w14:solidFill>
              <w14:schemeClr w14:val="tx1"/>
            </w14:solidFill>
          </w14:textFill>
        </w:rPr>
      </w:pPr>
      <w:r>
        <w:rPr>
          <w:rFonts w:hint="eastAsia" w:ascii="宋体" w:hAnsi="宋体" w:eastAsia="宋体" w:cs="宋体"/>
          <w:bCs/>
          <w:snapToGrid w:val="0"/>
          <w:color w:val="000000" w:themeColor="text1"/>
          <w:spacing w:val="0"/>
          <w:sz w:val="32"/>
          <w:highlight w:val="none"/>
          <w14:textFill>
            <w14:solidFill>
              <w14:schemeClr w14:val="tx1"/>
            </w14:solidFill>
          </w14:textFill>
        </w:rPr>
        <w:t>投标人：</w:t>
      </w:r>
      <w:r>
        <w:rPr>
          <w:rFonts w:hint="eastAsia" w:ascii="宋体" w:hAnsi="宋体" w:eastAsia="宋体" w:cs="宋体"/>
          <w:bCs/>
          <w:snapToGrid w:val="0"/>
          <w:color w:val="000000" w:themeColor="text1"/>
          <w:spacing w:val="0"/>
          <w:sz w:val="32"/>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spacing w:val="0"/>
          <w:sz w:val="32"/>
          <w:highlight w:val="none"/>
          <w14:textFill>
            <w14:solidFill>
              <w14:schemeClr w14:val="tx1"/>
            </w14:solidFill>
          </w14:textFill>
        </w:rPr>
        <w:t>（盖单位章）</w:t>
      </w:r>
    </w:p>
    <w:p w14:paraId="711C8DA7">
      <w:pPr>
        <w:pStyle w:val="45"/>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000000" w:themeColor="text1"/>
          <w:spacing w:val="0"/>
          <w:sz w:val="32"/>
          <w:highlight w:val="none"/>
          <w14:textFill>
            <w14:solidFill>
              <w14:schemeClr w14:val="tx1"/>
            </w14:solidFill>
          </w14:textFill>
        </w:rPr>
      </w:pPr>
    </w:p>
    <w:p w14:paraId="3752A510">
      <w:pPr>
        <w:pStyle w:val="45"/>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000000" w:themeColor="text1"/>
          <w:spacing w:val="0"/>
          <w:sz w:val="32"/>
          <w:highlight w:val="none"/>
          <w14:textFill>
            <w14:solidFill>
              <w14:schemeClr w14:val="tx1"/>
            </w14:solidFill>
          </w14:textFill>
        </w:rPr>
      </w:pPr>
    </w:p>
    <w:p w14:paraId="7191B422">
      <w:pPr>
        <w:pStyle w:val="45"/>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000000" w:themeColor="text1"/>
          <w:spacing w:val="0"/>
          <w:sz w:val="32"/>
          <w:highlight w:val="none"/>
          <w14:textFill>
            <w14:solidFill>
              <w14:schemeClr w14:val="tx1"/>
            </w14:solidFill>
          </w14:textFill>
        </w:rPr>
      </w:pPr>
      <w:r>
        <w:rPr>
          <w:rFonts w:hint="eastAsia" w:ascii="宋体" w:hAnsi="宋体" w:eastAsia="宋体" w:cs="宋体"/>
          <w:bCs/>
          <w:snapToGrid w:val="0"/>
          <w:color w:val="000000" w:themeColor="text1"/>
          <w:spacing w:val="0"/>
          <w:sz w:val="32"/>
          <w:highlight w:val="none"/>
          <w14:textFill>
            <w14:solidFill>
              <w14:schemeClr w14:val="tx1"/>
            </w14:solidFill>
          </w14:textFill>
        </w:rPr>
        <w:t>法定代表人或其委托代理人：</w:t>
      </w:r>
      <w:r>
        <w:rPr>
          <w:rFonts w:hint="eastAsia" w:ascii="宋体" w:hAnsi="宋体" w:eastAsia="宋体" w:cs="宋体"/>
          <w:bCs/>
          <w:snapToGrid w:val="0"/>
          <w:color w:val="000000" w:themeColor="text1"/>
          <w:spacing w:val="0"/>
          <w:sz w:val="32"/>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spacing w:val="0"/>
          <w:sz w:val="32"/>
          <w:highlight w:val="none"/>
          <w14:textFill>
            <w14:solidFill>
              <w14:schemeClr w14:val="tx1"/>
            </w14:solidFill>
          </w14:textFill>
        </w:rPr>
        <w:t>（签字或盖章）</w:t>
      </w:r>
    </w:p>
    <w:p w14:paraId="76469CE6">
      <w:pPr>
        <w:pStyle w:val="45"/>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000000" w:themeColor="text1"/>
          <w:spacing w:val="0"/>
          <w:sz w:val="32"/>
          <w:highlight w:val="none"/>
          <w14:textFill>
            <w14:solidFill>
              <w14:schemeClr w14:val="tx1"/>
            </w14:solidFill>
          </w14:textFill>
        </w:rPr>
      </w:pPr>
    </w:p>
    <w:p w14:paraId="06FBE36F">
      <w:pPr>
        <w:pStyle w:val="45"/>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000000" w:themeColor="text1"/>
          <w:spacing w:val="0"/>
          <w:sz w:val="32"/>
          <w:highlight w:val="none"/>
          <w:u w:val="single"/>
          <w14:textFill>
            <w14:solidFill>
              <w14:schemeClr w14:val="tx1"/>
            </w14:solidFill>
          </w14:textFill>
        </w:rPr>
      </w:pPr>
    </w:p>
    <w:p w14:paraId="6C1EC974">
      <w:pPr>
        <w:pStyle w:val="45"/>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
          <w:snapToGrid w:val="0"/>
          <w:color w:val="000000" w:themeColor="text1"/>
          <w:spacing w:val="0"/>
          <w:highlight w:val="none"/>
          <w14:textFill>
            <w14:solidFill>
              <w14:schemeClr w14:val="tx1"/>
            </w14:solidFill>
          </w14:textFill>
        </w:rPr>
      </w:pPr>
      <w:r>
        <w:rPr>
          <w:rFonts w:hint="eastAsia" w:ascii="宋体" w:hAnsi="宋体" w:eastAsia="宋体" w:cs="宋体"/>
          <w:bCs/>
          <w:snapToGrid w:val="0"/>
          <w:color w:val="000000" w:themeColor="text1"/>
          <w:spacing w:val="0"/>
          <w:sz w:val="32"/>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spacing w:val="0"/>
          <w:sz w:val="32"/>
          <w:highlight w:val="none"/>
          <w14:textFill>
            <w14:solidFill>
              <w14:schemeClr w14:val="tx1"/>
            </w14:solidFill>
          </w14:textFill>
        </w:rPr>
        <w:t>年</w:t>
      </w:r>
      <w:r>
        <w:rPr>
          <w:rFonts w:hint="eastAsia" w:ascii="宋体" w:hAnsi="宋体" w:eastAsia="宋体" w:cs="宋体"/>
          <w:bCs/>
          <w:snapToGrid w:val="0"/>
          <w:color w:val="000000" w:themeColor="text1"/>
          <w:spacing w:val="0"/>
          <w:sz w:val="32"/>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spacing w:val="0"/>
          <w:sz w:val="32"/>
          <w:highlight w:val="none"/>
          <w14:textFill>
            <w14:solidFill>
              <w14:schemeClr w14:val="tx1"/>
            </w14:solidFill>
          </w14:textFill>
        </w:rPr>
        <w:t>月</w:t>
      </w:r>
      <w:r>
        <w:rPr>
          <w:rFonts w:hint="eastAsia" w:ascii="宋体" w:hAnsi="宋体" w:eastAsia="宋体" w:cs="宋体"/>
          <w:bCs/>
          <w:snapToGrid w:val="0"/>
          <w:color w:val="000000" w:themeColor="text1"/>
          <w:spacing w:val="0"/>
          <w:sz w:val="32"/>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spacing w:val="0"/>
          <w:sz w:val="32"/>
          <w:highlight w:val="none"/>
          <w14:textFill>
            <w14:solidFill>
              <w14:schemeClr w14:val="tx1"/>
            </w14:solidFill>
          </w14:textFill>
        </w:rPr>
        <w:t>日</w:t>
      </w:r>
    </w:p>
    <w:p w14:paraId="22D60B74">
      <w:pPr>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p w14:paraId="39C38B38">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18" w:name="_Toc1740"/>
      <w:r>
        <w:rPr>
          <w:rFonts w:hint="eastAsia" w:ascii="宋体" w:hAnsi="宋体" w:eastAsia="宋体" w:cs="宋体"/>
          <w:b/>
          <w:bCs/>
          <w:color w:val="000000" w:themeColor="text1"/>
          <w:spacing w:val="0"/>
          <w:sz w:val="24"/>
          <w:szCs w:val="24"/>
          <w:highlight w:val="none"/>
          <w14:textFill>
            <w14:solidFill>
              <w14:schemeClr w14:val="tx1"/>
            </w14:solidFill>
          </w14:textFill>
        </w:rPr>
        <w:t>格式二 投标函</w:t>
      </w:r>
      <w:bookmarkEnd w:id="218"/>
    </w:p>
    <w:p w14:paraId="392E4C63">
      <w:pPr>
        <w:pStyle w:val="5"/>
        <w:keepNext w:val="0"/>
        <w:keepLines w:val="0"/>
        <w:pageBreakBefore w:val="0"/>
        <w:wordWrap w:val="0"/>
        <w:overflowPunct/>
        <w:topLinePunct w:val="0"/>
        <w:bidi w:val="0"/>
        <w:spacing w:line="261" w:lineRule="auto"/>
        <w:rPr>
          <w:rFonts w:hint="eastAsia" w:ascii="宋体" w:hAnsi="宋体" w:eastAsia="宋体" w:cs="宋体"/>
          <w:color w:val="000000" w:themeColor="text1"/>
          <w:spacing w:val="0"/>
          <w:highlight w:val="none"/>
          <w14:textFill>
            <w14:solidFill>
              <w14:schemeClr w14:val="tx1"/>
            </w14:solidFill>
          </w14:textFill>
        </w:rPr>
      </w:pPr>
    </w:p>
    <w:p w14:paraId="2E98BF1A">
      <w:pPr>
        <w:keepNext w:val="0"/>
        <w:keepLines w:val="0"/>
        <w:pageBreakBefore w:val="0"/>
        <w:wordWrap w:val="0"/>
        <w:overflowPunct/>
        <w:topLinePunct w:val="0"/>
        <w:bidi w:val="0"/>
        <w:spacing w:before="97" w:line="221" w:lineRule="auto"/>
        <w:ind w:left="3799"/>
        <w:outlineLvl w:val="9"/>
        <w:rPr>
          <w:rFonts w:hint="eastAsia" w:ascii="宋体" w:hAnsi="宋体" w:eastAsia="宋体" w:cs="宋体"/>
          <w:color w:val="000000" w:themeColor="text1"/>
          <w:spacing w:val="0"/>
          <w:sz w:val="30"/>
          <w:szCs w:val="30"/>
          <w:highlight w:val="none"/>
          <w14:textFill>
            <w14:solidFill>
              <w14:schemeClr w14:val="tx1"/>
            </w14:solidFill>
          </w14:textFill>
        </w:rPr>
      </w:pPr>
      <w:bookmarkStart w:id="219" w:name="bookmark148"/>
      <w:bookmarkEnd w:id="219"/>
      <w:bookmarkStart w:id="220" w:name="_Toc27397"/>
      <w:bookmarkStart w:id="221" w:name="_Toc317"/>
      <w:bookmarkStart w:id="222" w:name="_Toc297"/>
      <w:r>
        <w:rPr>
          <w:rFonts w:hint="eastAsia" w:ascii="宋体" w:hAnsi="宋体" w:eastAsia="宋体" w:cs="宋体"/>
          <w:b/>
          <w:bCs/>
          <w:color w:val="000000" w:themeColor="text1"/>
          <w:spacing w:val="0"/>
          <w:sz w:val="30"/>
          <w:szCs w:val="30"/>
          <w:highlight w:val="none"/>
          <w14:textFill>
            <w14:solidFill>
              <w14:schemeClr w14:val="tx1"/>
            </w14:solidFill>
          </w14:textFill>
        </w:rPr>
        <w:t>投</w:t>
      </w:r>
      <w:r>
        <w:rPr>
          <w:rFonts w:hint="eastAsia" w:ascii="宋体" w:hAnsi="宋体" w:eastAsia="宋体" w:cs="宋体"/>
          <w:color w:val="000000" w:themeColor="text1"/>
          <w:spacing w:val="0"/>
          <w:sz w:val="30"/>
          <w:szCs w:val="30"/>
          <w:highlight w:val="none"/>
          <w14:textFill>
            <w14:solidFill>
              <w14:schemeClr w14:val="tx1"/>
            </w14:solidFill>
          </w14:textFill>
        </w:rPr>
        <w:t xml:space="preserve">  </w:t>
      </w:r>
      <w:r>
        <w:rPr>
          <w:rFonts w:hint="eastAsia" w:ascii="宋体" w:hAnsi="宋体" w:eastAsia="宋体" w:cs="宋体"/>
          <w:b/>
          <w:bCs/>
          <w:color w:val="000000" w:themeColor="text1"/>
          <w:spacing w:val="0"/>
          <w:sz w:val="30"/>
          <w:szCs w:val="30"/>
          <w:highlight w:val="none"/>
          <w14:textFill>
            <w14:solidFill>
              <w14:schemeClr w14:val="tx1"/>
            </w14:solidFill>
          </w14:textFill>
        </w:rPr>
        <w:t>标</w:t>
      </w:r>
      <w:r>
        <w:rPr>
          <w:rFonts w:hint="eastAsia" w:ascii="宋体" w:hAnsi="宋体" w:eastAsia="宋体" w:cs="宋体"/>
          <w:color w:val="000000" w:themeColor="text1"/>
          <w:spacing w:val="0"/>
          <w:sz w:val="30"/>
          <w:szCs w:val="30"/>
          <w:highlight w:val="none"/>
          <w14:textFill>
            <w14:solidFill>
              <w14:schemeClr w14:val="tx1"/>
            </w14:solidFill>
          </w14:textFill>
        </w:rPr>
        <w:t xml:space="preserve">  </w:t>
      </w:r>
      <w:r>
        <w:rPr>
          <w:rFonts w:hint="eastAsia" w:ascii="宋体" w:hAnsi="宋体" w:eastAsia="宋体" w:cs="宋体"/>
          <w:b/>
          <w:bCs/>
          <w:color w:val="000000" w:themeColor="text1"/>
          <w:spacing w:val="0"/>
          <w:sz w:val="30"/>
          <w:szCs w:val="30"/>
          <w:highlight w:val="none"/>
          <w14:textFill>
            <w14:solidFill>
              <w14:schemeClr w14:val="tx1"/>
            </w14:solidFill>
          </w14:textFill>
        </w:rPr>
        <w:t>函</w:t>
      </w:r>
      <w:bookmarkEnd w:id="220"/>
      <w:bookmarkEnd w:id="221"/>
      <w:bookmarkEnd w:id="222"/>
    </w:p>
    <w:p w14:paraId="58F05F57">
      <w:pPr>
        <w:pStyle w:val="5"/>
        <w:keepNext w:val="0"/>
        <w:keepLines w:val="0"/>
        <w:pageBreakBefore w:val="0"/>
        <w:wordWrap w:val="0"/>
        <w:overflowPunct/>
        <w:topLinePunct w:val="0"/>
        <w:bidi w:val="0"/>
        <w:spacing w:line="249" w:lineRule="auto"/>
        <w:rPr>
          <w:rFonts w:hint="eastAsia" w:ascii="宋体" w:hAnsi="宋体" w:eastAsia="宋体" w:cs="宋体"/>
          <w:color w:val="000000" w:themeColor="text1"/>
          <w:spacing w:val="0"/>
          <w:highlight w:val="none"/>
          <w14:textFill>
            <w14:solidFill>
              <w14:schemeClr w14:val="tx1"/>
            </w14:solidFill>
          </w14:textFill>
        </w:rPr>
      </w:pPr>
    </w:p>
    <w:p w14:paraId="08B6DA1F">
      <w:pPr>
        <w:pStyle w:val="5"/>
        <w:keepNext w:val="0"/>
        <w:keepLines w:val="0"/>
        <w:pageBreakBefore w:val="0"/>
        <w:wordWrap w:val="0"/>
        <w:overflowPunct/>
        <w:topLinePunct w:val="0"/>
        <w:bidi w:val="0"/>
        <w:spacing w:line="250" w:lineRule="auto"/>
        <w:rPr>
          <w:rFonts w:hint="eastAsia" w:ascii="宋体" w:hAnsi="宋体" w:eastAsia="宋体" w:cs="宋体"/>
          <w:color w:val="000000" w:themeColor="text1"/>
          <w:spacing w:val="0"/>
          <w:highlight w:val="none"/>
          <w14:textFill>
            <w14:solidFill>
              <w14:schemeClr w14:val="tx1"/>
            </w14:solidFill>
          </w14:textFill>
        </w:rPr>
      </w:pPr>
    </w:p>
    <w:p w14:paraId="1E3DA538">
      <w:pPr>
        <w:pStyle w:val="5"/>
        <w:keepNext w:val="0"/>
        <w:keepLines w:val="0"/>
        <w:pageBreakBefore w:val="0"/>
        <w:wordWrap w:val="0"/>
        <w:overflowPunct/>
        <w:topLinePunct w:val="0"/>
        <w:bidi w:val="0"/>
        <w:spacing w:line="250" w:lineRule="auto"/>
        <w:rPr>
          <w:rFonts w:hint="eastAsia" w:ascii="宋体" w:hAnsi="宋体" w:eastAsia="宋体" w:cs="宋体"/>
          <w:color w:val="000000" w:themeColor="text1"/>
          <w:spacing w:val="0"/>
          <w:highlight w:val="none"/>
          <w14:textFill>
            <w14:solidFill>
              <w14:schemeClr w14:val="tx1"/>
            </w14:solidFill>
          </w14:textFill>
        </w:rPr>
      </w:pPr>
    </w:p>
    <w:p w14:paraId="448E62A4">
      <w:pPr>
        <w:keepNext w:val="0"/>
        <w:keepLines w:val="0"/>
        <w:pageBreakBefore w:val="0"/>
        <w:wordWrap w:val="0"/>
        <w:overflowPunct/>
        <w:topLinePunct w:val="0"/>
        <w:bidi w:val="0"/>
        <w:spacing w:before="78" w:line="221" w:lineRule="auto"/>
        <w:ind w:left="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致：</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（招标人名称）</w:t>
      </w:r>
    </w:p>
    <w:p w14:paraId="342E60C5">
      <w:pPr>
        <w:pStyle w:val="5"/>
        <w:keepNext w:val="0"/>
        <w:keepLines w:val="0"/>
        <w:pageBreakBefore w:val="0"/>
        <w:wordWrap w:val="0"/>
        <w:overflowPunct/>
        <w:topLinePunct w:val="0"/>
        <w:bidi w:val="0"/>
        <w:spacing w:before="156" w:line="328" w:lineRule="auto"/>
        <w:ind w:left="9" w:right="142" w:firstLine="589"/>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  我方考察现场并充分研究</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（项目名称）（以下简称“本项目 ”）施工招标文件所有内容后，结合自身资质、能力和特点，愿意接受招标文件的全部内容和条件，兹以人民币（大写）：</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 </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 的投标总价竞投本项目施工。</w:t>
      </w:r>
    </w:p>
    <w:p w14:paraId="19F6B28C">
      <w:pPr>
        <w:keepNext w:val="0"/>
        <w:keepLines w:val="0"/>
        <w:pageBreakBefore w:val="0"/>
        <w:wordWrap w:val="0"/>
        <w:overflowPunct/>
        <w:topLinePunct w:val="0"/>
        <w:bidi w:val="0"/>
        <w:spacing w:before="39" w:line="323" w:lineRule="auto"/>
        <w:ind w:right="142" w:firstLine="57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在我方的上述投标总价中，包括：</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安全生产措施费</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none"/>
          <w:lang w:eastAsia="zh-CN"/>
          <w14:textFill>
            <w14:solidFill>
              <w14:schemeClr w14:val="tx1"/>
            </w14:solidFill>
          </w14:textFill>
        </w:rPr>
        <w:t>；暂列金额</w:t>
      </w:r>
      <w:r>
        <w:rPr>
          <w:rFonts w:hint="eastAsia" w:ascii="宋体" w:hAnsi="宋体" w:eastAsia="宋体" w:cs="宋体"/>
          <w:color w:val="000000" w:themeColor="text1"/>
          <w:spacing w:val="0"/>
          <w:sz w:val="24"/>
          <w:szCs w:val="24"/>
          <w:highlight w:val="none"/>
          <w:u w:val="none"/>
          <w14:textFill>
            <w14:solidFill>
              <w14:schemeClr w14:val="tx1"/>
            </w14:solidFill>
          </w14:textFill>
        </w:rPr>
        <w:t>¥</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none"/>
          <w:lang w:eastAsia="zh-CN"/>
          <w14:textFill>
            <w14:solidFill>
              <w14:schemeClr w14:val="tx1"/>
            </w14:solidFill>
          </w14:textFill>
        </w:rPr>
        <w:t>；暂估价</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725455D2">
      <w:pPr>
        <w:keepNext w:val="0"/>
        <w:keepLines w:val="0"/>
        <w:pageBreakBefore w:val="0"/>
        <w:wordWrap w:val="0"/>
        <w:overflowPunct/>
        <w:topLinePunct w:val="0"/>
        <w:bidi w:val="0"/>
        <w:spacing w:before="38" w:line="280" w:lineRule="auto"/>
        <w:ind w:left="13" w:right="142" w:firstLine="56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  如果我方中标，我方保证按照合同约定的开工日期开始本项目的施工，</w:t>
      </w:r>
      <w:bookmarkStart w:id="223" w:name="OLE_LINK34"/>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bookmarkEnd w:id="223"/>
      <w:r>
        <w:rPr>
          <w:rFonts w:hint="eastAsia" w:ascii="宋体" w:hAnsi="宋体" w:eastAsia="宋体" w:cs="宋体"/>
          <w:color w:val="000000" w:themeColor="text1"/>
          <w:spacing w:val="0"/>
          <w:sz w:val="24"/>
          <w:szCs w:val="24"/>
          <w:highlight w:val="none"/>
          <w14:textFill>
            <w14:solidFill>
              <w14:schemeClr w14:val="tx1"/>
            </w14:solidFill>
          </w14:textFill>
        </w:rPr>
        <w:t>个日历天内竣工，并确保工程质量达到</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标准和维修其中的任何缺陷。</w:t>
      </w:r>
    </w:p>
    <w:p w14:paraId="10E8DA76">
      <w:pPr>
        <w:keepNext w:val="0"/>
        <w:keepLines w:val="0"/>
        <w:pageBreakBefore w:val="0"/>
        <w:wordWrap w:val="0"/>
        <w:overflowPunct/>
        <w:topLinePunct w:val="0"/>
        <w:bidi w:val="0"/>
        <w:spacing w:before="152" w:line="279" w:lineRule="auto"/>
        <w:ind w:left="11" w:right="142" w:firstLine="56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  本投标函在你方接收我方递交的投标文件之日起、到招标文件规定的投标有效期期满前对我方具有约束力。我方随时准备接受你方发出的中标通知书。</w:t>
      </w:r>
    </w:p>
    <w:p w14:paraId="36F81C92">
      <w:pPr>
        <w:keepNext w:val="0"/>
        <w:keepLines w:val="0"/>
        <w:pageBreakBefore w:val="0"/>
        <w:wordWrap w:val="0"/>
        <w:overflowPunct/>
        <w:topLinePunct w:val="0"/>
        <w:bidi w:val="0"/>
        <w:spacing w:before="156" w:line="279" w:lineRule="auto"/>
        <w:ind w:left="11" w:right="61" w:firstLine="56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4 ．我方在此声明，我方不存在本项目招标文件第一章第三节第 </w:t>
      </w:r>
      <w:r>
        <w:rPr>
          <w:rFonts w:hint="eastAsia" w:ascii="宋体" w:hAnsi="宋体" w:eastAsia="宋体" w:cs="宋体"/>
          <w:b/>
          <w:bCs/>
          <w:color w:val="000000" w:themeColor="text1"/>
          <w:spacing w:val="0"/>
          <w:sz w:val="24"/>
          <w:szCs w:val="24"/>
          <w:highlight w:val="none"/>
          <w14:textFill>
            <w14:solidFill>
              <w14:schemeClr w14:val="tx1"/>
            </w14:solidFill>
          </w14:textFill>
        </w:rPr>
        <w:t>2.4</w:t>
      </w:r>
      <w:r>
        <w:rPr>
          <w:rFonts w:hint="eastAsia" w:ascii="宋体" w:hAnsi="宋体" w:eastAsia="宋体" w:cs="宋体"/>
          <w:b/>
          <w:bCs/>
          <w:color w:val="000000" w:themeColor="text1"/>
          <w:spacing w:val="0"/>
          <w:w w:val="10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条“禁止投标条款 ”所列出的任何一种情形，并愿意承担因我方就此弄虚作假所引起的一切法律后果。</w:t>
      </w:r>
    </w:p>
    <w:p w14:paraId="0E71490A">
      <w:pPr>
        <w:keepNext w:val="0"/>
        <w:keepLines w:val="0"/>
        <w:pageBreakBefore w:val="0"/>
        <w:wordWrap w:val="0"/>
        <w:overflowPunct/>
        <w:topLinePunct w:val="0"/>
        <w:bidi w:val="0"/>
        <w:spacing w:before="153" w:line="280" w:lineRule="auto"/>
        <w:ind w:left="9" w:right="142" w:firstLine="57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 ．我方在此承诺，所递交投标文件的全部内容均为真实、有效、准确的，并愿意承担因我方就此弄虚作假所引起的一切法律后果，同时理解和同意有可能被要求提供更多的资料。</w:t>
      </w:r>
    </w:p>
    <w:p w14:paraId="0954415E">
      <w:pPr>
        <w:keepNext w:val="0"/>
        <w:keepLines w:val="0"/>
        <w:pageBreakBefore w:val="0"/>
        <w:wordWrap w:val="0"/>
        <w:overflowPunct/>
        <w:topLinePunct w:val="0"/>
        <w:bidi w:val="0"/>
        <w:spacing w:before="153" w:line="326" w:lineRule="auto"/>
        <w:ind w:left="13" w:firstLine="5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  我方理解你方不一定要接纳收到的最低投标总价或任何投标总价的投标人中标， 也不要求你方解释我方是否中标的原因。</w:t>
      </w:r>
    </w:p>
    <w:p w14:paraId="665C13C8">
      <w:pPr>
        <w:pStyle w:val="5"/>
        <w:keepNext w:val="0"/>
        <w:keepLines w:val="0"/>
        <w:pageBreakBefore w:val="0"/>
        <w:wordWrap w:val="0"/>
        <w:overflowPunct/>
        <w:topLinePunct w:val="0"/>
        <w:bidi w:val="0"/>
        <w:spacing w:line="276" w:lineRule="auto"/>
        <w:rPr>
          <w:rFonts w:hint="eastAsia" w:ascii="宋体" w:hAnsi="宋体" w:eastAsia="宋体" w:cs="宋体"/>
          <w:color w:val="000000" w:themeColor="text1"/>
          <w:spacing w:val="0"/>
          <w:highlight w:val="none"/>
          <w14:textFill>
            <w14:solidFill>
              <w14:schemeClr w14:val="tx1"/>
            </w14:solidFill>
          </w14:textFill>
        </w:rPr>
      </w:pPr>
    </w:p>
    <w:p w14:paraId="6A293A0C">
      <w:pPr>
        <w:pStyle w:val="5"/>
        <w:keepNext w:val="0"/>
        <w:keepLines w:val="0"/>
        <w:pageBreakBefore w:val="0"/>
        <w:wordWrap w:val="0"/>
        <w:overflowPunct/>
        <w:topLinePunct w:val="0"/>
        <w:bidi w:val="0"/>
        <w:spacing w:line="277" w:lineRule="auto"/>
        <w:rPr>
          <w:rFonts w:hint="eastAsia" w:ascii="宋体" w:hAnsi="宋体" w:eastAsia="宋体" w:cs="宋体"/>
          <w:color w:val="000000" w:themeColor="text1"/>
          <w:spacing w:val="0"/>
          <w:highlight w:val="none"/>
          <w14:textFill>
            <w14:solidFill>
              <w14:schemeClr w14:val="tx1"/>
            </w14:solidFill>
          </w14:textFill>
        </w:rPr>
      </w:pPr>
    </w:p>
    <w:p w14:paraId="1338C97A">
      <w:pPr>
        <w:pStyle w:val="5"/>
        <w:keepNext w:val="0"/>
        <w:keepLines w:val="0"/>
        <w:pageBreakBefore w:val="0"/>
        <w:wordWrap w:val="0"/>
        <w:overflowPunct/>
        <w:topLinePunct w:val="0"/>
        <w:bidi w:val="0"/>
        <w:spacing w:line="277" w:lineRule="auto"/>
        <w:rPr>
          <w:rFonts w:hint="eastAsia" w:ascii="宋体" w:hAnsi="宋体" w:eastAsia="宋体" w:cs="宋体"/>
          <w:color w:val="000000" w:themeColor="text1"/>
          <w:spacing w:val="0"/>
          <w:highlight w:val="none"/>
          <w14:textFill>
            <w14:solidFill>
              <w14:schemeClr w14:val="tx1"/>
            </w14:solidFill>
          </w14:textFill>
        </w:rPr>
      </w:pPr>
    </w:p>
    <w:p w14:paraId="6D644921">
      <w:pPr>
        <w:keepNext w:val="0"/>
        <w:keepLines w:val="0"/>
        <w:pageBreakBefore w:val="0"/>
        <w:wordWrap w:val="0"/>
        <w:overflowPunct/>
        <w:topLinePunct w:val="0"/>
        <w:bidi w:val="0"/>
        <w:spacing w:before="79" w:line="219" w:lineRule="auto"/>
        <w:ind w:firstLine="5760" w:firstLineChars="240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投标人：</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（盖单位章）</w:t>
      </w:r>
    </w:p>
    <w:p w14:paraId="53B9F8FC">
      <w:pPr>
        <w:pStyle w:val="5"/>
        <w:keepNext w:val="0"/>
        <w:keepLines w:val="0"/>
        <w:pageBreakBefore w:val="0"/>
        <w:wordWrap w:val="0"/>
        <w:overflowPunct/>
        <w:topLinePunct w:val="0"/>
        <w:bidi w:val="0"/>
        <w:spacing w:line="256" w:lineRule="auto"/>
        <w:jc w:val="right"/>
        <w:rPr>
          <w:rFonts w:hint="eastAsia" w:ascii="宋体" w:hAnsi="宋体" w:eastAsia="宋体" w:cs="宋体"/>
          <w:color w:val="000000" w:themeColor="text1"/>
          <w:spacing w:val="0"/>
          <w:highlight w:val="none"/>
          <w14:textFill>
            <w14:solidFill>
              <w14:schemeClr w14:val="tx1"/>
            </w14:solidFill>
          </w14:textFill>
        </w:rPr>
      </w:pPr>
    </w:p>
    <w:p w14:paraId="1FE5B2A2">
      <w:pPr>
        <w:pStyle w:val="5"/>
        <w:keepNext w:val="0"/>
        <w:keepLines w:val="0"/>
        <w:pageBreakBefore w:val="0"/>
        <w:wordWrap w:val="0"/>
        <w:overflowPunct/>
        <w:topLinePunct w:val="0"/>
        <w:bidi w:val="0"/>
        <w:spacing w:line="256" w:lineRule="auto"/>
        <w:jc w:val="right"/>
        <w:rPr>
          <w:rFonts w:hint="eastAsia" w:ascii="宋体" w:hAnsi="宋体" w:eastAsia="宋体" w:cs="宋体"/>
          <w:color w:val="000000" w:themeColor="text1"/>
          <w:spacing w:val="0"/>
          <w:highlight w:val="none"/>
          <w14:textFill>
            <w14:solidFill>
              <w14:schemeClr w14:val="tx1"/>
            </w14:solidFill>
          </w14:textFill>
        </w:rPr>
      </w:pPr>
    </w:p>
    <w:p w14:paraId="70C6C00B">
      <w:pPr>
        <w:keepNext w:val="0"/>
        <w:keepLines w:val="0"/>
        <w:pageBreakBefore w:val="0"/>
        <w:wordWrap w:val="0"/>
        <w:overflowPunct/>
        <w:topLinePunct w:val="0"/>
        <w:bidi w:val="0"/>
        <w:spacing w:before="78" w:line="219" w:lineRule="auto"/>
        <w:ind w:left="3922"/>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法定代表人或其委托代理人：</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（签字或盖章）</w:t>
      </w:r>
    </w:p>
    <w:p w14:paraId="37331156">
      <w:pPr>
        <w:pStyle w:val="5"/>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3063FEBF">
      <w:pPr>
        <w:pStyle w:val="5"/>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27512AB8">
      <w:pPr>
        <w:keepNext w:val="0"/>
        <w:keepLines w:val="0"/>
        <w:pageBreakBefore w:val="0"/>
        <w:wordWrap w:val="0"/>
        <w:overflowPunct/>
        <w:topLinePunct w:val="0"/>
        <w:bidi w:val="0"/>
        <w:spacing w:before="79" w:line="220" w:lineRule="auto"/>
        <w:ind w:left="6970"/>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年</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月</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日</w:t>
      </w:r>
    </w:p>
    <w:p w14:paraId="02A06E5B">
      <w:pPr>
        <w:keepNext w:val="0"/>
        <w:keepLines w:val="0"/>
        <w:pageBreakBefore w:val="0"/>
        <w:wordWrap w:val="0"/>
        <w:overflowPunct/>
        <w:topLinePunct w:val="0"/>
        <w:bidi w:val="0"/>
        <w:spacing w:line="220" w:lineRule="auto"/>
        <w:rPr>
          <w:rFonts w:hint="eastAsia" w:ascii="宋体" w:hAnsi="宋体" w:eastAsia="宋体" w:cs="宋体"/>
          <w:color w:val="000000" w:themeColor="text1"/>
          <w:spacing w:val="0"/>
          <w:sz w:val="24"/>
          <w:szCs w:val="24"/>
          <w:highlight w:val="none"/>
          <w14:textFill>
            <w14:solidFill>
              <w14:schemeClr w14:val="tx1"/>
            </w14:solidFill>
          </w14:textFill>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05EF889">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24" w:name="_Toc8087"/>
      <w:r>
        <w:rPr>
          <w:rFonts w:hint="eastAsia" w:ascii="宋体" w:hAnsi="宋体" w:eastAsia="宋体" w:cs="宋体"/>
          <w:b/>
          <w:bCs/>
          <w:color w:val="000000" w:themeColor="text1"/>
          <w:spacing w:val="0"/>
          <w:sz w:val="24"/>
          <w:szCs w:val="24"/>
          <w:highlight w:val="none"/>
          <w14:textFill>
            <w14:solidFill>
              <w14:schemeClr w14:val="tx1"/>
            </w14:solidFill>
          </w14:textFill>
        </w:rPr>
        <w:t>格式三 各项承诺一览表</w:t>
      </w:r>
      <w:bookmarkEnd w:id="224"/>
    </w:p>
    <w:p w14:paraId="51E0204F">
      <w:pPr>
        <w:pStyle w:val="5"/>
        <w:keepNext w:val="0"/>
        <w:keepLines w:val="0"/>
        <w:pageBreakBefore w:val="0"/>
        <w:wordWrap w:val="0"/>
        <w:overflowPunct/>
        <w:topLinePunct w:val="0"/>
        <w:bidi w:val="0"/>
        <w:spacing w:line="254" w:lineRule="auto"/>
        <w:rPr>
          <w:rFonts w:hint="eastAsia" w:ascii="宋体" w:hAnsi="宋体" w:eastAsia="宋体" w:cs="宋体"/>
          <w:color w:val="000000" w:themeColor="text1"/>
          <w:spacing w:val="0"/>
          <w:highlight w:val="none"/>
          <w14:textFill>
            <w14:solidFill>
              <w14:schemeClr w14:val="tx1"/>
            </w14:solidFill>
          </w14:textFill>
        </w:rPr>
      </w:pPr>
    </w:p>
    <w:p w14:paraId="34B1A1A4">
      <w:pPr>
        <w:keepNext w:val="0"/>
        <w:keepLines w:val="0"/>
        <w:pageBreakBefore w:val="0"/>
        <w:wordWrap w:val="0"/>
        <w:overflowPunct/>
        <w:topLinePunct w:val="0"/>
        <w:bidi w:val="0"/>
        <w:spacing w:before="98" w:line="220" w:lineRule="auto"/>
        <w:ind w:left="3581"/>
        <w:outlineLvl w:val="9"/>
        <w:rPr>
          <w:rFonts w:hint="eastAsia" w:ascii="宋体" w:hAnsi="宋体" w:eastAsia="宋体" w:cs="宋体"/>
          <w:color w:val="000000" w:themeColor="text1"/>
          <w:spacing w:val="0"/>
          <w:sz w:val="30"/>
          <w:szCs w:val="30"/>
          <w:highlight w:val="none"/>
          <w14:textFill>
            <w14:solidFill>
              <w14:schemeClr w14:val="tx1"/>
            </w14:solidFill>
          </w14:textFill>
        </w:rPr>
      </w:pPr>
      <w:bookmarkStart w:id="225" w:name="bookmark149"/>
      <w:bookmarkEnd w:id="225"/>
      <w:bookmarkStart w:id="226" w:name="_Toc4767"/>
      <w:bookmarkStart w:id="227" w:name="_Toc2936"/>
      <w:bookmarkStart w:id="228" w:name="_Toc10326"/>
      <w:r>
        <w:rPr>
          <w:rFonts w:hint="eastAsia" w:ascii="宋体" w:hAnsi="宋体" w:eastAsia="宋体" w:cs="宋体"/>
          <w:b/>
          <w:bCs/>
          <w:color w:val="000000" w:themeColor="text1"/>
          <w:spacing w:val="0"/>
          <w:sz w:val="30"/>
          <w:szCs w:val="30"/>
          <w:highlight w:val="none"/>
          <w14:textFill>
            <w14:solidFill>
              <w14:schemeClr w14:val="tx1"/>
            </w14:solidFill>
          </w14:textFill>
        </w:rPr>
        <w:t>各项承诺一览表</w:t>
      </w:r>
      <w:bookmarkEnd w:id="226"/>
      <w:bookmarkEnd w:id="227"/>
      <w:bookmarkEnd w:id="228"/>
    </w:p>
    <w:p w14:paraId="5C63A27F">
      <w:pPr>
        <w:keepNext w:val="0"/>
        <w:keepLines w:val="0"/>
        <w:pageBreakBefore w:val="0"/>
        <w:wordWrap w:val="0"/>
        <w:overflowPunct/>
        <w:topLinePunct w:val="0"/>
        <w:bidi w:val="0"/>
        <w:spacing w:before="6"/>
        <w:rPr>
          <w:rFonts w:hint="eastAsia" w:ascii="宋体" w:hAnsi="宋体" w:eastAsia="宋体" w:cs="宋体"/>
          <w:color w:val="000000" w:themeColor="text1"/>
          <w:spacing w:val="0"/>
          <w:highlight w:val="none"/>
          <w14:textFill>
            <w14:solidFill>
              <w14:schemeClr w14:val="tx1"/>
            </w14:solidFill>
          </w14:textFill>
        </w:rPr>
      </w:pPr>
    </w:p>
    <w:tbl>
      <w:tblPr>
        <w:tblStyle w:val="14"/>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5204A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54B582C">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126"/>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序号</w:t>
            </w:r>
          </w:p>
        </w:tc>
        <w:tc>
          <w:tcPr>
            <w:tcW w:w="1675" w:type="dxa"/>
            <w:vAlign w:val="top"/>
          </w:tcPr>
          <w:p w14:paraId="1CCE799E">
            <w:pPr>
              <w:keepNext w:val="0"/>
              <w:keepLines w:val="0"/>
              <w:pageBreakBefore w:val="0"/>
              <w:widowControl/>
              <w:kinsoku w:val="0"/>
              <w:wordWrap w:val="0"/>
              <w:overflowPunct/>
              <w:topLinePunct w:val="0"/>
              <w:autoSpaceDE w:val="0"/>
              <w:autoSpaceDN w:val="0"/>
              <w:bidi w:val="0"/>
              <w:adjustRightInd w:val="0"/>
              <w:snapToGrid w:val="0"/>
              <w:spacing w:before="208" w:line="288" w:lineRule="auto"/>
              <w:ind w:left="310"/>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承诺事项</w:t>
            </w:r>
          </w:p>
        </w:tc>
        <w:tc>
          <w:tcPr>
            <w:tcW w:w="3107" w:type="dxa"/>
            <w:vAlign w:val="top"/>
          </w:tcPr>
          <w:p w14:paraId="4EBB8A6D">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987"/>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承诺内容</w:t>
            </w:r>
          </w:p>
        </w:tc>
        <w:tc>
          <w:tcPr>
            <w:tcW w:w="4272" w:type="dxa"/>
            <w:vAlign w:val="top"/>
          </w:tcPr>
          <w:p w14:paraId="31A27193">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1537"/>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违约承诺</w:t>
            </w:r>
          </w:p>
        </w:tc>
      </w:tr>
      <w:tr w14:paraId="2A006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48261D65">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1</w:t>
            </w:r>
          </w:p>
        </w:tc>
        <w:tc>
          <w:tcPr>
            <w:tcW w:w="1675" w:type="dxa"/>
            <w:vAlign w:val="center"/>
          </w:tcPr>
          <w:p w14:paraId="01CAE980">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自愿接受招标文件条款的承诺</w:t>
            </w:r>
          </w:p>
        </w:tc>
        <w:tc>
          <w:tcPr>
            <w:tcW w:w="3107" w:type="dxa"/>
            <w:vAlign w:val="top"/>
          </w:tcPr>
          <w:p w14:paraId="2CDC7B50">
            <w:pPr>
              <w:pStyle w:val="27"/>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41955F4E">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1"/>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我方自愿接受招标文件的所有条款，所递交的投标文件已 经充分响应招标文件的实质性要求。</w:t>
            </w:r>
          </w:p>
        </w:tc>
        <w:tc>
          <w:tcPr>
            <w:tcW w:w="4272" w:type="dxa"/>
            <w:vAlign w:val="top"/>
          </w:tcPr>
          <w:p w14:paraId="31B3DB23">
            <w:pPr>
              <w:keepNext w:val="0"/>
              <w:keepLines w:val="0"/>
              <w:pageBreakBefore w:val="0"/>
              <w:widowControl/>
              <w:kinsoku w:val="0"/>
              <w:wordWrap w:val="0"/>
              <w:overflowPunct/>
              <w:topLinePunct w:val="0"/>
              <w:autoSpaceDE w:val="0"/>
              <w:autoSpaceDN w:val="0"/>
              <w:bidi w:val="0"/>
              <w:adjustRightInd w:val="0"/>
              <w:snapToGrid w:val="0"/>
              <w:spacing w:before="122" w:line="288" w:lineRule="auto"/>
              <w:ind w:left="14" w:right="4" w:firstLine="420"/>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如果我方的投标文件未响应、违反、偏 离招标文件的实质性要求，我方接受招标人或其授权的招标代理机构或其组建的评标委员会依据招标文件作出的相应处理，包括否决投标。</w:t>
            </w:r>
          </w:p>
        </w:tc>
      </w:tr>
      <w:tr w14:paraId="10B0D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2F577063">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2</w:t>
            </w:r>
          </w:p>
        </w:tc>
        <w:tc>
          <w:tcPr>
            <w:tcW w:w="1675" w:type="dxa"/>
            <w:vAlign w:val="center"/>
          </w:tcPr>
          <w:p w14:paraId="796EA612">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无禁止投标情形的承诺</w:t>
            </w:r>
          </w:p>
        </w:tc>
        <w:tc>
          <w:tcPr>
            <w:tcW w:w="3107" w:type="dxa"/>
            <w:vAlign w:val="top"/>
          </w:tcPr>
          <w:p w14:paraId="6DBD4A30">
            <w:pPr>
              <w:pStyle w:val="27"/>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168E3A76">
            <w:pPr>
              <w:pStyle w:val="27"/>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37C38C6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0"/>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 xml:space="preserve">我方不存在招标文件第一 章第三节第 </w:t>
            </w:r>
            <w:r>
              <w:rPr>
                <w:rFonts w:hint="eastAsia" w:ascii="宋体" w:hAnsi="宋体" w:eastAsia="宋体" w:cs="宋体"/>
                <w:b/>
                <w:bCs/>
                <w:color w:val="000000" w:themeColor="text1"/>
                <w:spacing w:val="0"/>
                <w:sz w:val="21"/>
                <w:szCs w:val="21"/>
                <w:highlight w:val="none"/>
                <w14:textFill>
                  <w14:solidFill>
                    <w14:schemeClr w14:val="tx1"/>
                  </w14:solidFill>
                </w14:textFill>
              </w:rPr>
              <w:t xml:space="preserve">2.4 </w:t>
            </w:r>
            <w:r>
              <w:rPr>
                <w:rFonts w:hint="eastAsia" w:ascii="宋体" w:hAnsi="宋体" w:eastAsia="宋体" w:cs="宋体"/>
                <w:color w:val="000000" w:themeColor="text1"/>
                <w:spacing w:val="0"/>
                <w:sz w:val="21"/>
                <w:szCs w:val="21"/>
                <w:highlight w:val="none"/>
                <w14:textFill>
                  <w14:solidFill>
                    <w14:schemeClr w14:val="tx1"/>
                  </w14:solidFill>
                </w14:textFill>
              </w:rPr>
              <w:t>条“禁止投标条 款 ”规定的任何一种情形。</w:t>
            </w:r>
          </w:p>
        </w:tc>
        <w:tc>
          <w:tcPr>
            <w:tcW w:w="4272" w:type="dxa"/>
            <w:vAlign w:val="top"/>
          </w:tcPr>
          <w:p w14:paraId="5C557624">
            <w:pPr>
              <w:keepNext w:val="0"/>
              <w:keepLines w:val="0"/>
              <w:pageBreakBefore w:val="0"/>
              <w:widowControl/>
              <w:kinsoku w:val="0"/>
              <w:wordWrap w:val="0"/>
              <w:overflowPunct/>
              <w:topLinePunct w:val="0"/>
              <w:autoSpaceDE w:val="0"/>
              <w:autoSpaceDN w:val="0"/>
              <w:bidi w:val="0"/>
              <w:adjustRightInd w:val="0"/>
              <w:snapToGrid w:val="0"/>
              <w:spacing w:before="122" w:line="288" w:lineRule="auto"/>
              <w:ind w:left="9" w:firstLine="421"/>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 xml:space="preserve">如果我方有招标文件第一章第三节第 </w:t>
            </w:r>
            <w:r>
              <w:rPr>
                <w:rFonts w:hint="eastAsia" w:ascii="宋体" w:hAnsi="宋体" w:eastAsia="宋体" w:cs="宋体"/>
                <w:b/>
                <w:bCs/>
                <w:color w:val="000000" w:themeColor="text1"/>
                <w:spacing w:val="0"/>
                <w:sz w:val="21"/>
                <w:szCs w:val="21"/>
                <w:highlight w:val="none"/>
                <w14:textFill>
                  <w14:solidFill>
                    <w14:schemeClr w14:val="tx1"/>
                  </w14:solidFill>
                </w14:textFill>
              </w:rPr>
              <w:t xml:space="preserve">2.  4 </w:t>
            </w:r>
            <w:r>
              <w:rPr>
                <w:rFonts w:hint="eastAsia" w:ascii="宋体" w:hAnsi="宋体" w:eastAsia="宋体" w:cs="宋体"/>
                <w:color w:val="000000" w:themeColor="text1"/>
                <w:spacing w:val="0"/>
                <w:sz w:val="21"/>
                <w:szCs w:val="21"/>
                <w:highlight w:val="none"/>
                <w14:textFill>
                  <w14:solidFill>
                    <w14:schemeClr w14:val="tx1"/>
                  </w14:solidFill>
                </w14:textFill>
              </w:rPr>
              <w:t>条“禁止投标条款 ”规定的任何一种情形，我方接受招标人或其授权的招标代理机构或 其组建的评标委员会依据招标文件作出的相应处理以及有关监督部门作出的行政处罚，并承担由此引起的一切法律后果。</w:t>
            </w:r>
          </w:p>
        </w:tc>
      </w:tr>
      <w:tr w14:paraId="6BAE3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6D41129A">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0" w:right="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3</w:t>
            </w:r>
          </w:p>
        </w:tc>
        <w:tc>
          <w:tcPr>
            <w:tcW w:w="1675" w:type="dxa"/>
            <w:vAlign w:val="center"/>
          </w:tcPr>
          <w:p w14:paraId="7EDF57FD">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自觉抵制围标</w:t>
            </w:r>
          </w:p>
          <w:p w14:paraId="7350A53C">
            <w:pPr>
              <w:keepNext w:val="0"/>
              <w:keepLines w:val="0"/>
              <w:pageBreakBefore w:val="0"/>
              <w:widowControl/>
              <w:kinsoku w:val="0"/>
              <w:wordWrap w:val="0"/>
              <w:overflowPunct/>
              <w:topLinePunct w:val="0"/>
              <w:autoSpaceDE w:val="0"/>
              <w:autoSpaceDN w:val="0"/>
              <w:bidi w:val="0"/>
              <w:adjustRightInd w:val="0"/>
              <w:snapToGrid w:val="0"/>
              <w:spacing w:before="131"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串标和弄虚</w:t>
            </w:r>
          </w:p>
          <w:p w14:paraId="18E84040">
            <w:pPr>
              <w:keepNext w:val="0"/>
              <w:keepLines w:val="0"/>
              <w:pageBreakBefore w:val="0"/>
              <w:widowControl/>
              <w:kinsoku w:val="0"/>
              <w:wordWrap w:val="0"/>
              <w:overflowPunct/>
              <w:topLinePunct w:val="0"/>
              <w:autoSpaceDE w:val="0"/>
              <w:autoSpaceDN w:val="0"/>
              <w:bidi w:val="0"/>
              <w:adjustRightInd w:val="0"/>
              <w:snapToGrid w:val="0"/>
              <w:spacing w:before="133"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作假行为的承诺</w:t>
            </w:r>
          </w:p>
        </w:tc>
        <w:tc>
          <w:tcPr>
            <w:tcW w:w="3107" w:type="dxa"/>
            <w:vAlign w:val="top"/>
          </w:tcPr>
          <w:p w14:paraId="62CF0363">
            <w:pPr>
              <w:pStyle w:val="27"/>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3960F528">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1" w:right="2" w:firstLine="420"/>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我方合法正当、诚实守信地参与投标，不组织、不参加围标串标违法行为，不通过弄虚作假 行为骗取中标。</w:t>
            </w:r>
          </w:p>
        </w:tc>
        <w:tc>
          <w:tcPr>
            <w:tcW w:w="4272" w:type="dxa"/>
            <w:vAlign w:val="top"/>
          </w:tcPr>
          <w:p w14:paraId="0A090EF8">
            <w:pPr>
              <w:keepNext w:val="0"/>
              <w:keepLines w:val="0"/>
              <w:pageBreakBefore w:val="0"/>
              <w:widowControl/>
              <w:kinsoku w:val="0"/>
              <w:wordWrap w:val="0"/>
              <w:overflowPunct/>
              <w:topLinePunct w:val="0"/>
              <w:autoSpaceDE w:val="0"/>
              <w:autoSpaceDN w:val="0"/>
              <w:bidi w:val="0"/>
              <w:adjustRightInd w:val="0"/>
              <w:snapToGrid w:val="0"/>
              <w:spacing w:before="129" w:line="288" w:lineRule="auto"/>
              <w:ind w:left="13" w:right="4" w:firstLine="422"/>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6CBF9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39F3D356">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4</w:t>
            </w:r>
          </w:p>
        </w:tc>
        <w:tc>
          <w:tcPr>
            <w:tcW w:w="1675" w:type="dxa"/>
            <w:vAlign w:val="center"/>
          </w:tcPr>
          <w:p w14:paraId="5F8AABE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项目经理任职承诺</w:t>
            </w:r>
          </w:p>
        </w:tc>
        <w:tc>
          <w:tcPr>
            <w:tcW w:w="3107" w:type="dxa"/>
            <w:vAlign w:val="top"/>
          </w:tcPr>
          <w:p w14:paraId="3D586645">
            <w:pPr>
              <w:pStyle w:val="27"/>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25D7FCEF">
            <w:pPr>
              <w:pStyle w:val="27"/>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1EFE29D7">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9" w:right="2" w:firstLine="422"/>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我方拟派项目经理现阶段没有担任任何在施（包括已中标 未开工、已开工未竣工）建设工程项目的项目经理。</w:t>
            </w:r>
          </w:p>
        </w:tc>
        <w:tc>
          <w:tcPr>
            <w:tcW w:w="4272" w:type="dxa"/>
            <w:vAlign w:val="top"/>
          </w:tcPr>
          <w:p w14:paraId="4A8515D9">
            <w:pPr>
              <w:keepNext w:val="0"/>
              <w:keepLines w:val="0"/>
              <w:pageBreakBefore w:val="0"/>
              <w:widowControl/>
              <w:kinsoku w:val="0"/>
              <w:wordWrap w:val="0"/>
              <w:overflowPunct/>
              <w:topLinePunct w:val="0"/>
              <w:autoSpaceDE w:val="0"/>
              <w:autoSpaceDN w:val="0"/>
              <w:bidi w:val="0"/>
              <w:adjustRightInd w:val="0"/>
              <w:snapToGrid w:val="0"/>
              <w:spacing w:before="128" w:line="288" w:lineRule="auto"/>
              <w:ind w:left="11" w:firstLine="417"/>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如果我方拟派项目经理在本项目招标投 标活动期间有担任其他任何在施（包括已中标未开工、已开工未竣工）建设工程项目的项目经理，我方接受招标人或其授权的招标代理机构或其组建的评标委员会依据招标文件作出的相应处理以及有关监督部门作出的行政处罚，并承担由此引起的一切法律后果。</w:t>
            </w:r>
          </w:p>
        </w:tc>
      </w:tr>
      <w:tr w14:paraId="5F5F5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1B9DDA4A">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5</w:t>
            </w:r>
          </w:p>
        </w:tc>
        <w:tc>
          <w:tcPr>
            <w:tcW w:w="1675" w:type="dxa"/>
            <w:vAlign w:val="center"/>
          </w:tcPr>
          <w:p w14:paraId="7009D3C6">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投标文件</w:t>
            </w:r>
          </w:p>
          <w:p w14:paraId="7FA4425B">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真实性承诺</w:t>
            </w:r>
          </w:p>
        </w:tc>
        <w:tc>
          <w:tcPr>
            <w:tcW w:w="3107" w:type="dxa"/>
            <w:vAlign w:val="top"/>
          </w:tcPr>
          <w:p w14:paraId="24313CA0">
            <w:pPr>
              <w:pStyle w:val="27"/>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080F2869">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2" w:firstLine="409"/>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我方所递交投标文件的全部内容均为真实、有效、准确的。</w:t>
            </w:r>
          </w:p>
        </w:tc>
        <w:tc>
          <w:tcPr>
            <w:tcW w:w="4272" w:type="dxa"/>
            <w:vAlign w:val="top"/>
          </w:tcPr>
          <w:p w14:paraId="117F7D2E">
            <w:pPr>
              <w:keepNext w:val="0"/>
              <w:keepLines w:val="0"/>
              <w:pageBreakBefore w:val="0"/>
              <w:widowControl/>
              <w:kinsoku w:val="0"/>
              <w:wordWrap w:val="0"/>
              <w:overflowPunct/>
              <w:topLinePunct w:val="0"/>
              <w:autoSpaceDE w:val="0"/>
              <w:autoSpaceDN w:val="0"/>
              <w:bidi w:val="0"/>
              <w:adjustRightInd w:val="0"/>
              <w:snapToGrid w:val="0"/>
              <w:spacing w:before="127" w:line="288" w:lineRule="auto"/>
              <w:ind w:left="11" w:firstLine="417"/>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如果我方递交的投标文件任何内容不真实或无效或不准确，我方接受招标人或其授权的招标代理机构或其组建的评标委员会依据招标文件作出的相应处理，包括否决投标。</w:t>
            </w:r>
          </w:p>
        </w:tc>
      </w:tr>
      <w:tr w14:paraId="02577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center"/>
          </w:tcPr>
          <w:p w14:paraId="6B3A9885">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6</w:t>
            </w:r>
            <w:r>
              <w:rPr>
                <w:rFonts w:hint="eastAsia" w:ascii="宋体" w:hAnsi="宋体" w:eastAsia="宋体" w:cs="宋体"/>
                <w:color w:val="000000" w:themeColor="text1"/>
                <w:spacing w:val="0"/>
                <w:sz w:val="21"/>
                <w:szCs w:val="21"/>
                <w:highlight w:val="none"/>
                <w14:textFill>
                  <w14:solidFill>
                    <w14:schemeClr w14:val="tx1"/>
                  </w14:solidFill>
                </w14:textFill>
              </w:rPr>
              <w:drawing>
                <wp:anchor distT="0" distB="0" distL="114300" distR="114300" simplePos="0" relativeHeight="251664384"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3"/>
                          <a:stretch>
                            <a:fillRect/>
                          </a:stretch>
                        </pic:blipFill>
                        <pic:spPr>
                          <a:xfrm>
                            <a:off x="0" y="0"/>
                            <a:ext cx="6350" cy="241300"/>
                          </a:xfrm>
                          <a:prstGeom prst="rect">
                            <a:avLst/>
                          </a:prstGeom>
                          <a:noFill/>
                          <a:ln>
                            <a:noFill/>
                          </a:ln>
                        </pic:spPr>
                      </pic:pic>
                    </a:graphicData>
                  </a:graphic>
                </wp:anchor>
              </w:drawing>
            </w:r>
          </w:p>
        </w:tc>
        <w:tc>
          <w:tcPr>
            <w:tcW w:w="1675" w:type="dxa"/>
            <w:vAlign w:val="center"/>
          </w:tcPr>
          <w:p w14:paraId="4D2FADD0">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投标文件</w:t>
            </w:r>
          </w:p>
          <w:p w14:paraId="0E95F9BE">
            <w:pPr>
              <w:keepNext w:val="0"/>
              <w:keepLines w:val="0"/>
              <w:pageBreakBefore w:val="0"/>
              <w:widowControl/>
              <w:kinsoku w:val="0"/>
              <w:wordWrap w:val="0"/>
              <w:overflowPunct/>
              <w:topLinePunct w:val="0"/>
              <w:autoSpaceDE w:val="0"/>
              <w:autoSpaceDN w:val="0"/>
              <w:bidi w:val="0"/>
              <w:adjustRightInd w:val="0"/>
              <w:snapToGrid w:val="0"/>
              <w:spacing w:before="132"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信息公开承诺</w:t>
            </w:r>
          </w:p>
        </w:tc>
        <w:tc>
          <w:tcPr>
            <w:tcW w:w="3107" w:type="dxa"/>
            <w:vAlign w:val="center"/>
          </w:tcPr>
          <w:p w14:paraId="0DF7EDDD">
            <w:pPr>
              <w:keepNext w:val="0"/>
              <w:keepLines w:val="0"/>
              <w:pageBreakBefore w:val="0"/>
              <w:widowControl/>
              <w:kinsoku w:val="0"/>
              <w:wordWrap w:val="0"/>
              <w:overflowPunct/>
              <w:topLinePunct w:val="0"/>
              <w:autoSpaceDE w:val="0"/>
              <w:autoSpaceDN w:val="0"/>
              <w:bidi w:val="0"/>
              <w:adjustRightInd w:val="0"/>
              <w:snapToGrid w:val="0"/>
              <w:spacing w:before="130" w:line="288" w:lineRule="auto"/>
              <w:ind w:left="10" w:right="2" w:firstLine="420"/>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我方提供完整的文件。如果我方成为本项目中标候选人，我方同意并授权招标人在评标结果公示期内公开我方商务标书的全部内容。</w:t>
            </w:r>
          </w:p>
        </w:tc>
        <w:tc>
          <w:tcPr>
            <w:tcW w:w="4272" w:type="dxa"/>
            <w:vAlign w:val="top"/>
            <mc:AlternateContent>
              <mc:Choice Requires="wpsCustomData">
                <wpsCustomData:diagonals>
                  <wpsCustomData:diagonal from="20000" to="0">
                    <wpsCustomData:border w:val="single" w:color="000000" w:sz="2" w:space="0"/>
                  </wpsCustomData:diagonal>
                </wpsCustomData:diagonals>
              </mc:Choice>
            </mc:AlternateContent>
          </w:tcPr>
          <w:p w14:paraId="1164999A">
            <w:pPr>
              <w:pStyle w:val="27"/>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6D48F5C3">
            <w:pPr>
              <w:pStyle w:val="27"/>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695D5933">
            <w:pPr>
              <w:keepNext w:val="0"/>
              <w:keepLines w:val="0"/>
              <w:pageBreakBefore w:val="0"/>
              <w:widowControl/>
              <w:kinsoku w:val="0"/>
              <w:wordWrap w:val="0"/>
              <w:overflowPunct/>
              <w:topLinePunct w:val="0"/>
              <w:autoSpaceDE w:val="0"/>
              <w:autoSpaceDN w:val="0"/>
              <w:bidi w:val="0"/>
              <w:adjustRightInd w:val="0"/>
              <w:snapToGrid w:val="0"/>
              <w:spacing w:before="58" w:line="240" w:lineRule="auto"/>
              <w:ind w:left="1979"/>
              <w:textAlignment w:val="baseline"/>
              <mc:AlternateContent>
                <mc:Choice Requires="wpsCustomData">
                  <wpsCustomData:diagonalParaType/>
                </mc:Choice>
              </mc:AlternateContent>
              <w:rPr>
                <w:rFonts w:hint="eastAsia" w:ascii="宋体" w:hAnsi="宋体" w:eastAsia="宋体" w:cs="宋体"/>
                <w:color w:val="000000" w:themeColor="text1"/>
                <w:spacing w:val="0"/>
                <w:sz w:val="21"/>
                <w:szCs w:val="21"/>
                <w:highlight w:val="none"/>
                <w14:textFill>
                  <w14:solidFill>
                    <w14:schemeClr w14:val="tx1"/>
                  </w14:solidFill>
                </w14:textFill>
              </w:rPr>
            </w:pPr>
          </w:p>
          <w:p w14:paraId="52A22145">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1979"/>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tc>
      </w:tr>
      <w:tr w14:paraId="31DB0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center"/>
          </w:tcPr>
          <w:p w14:paraId="320F0521">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0" w:right="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7</w:t>
            </w:r>
          </w:p>
        </w:tc>
        <w:tc>
          <w:tcPr>
            <w:tcW w:w="1675" w:type="dxa"/>
            <w:vAlign w:val="center"/>
          </w:tcPr>
          <w:p w14:paraId="5782E3F0">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对不正常报价的确认承诺</w:t>
            </w:r>
          </w:p>
        </w:tc>
        <w:tc>
          <w:tcPr>
            <w:tcW w:w="3107" w:type="dxa"/>
            <w:vAlign w:val="top"/>
          </w:tcPr>
          <w:p w14:paraId="6D8BDFB8">
            <w:pPr>
              <w:keepNext w:val="0"/>
              <w:keepLines w:val="0"/>
              <w:pageBreakBefore w:val="0"/>
              <w:widowControl/>
              <w:kinsoku w:val="0"/>
              <w:wordWrap w:val="0"/>
              <w:overflowPunct/>
              <w:topLinePunct w:val="0"/>
              <w:autoSpaceDE w:val="0"/>
              <w:autoSpaceDN w:val="0"/>
              <w:bidi w:val="0"/>
              <w:adjustRightInd w:val="0"/>
              <w:snapToGrid w:val="0"/>
              <w:spacing w:before="121" w:line="288" w:lineRule="auto"/>
              <w:ind w:left="10" w:right="2" w:firstLine="423"/>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如果我方中标，我方接受招标人在合同订立期间依据招标文件有关条款约定对我方已标价工程量清单中不正常报价的修正或认定，并按要求签署《不正常报价清单》加以确认。</w:t>
            </w:r>
          </w:p>
        </w:tc>
        <w:tc>
          <w:tcPr>
            <w:tcW w:w="4272" w:type="dxa"/>
            <w:vAlign w:val="top"/>
            <mc:AlternateContent>
              <mc:Choice Requires="wpsCustomData">
                <wpsCustomData:diagonals>
                  <wpsCustomData:diagonal from="20000" to="0">
                    <wpsCustomData:border w:val="single" w:color="000000" w:sz="2" w:space="0"/>
                  </wpsCustomData:diagonal>
                </wpsCustomData:diagonals>
              </mc:Choice>
            </mc:AlternateContent>
          </w:tcPr>
          <w:p w14:paraId="55874C84">
            <w:pPr>
              <w:pStyle w:val="27"/>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7ACFEB24">
            <w:pPr>
              <w:pStyle w:val="27"/>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69C2BA43">
            <w:pPr>
              <w:pStyle w:val="27"/>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1303911B">
            <w:pPr>
              <w:keepNext w:val="0"/>
              <w:keepLines w:val="0"/>
              <w:pageBreakBefore w:val="0"/>
              <w:widowControl/>
              <w:kinsoku w:val="0"/>
              <w:wordWrap w:val="0"/>
              <w:overflowPunct/>
              <w:topLinePunct w:val="0"/>
              <w:autoSpaceDE w:val="0"/>
              <w:autoSpaceDN w:val="0"/>
              <w:bidi w:val="0"/>
              <w:adjustRightInd w:val="0"/>
              <w:snapToGrid w:val="0"/>
              <w:spacing w:before="57" w:line="240" w:lineRule="auto"/>
              <w:ind w:left="1979"/>
              <w:textAlignment w:val="baseline"/>
              <mc:AlternateContent>
                <mc:Choice Requires="wpsCustomData">
                  <wpsCustomData:diagonalParaType/>
                </mc:Choice>
              </mc:AlternateContent>
              <w:rPr>
                <w:rFonts w:hint="eastAsia" w:ascii="宋体" w:hAnsi="宋体" w:eastAsia="宋体" w:cs="宋体"/>
                <w:color w:val="000000" w:themeColor="text1"/>
                <w:spacing w:val="0"/>
                <w:sz w:val="21"/>
                <w:szCs w:val="21"/>
                <w:highlight w:val="none"/>
                <w14:textFill>
                  <w14:solidFill>
                    <w14:schemeClr w14:val="tx1"/>
                  </w14:solidFill>
                </w14:textFill>
              </w:rPr>
            </w:pPr>
          </w:p>
          <w:p w14:paraId="1AB87749">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1979"/>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tc>
      </w:tr>
      <w:tr w14:paraId="2D63E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7C876BD4">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8</w:t>
            </w:r>
          </w:p>
        </w:tc>
        <w:tc>
          <w:tcPr>
            <w:tcW w:w="1675" w:type="dxa"/>
            <w:vAlign w:val="center"/>
          </w:tcPr>
          <w:p w14:paraId="01E67844">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按时提交履约保证的承诺</w:t>
            </w:r>
          </w:p>
        </w:tc>
        <w:tc>
          <w:tcPr>
            <w:tcW w:w="3107" w:type="dxa"/>
            <w:vAlign w:val="top"/>
          </w:tcPr>
          <w:p w14:paraId="29A0D195">
            <w:pPr>
              <w:pStyle w:val="27"/>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00CA932B">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如果我方中标，我方保证在招标文件规定的时限内全额提交履约保证。</w:t>
            </w:r>
          </w:p>
        </w:tc>
        <w:tc>
          <w:tcPr>
            <w:tcW w:w="4272" w:type="dxa"/>
            <w:vAlign w:val="top"/>
          </w:tcPr>
          <w:p w14:paraId="157135E5">
            <w:pPr>
              <w:keepNext w:val="0"/>
              <w:keepLines w:val="0"/>
              <w:pageBreakBefore w:val="0"/>
              <w:widowControl/>
              <w:kinsoku w:val="0"/>
              <w:wordWrap w:val="0"/>
              <w:overflowPunct/>
              <w:topLinePunct w:val="0"/>
              <w:autoSpaceDE w:val="0"/>
              <w:autoSpaceDN w:val="0"/>
              <w:bidi w:val="0"/>
              <w:adjustRightInd w:val="0"/>
              <w:snapToGrid w:val="0"/>
              <w:spacing w:before="128" w:line="288" w:lineRule="auto"/>
              <w:ind w:left="12" w:right="23" w:firstLine="423"/>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如果我方未在招标文件规定的时限内全 额提交履约保证，我方接受招标人依据招标文件作出的相应处理以及有关监督部门作出的行政处罚，并承担由此引起的一切法律后果。</w:t>
            </w:r>
          </w:p>
        </w:tc>
      </w:tr>
      <w:tr w14:paraId="12204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2C8442E1">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9</w:t>
            </w:r>
          </w:p>
        </w:tc>
        <w:tc>
          <w:tcPr>
            <w:tcW w:w="1675" w:type="dxa"/>
            <w:vAlign w:val="center"/>
          </w:tcPr>
          <w:p w14:paraId="7AF6CE02">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按时签订合同的承诺</w:t>
            </w:r>
          </w:p>
        </w:tc>
        <w:tc>
          <w:tcPr>
            <w:tcW w:w="3107" w:type="dxa"/>
            <w:vAlign w:val="top"/>
          </w:tcPr>
          <w:p w14:paraId="59576A39">
            <w:pPr>
              <w:pStyle w:val="27"/>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25FCE2A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如果我方中标，我方保证在 招标文件规定的时限内与招标人签订合同，不提出违背或超出招标文件、中标文件的要求。</w:t>
            </w:r>
          </w:p>
        </w:tc>
        <w:tc>
          <w:tcPr>
            <w:tcW w:w="4272" w:type="dxa"/>
            <w:vAlign w:val="top"/>
          </w:tcPr>
          <w:p w14:paraId="3246D3A0">
            <w:pPr>
              <w:keepNext w:val="0"/>
              <w:keepLines w:val="0"/>
              <w:pageBreakBefore w:val="0"/>
              <w:widowControl/>
              <w:kinsoku w:val="0"/>
              <w:wordWrap w:val="0"/>
              <w:overflowPunct/>
              <w:topLinePunct w:val="0"/>
              <w:autoSpaceDE w:val="0"/>
              <w:autoSpaceDN w:val="0"/>
              <w:bidi w:val="0"/>
              <w:adjustRightInd w:val="0"/>
              <w:snapToGrid w:val="0"/>
              <w:spacing w:before="126" w:line="288" w:lineRule="auto"/>
              <w:ind w:left="13" w:firstLine="415"/>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如果我方未在招标文件规定的时限内与招标人签订合同，或我方在签订合同过程中提出违背或超出招标文件、中标文件的要求。我方接受招标人依据招标文件作出的相应处 理以及有关监督部门作出的行政处罚，并承担由此引起的一切法律后果。</w:t>
            </w:r>
          </w:p>
        </w:tc>
      </w:tr>
    </w:tbl>
    <w:p w14:paraId="5841BEAA">
      <w:pPr>
        <w:keepNext w:val="0"/>
        <w:keepLines w:val="0"/>
        <w:pageBreakBefore w:val="0"/>
        <w:wordWrap w:val="0"/>
        <w:overflowPunct/>
        <w:topLinePunct w:val="0"/>
        <w:bidi w:val="0"/>
        <w:spacing w:before="78" w:line="219" w:lineRule="auto"/>
        <w:ind w:firstLine="6720" w:firstLineChars="2800"/>
        <w:jc w:val="both"/>
        <w:rPr>
          <w:rFonts w:hint="eastAsia" w:ascii="宋体" w:hAnsi="宋体" w:eastAsia="宋体" w:cs="宋体"/>
          <w:color w:val="000000" w:themeColor="text1"/>
          <w:spacing w:val="0"/>
          <w:sz w:val="24"/>
          <w:szCs w:val="24"/>
          <w:highlight w:val="none"/>
          <w14:textFill>
            <w14:solidFill>
              <w14:schemeClr w14:val="tx1"/>
            </w14:solidFill>
          </w14:textFill>
        </w:rPr>
      </w:pPr>
    </w:p>
    <w:p w14:paraId="5A5A4090">
      <w:pPr>
        <w:keepNext w:val="0"/>
        <w:keepLines w:val="0"/>
        <w:pageBreakBefore w:val="0"/>
        <w:wordWrap w:val="0"/>
        <w:overflowPunct/>
        <w:topLinePunct w:val="0"/>
        <w:bidi w:val="0"/>
        <w:spacing w:before="78" w:line="219" w:lineRule="auto"/>
        <w:ind w:firstLine="6720" w:firstLineChars="2800"/>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投标人：</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（盖单位章）</w:t>
      </w:r>
    </w:p>
    <w:p w14:paraId="11F3159F">
      <w:pPr>
        <w:pStyle w:val="5"/>
        <w:keepNext w:val="0"/>
        <w:keepLines w:val="0"/>
        <w:pageBreakBefore w:val="0"/>
        <w:wordWrap w:val="0"/>
        <w:overflowPunct/>
        <w:topLinePunct w:val="0"/>
        <w:bidi w:val="0"/>
        <w:spacing w:line="297" w:lineRule="auto"/>
        <w:jc w:val="right"/>
        <w:rPr>
          <w:rFonts w:hint="eastAsia" w:ascii="宋体" w:hAnsi="宋体" w:eastAsia="宋体" w:cs="宋体"/>
          <w:color w:val="000000" w:themeColor="text1"/>
          <w:spacing w:val="0"/>
          <w:highlight w:val="none"/>
          <w14:textFill>
            <w14:solidFill>
              <w14:schemeClr w14:val="tx1"/>
            </w14:solidFill>
          </w14:textFill>
        </w:rPr>
      </w:pPr>
    </w:p>
    <w:p w14:paraId="09C1B693">
      <w:pPr>
        <w:keepNext w:val="0"/>
        <w:keepLines w:val="0"/>
        <w:pageBreakBefore w:val="0"/>
        <w:wordWrap w:val="0"/>
        <w:overflowPunct/>
        <w:topLinePunct w:val="0"/>
        <w:bidi w:val="0"/>
        <w:spacing w:before="78" w:line="219" w:lineRule="auto"/>
        <w:ind w:left="4366"/>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法定代表人或其委托代理人：</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（签字或盖章）</w:t>
      </w:r>
    </w:p>
    <w:p w14:paraId="5307D740">
      <w:pPr>
        <w:keepNext w:val="0"/>
        <w:keepLines w:val="0"/>
        <w:pageBreakBefore w:val="0"/>
        <w:wordWrap w:val="0"/>
        <w:overflowPunct/>
        <w:topLinePunct w:val="0"/>
        <w:bidi w:val="0"/>
        <w:outlineLvl w:val="9"/>
        <w:rPr>
          <w:rFonts w:hint="eastAsia" w:ascii="宋体" w:hAnsi="宋体" w:eastAsia="宋体" w:cs="宋体"/>
          <w:color w:val="000000" w:themeColor="text1"/>
          <w:spacing w:val="0"/>
          <w:highlight w:val="none"/>
          <w14:textFill>
            <w14:solidFill>
              <w14:schemeClr w14:val="tx1"/>
            </w14:solidFill>
          </w14:textFill>
        </w:rPr>
      </w:pPr>
    </w:p>
    <w:p w14:paraId="76133165">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年</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月</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日</w:t>
      </w:r>
    </w:p>
    <w:p w14:paraId="2420BB4E">
      <w:pPr>
        <w:keepNext w:val="0"/>
        <w:keepLines w:val="0"/>
        <w:pageBreakBefore w:val="0"/>
        <w:wordWrap w:val="0"/>
        <w:overflowPunct/>
        <w:topLinePunct w:val="0"/>
        <w:bidi w:val="0"/>
        <w:spacing w:line="220" w:lineRule="auto"/>
        <w:jc w:val="right"/>
        <w:rPr>
          <w:rFonts w:hint="eastAsia" w:ascii="宋体" w:hAnsi="宋体" w:eastAsia="宋体" w:cs="宋体"/>
          <w:color w:val="000000" w:themeColor="text1"/>
          <w:spacing w:val="0"/>
          <w:sz w:val="24"/>
          <w:szCs w:val="24"/>
          <w:highlight w:val="none"/>
          <w14:textFill>
            <w14:solidFill>
              <w14:schemeClr w14:val="tx1"/>
            </w14:solidFill>
          </w14:textFill>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0B193340">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29" w:name="_Toc26469"/>
      <w:r>
        <w:rPr>
          <w:rFonts w:hint="eastAsia" w:ascii="宋体" w:hAnsi="宋体" w:eastAsia="宋体" w:cs="宋体"/>
          <w:b/>
          <w:bCs/>
          <w:color w:val="000000" w:themeColor="text1"/>
          <w:spacing w:val="0"/>
          <w:sz w:val="24"/>
          <w:szCs w:val="24"/>
          <w:highlight w:val="none"/>
          <w14:textFill>
            <w14:solidFill>
              <w14:schemeClr w14:val="tx1"/>
            </w14:solidFill>
          </w14:textFill>
        </w:rPr>
        <w:t>格式四 授权委托书</w:t>
      </w:r>
      <w:bookmarkEnd w:id="229"/>
    </w:p>
    <w:p w14:paraId="03776E3A">
      <w:pPr>
        <w:pStyle w:val="5"/>
        <w:keepNext w:val="0"/>
        <w:keepLines w:val="0"/>
        <w:pageBreakBefore w:val="0"/>
        <w:wordWrap w:val="0"/>
        <w:overflowPunct/>
        <w:topLinePunct w:val="0"/>
        <w:bidi w:val="0"/>
        <w:spacing w:line="351" w:lineRule="auto"/>
        <w:rPr>
          <w:rFonts w:hint="eastAsia" w:ascii="宋体" w:hAnsi="宋体" w:eastAsia="宋体" w:cs="宋体"/>
          <w:color w:val="000000" w:themeColor="text1"/>
          <w:spacing w:val="0"/>
          <w:highlight w:val="none"/>
          <w14:textFill>
            <w14:solidFill>
              <w14:schemeClr w14:val="tx1"/>
            </w14:solidFill>
          </w14:textFill>
        </w:rPr>
      </w:pPr>
    </w:p>
    <w:p w14:paraId="27681910">
      <w:pPr>
        <w:pStyle w:val="5"/>
        <w:keepNext w:val="0"/>
        <w:keepLines w:val="0"/>
        <w:pageBreakBefore w:val="0"/>
        <w:wordWrap w:val="0"/>
        <w:overflowPunct/>
        <w:topLinePunct w:val="0"/>
        <w:bidi w:val="0"/>
        <w:spacing w:line="351" w:lineRule="auto"/>
        <w:rPr>
          <w:rFonts w:hint="eastAsia" w:ascii="宋体" w:hAnsi="宋体" w:eastAsia="宋体" w:cs="宋体"/>
          <w:color w:val="000000" w:themeColor="text1"/>
          <w:spacing w:val="0"/>
          <w:highlight w:val="none"/>
          <w14:textFill>
            <w14:solidFill>
              <w14:schemeClr w14:val="tx1"/>
            </w14:solidFill>
          </w14:textFill>
        </w:rPr>
      </w:pPr>
    </w:p>
    <w:p w14:paraId="6710AE74">
      <w:pPr>
        <w:keepNext w:val="0"/>
        <w:keepLines w:val="0"/>
        <w:pageBreakBefore w:val="0"/>
        <w:wordWrap w:val="0"/>
        <w:overflowPunct/>
        <w:topLinePunct w:val="0"/>
        <w:bidi w:val="0"/>
        <w:spacing w:before="97" w:line="219" w:lineRule="auto"/>
        <w:ind w:left="3786"/>
        <w:rPr>
          <w:rFonts w:hint="eastAsia" w:ascii="宋体" w:hAnsi="宋体" w:eastAsia="宋体" w:cs="宋体"/>
          <w:color w:val="000000" w:themeColor="text1"/>
          <w:spacing w:val="0"/>
          <w:sz w:val="30"/>
          <w:szCs w:val="30"/>
          <w:highlight w:val="none"/>
          <w14:textFill>
            <w14:solidFill>
              <w14:schemeClr w14:val="tx1"/>
            </w14:solidFill>
          </w14:textFill>
        </w:rPr>
      </w:pPr>
      <w:bookmarkStart w:id="230" w:name="bookmark151"/>
      <w:bookmarkEnd w:id="230"/>
      <w:r>
        <w:rPr>
          <w:rFonts w:hint="eastAsia" w:ascii="宋体" w:hAnsi="宋体" w:eastAsia="宋体" w:cs="宋体"/>
          <w:b/>
          <w:bCs/>
          <w:color w:val="000000" w:themeColor="text1"/>
          <w:spacing w:val="0"/>
          <w:sz w:val="30"/>
          <w:szCs w:val="30"/>
          <w:highlight w:val="none"/>
          <w14:textFill>
            <w14:solidFill>
              <w14:schemeClr w14:val="tx1"/>
            </w14:solidFill>
          </w14:textFill>
        </w:rPr>
        <w:t>授权委托书</w:t>
      </w:r>
    </w:p>
    <w:p w14:paraId="6B19C13D">
      <w:pPr>
        <w:pStyle w:val="5"/>
        <w:keepNext w:val="0"/>
        <w:keepLines w:val="0"/>
        <w:pageBreakBefore w:val="0"/>
        <w:wordWrap w:val="0"/>
        <w:overflowPunct/>
        <w:topLinePunct w:val="0"/>
        <w:bidi w:val="0"/>
        <w:spacing w:line="250" w:lineRule="auto"/>
        <w:rPr>
          <w:rFonts w:hint="eastAsia" w:ascii="宋体" w:hAnsi="宋体" w:eastAsia="宋体" w:cs="宋体"/>
          <w:color w:val="000000" w:themeColor="text1"/>
          <w:spacing w:val="0"/>
          <w:highlight w:val="none"/>
          <w14:textFill>
            <w14:solidFill>
              <w14:schemeClr w14:val="tx1"/>
            </w14:solidFill>
          </w14:textFill>
        </w:rPr>
      </w:pPr>
    </w:p>
    <w:p w14:paraId="761B3015">
      <w:pPr>
        <w:pStyle w:val="5"/>
        <w:keepNext w:val="0"/>
        <w:keepLines w:val="0"/>
        <w:pageBreakBefore w:val="0"/>
        <w:wordWrap w:val="0"/>
        <w:overflowPunct/>
        <w:topLinePunct w:val="0"/>
        <w:bidi w:val="0"/>
        <w:spacing w:line="250" w:lineRule="auto"/>
        <w:rPr>
          <w:rFonts w:hint="eastAsia" w:ascii="宋体" w:hAnsi="宋体" w:eastAsia="宋体" w:cs="宋体"/>
          <w:color w:val="000000" w:themeColor="text1"/>
          <w:spacing w:val="0"/>
          <w:highlight w:val="none"/>
          <w14:textFill>
            <w14:solidFill>
              <w14:schemeClr w14:val="tx1"/>
            </w14:solidFill>
          </w14:textFill>
        </w:rPr>
      </w:pPr>
    </w:p>
    <w:p w14:paraId="586EF8E7">
      <w:pPr>
        <w:pStyle w:val="5"/>
        <w:keepNext w:val="0"/>
        <w:keepLines w:val="0"/>
        <w:pageBreakBefore w:val="0"/>
        <w:wordWrap w:val="0"/>
        <w:overflowPunct/>
        <w:topLinePunct w:val="0"/>
        <w:bidi w:val="0"/>
        <w:spacing w:line="251" w:lineRule="auto"/>
        <w:rPr>
          <w:rFonts w:hint="eastAsia" w:ascii="宋体" w:hAnsi="宋体" w:eastAsia="宋体" w:cs="宋体"/>
          <w:color w:val="000000" w:themeColor="text1"/>
          <w:spacing w:val="0"/>
          <w:highlight w:val="none"/>
          <w14:textFill>
            <w14:solidFill>
              <w14:schemeClr w14:val="tx1"/>
            </w14:solidFill>
          </w14:textFill>
        </w:rPr>
      </w:pPr>
    </w:p>
    <w:p w14:paraId="29794F47">
      <w:pPr>
        <w:keepNext w:val="0"/>
        <w:keepLines w:val="0"/>
        <w:pageBreakBefore w:val="0"/>
        <w:widowControl/>
        <w:kinsoku w:val="0"/>
        <w:wordWrap w:val="0"/>
        <w:overflowPunct/>
        <w:topLinePunct w:val="0"/>
        <w:autoSpaceDE w:val="0"/>
        <w:autoSpaceDN w:val="0"/>
        <w:bidi w:val="0"/>
        <w:adjustRightInd w:val="0"/>
        <w:snapToGrid w:val="0"/>
        <w:spacing w:before="78" w:line="330" w:lineRule="auto"/>
        <w:ind w:firstLine="481"/>
        <w:jc w:val="both"/>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8"/>
          <w:highlight w:val="none"/>
          <w:lang w:eastAsia="zh-CN"/>
          <w14:textFill>
            <w14:solidFill>
              <w14:schemeClr w14:val="tx1"/>
            </w14:solidFill>
          </w14:textFill>
        </w:rPr>
        <w:t>本人</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 w:val="24"/>
          <w:szCs w:val="28"/>
          <w:highlight w:val="none"/>
          <w:lang w:eastAsia="zh-CN"/>
          <w14:textFill>
            <w14:solidFill>
              <w14:schemeClr w14:val="tx1"/>
            </w14:solidFill>
          </w14:textFill>
        </w:rPr>
        <w:t>（姓名）系</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 w:val="24"/>
          <w:szCs w:val="28"/>
          <w:highlight w:val="none"/>
          <w:lang w:eastAsia="zh-CN"/>
          <w14:textFill>
            <w14:solidFill>
              <w14:schemeClr w14:val="tx1"/>
            </w14:solidFill>
          </w14:textFill>
        </w:rPr>
        <w:t>（投标人名称）的法定代表人，现委托</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 w:val="24"/>
          <w:szCs w:val="28"/>
          <w:highlight w:val="none"/>
          <w:lang w:eastAsia="zh-CN"/>
          <w14:textFill>
            <w14:solidFill>
              <w14:schemeClr w14:val="tx1"/>
            </w14:solidFill>
          </w14:textFill>
        </w:rPr>
        <w:t>（姓名）为我方代理人。代理人根据授权，以我方名义签署、澄清、说明、补正、递交、撤回、修改</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spacing w:val="0"/>
          <w:kern w:val="0"/>
          <w:sz w:val="24"/>
          <w:szCs w:val="28"/>
          <w:highlight w:val="none"/>
          <w:u w:val="single"/>
          <w:lang w:eastAsia="zh-CN"/>
          <w14:textFill>
            <w14:solidFill>
              <w14:schemeClr w14:val="tx1"/>
            </w14:solidFill>
          </w14:textFill>
        </w:rPr>
        <w:t>（项目名称）</w:t>
      </w:r>
      <w:r>
        <w:rPr>
          <w:rFonts w:hint="eastAsia" w:ascii="宋体" w:hAnsi="宋体" w:eastAsia="宋体" w:cs="宋体"/>
          <w:snapToGrid w:val="0"/>
          <w:color w:val="000000" w:themeColor="text1"/>
          <w:spacing w:val="0"/>
          <w:kern w:val="0"/>
          <w:sz w:val="24"/>
          <w:szCs w:val="28"/>
          <w:highlight w:val="none"/>
          <w:lang w:eastAsia="zh-CN"/>
          <w14:textFill>
            <w14:solidFill>
              <w14:schemeClr w14:val="tx1"/>
            </w14:solidFill>
          </w14:textFill>
        </w:rPr>
        <w:t xml:space="preserve"> 施工投标文件、签订合同和处理有关事宜，其法律后果由我方承担。</w:t>
      </w:r>
    </w:p>
    <w:p w14:paraId="61311643">
      <w:pPr>
        <w:keepNext w:val="0"/>
        <w:keepLines w:val="0"/>
        <w:pageBreakBefore w:val="0"/>
        <w:widowControl/>
        <w:kinsoku w:val="0"/>
        <w:wordWrap w:val="0"/>
        <w:overflowPunct/>
        <w:topLinePunct w:val="0"/>
        <w:autoSpaceDE w:val="0"/>
        <w:autoSpaceDN w:val="0"/>
        <w:bidi w:val="0"/>
        <w:adjustRightInd w:val="0"/>
        <w:snapToGrid w:val="0"/>
        <w:spacing w:before="32" w:line="320" w:lineRule="auto"/>
        <w:ind w:left="480" w:right="497"/>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委托期限：至</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年   月    日</w:t>
      </w:r>
      <w:r>
        <w:rPr>
          <w:rFonts w:hint="eastAsia" w:ascii="宋体" w:hAnsi="宋体" w:eastAsia="宋体" w:cs="宋体"/>
          <w:i/>
          <w:iCs/>
          <w:color w:val="000000" w:themeColor="text1"/>
          <w:spacing w:val="0"/>
          <w:sz w:val="25"/>
          <w:szCs w:val="25"/>
          <w:highlight w:val="none"/>
          <w:u w:val="single"/>
          <w14:textFill>
            <w14:solidFill>
              <w14:schemeClr w14:val="tx1"/>
            </w14:solidFill>
          </w14:textFill>
        </w:rPr>
        <w:t>（不得短于招标文件规定的投标有效期）</w:t>
      </w:r>
      <w:r>
        <w:rPr>
          <w:rFonts w:hint="eastAsia" w:ascii="宋体" w:hAnsi="宋体" w:eastAsia="宋体" w:cs="宋体"/>
          <w:color w:val="000000" w:themeColor="text1"/>
          <w:spacing w:val="0"/>
          <w:sz w:val="25"/>
          <w:szCs w:val="25"/>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p>
    <w:p w14:paraId="065F5DA6">
      <w:pPr>
        <w:keepNext w:val="0"/>
        <w:keepLines w:val="0"/>
        <w:pageBreakBefore w:val="0"/>
        <w:widowControl/>
        <w:kinsoku w:val="0"/>
        <w:wordWrap w:val="0"/>
        <w:overflowPunct/>
        <w:topLinePunct w:val="0"/>
        <w:autoSpaceDE w:val="0"/>
        <w:autoSpaceDN w:val="0"/>
        <w:bidi w:val="0"/>
        <w:adjustRightInd w:val="0"/>
        <w:snapToGrid w:val="0"/>
        <w:spacing w:before="32" w:line="320" w:lineRule="auto"/>
        <w:ind w:left="480" w:right="497"/>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代理人无转委托权。</w:t>
      </w:r>
    </w:p>
    <w:p w14:paraId="03D08A77">
      <w:pPr>
        <w:pStyle w:val="5"/>
        <w:keepNext w:val="0"/>
        <w:keepLines w:val="0"/>
        <w:pageBreakBefore w:val="0"/>
        <w:wordWrap w:val="0"/>
        <w:overflowPunct/>
        <w:topLinePunct w:val="0"/>
        <w:bidi w:val="0"/>
        <w:spacing w:line="276" w:lineRule="auto"/>
        <w:rPr>
          <w:rFonts w:hint="eastAsia" w:ascii="宋体" w:hAnsi="宋体" w:eastAsia="宋体" w:cs="宋体"/>
          <w:color w:val="000000" w:themeColor="text1"/>
          <w:spacing w:val="0"/>
          <w:highlight w:val="none"/>
          <w14:textFill>
            <w14:solidFill>
              <w14:schemeClr w14:val="tx1"/>
            </w14:solidFill>
          </w14:textFill>
        </w:rPr>
      </w:pPr>
    </w:p>
    <w:p w14:paraId="43532AC3">
      <w:pPr>
        <w:pStyle w:val="5"/>
        <w:keepNext w:val="0"/>
        <w:keepLines w:val="0"/>
        <w:pageBreakBefore w:val="0"/>
        <w:wordWrap w:val="0"/>
        <w:overflowPunct/>
        <w:topLinePunct w:val="0"/>
        <w:bidi w:val="0"/>
        <w:spacing w:line="277" w:lineRule="auto"/>
        <w:rPr>
          <w:rFonts w:hint="eastAsia" w:ascii="宋体" w:hAnsi="宋体" w:eastAsia="宋体" w:cs="宋体"/>
          <w:color w:val="000000" w:themeColor="text1"/>
          <w:spacing w:val="0"/>
          <w:highlight w:val="none"/>
          <w14:textFill>
            <w14:solidFill>
              <w14:schemeClr w14:val="tx1"/>
            </w14:solidFill>
          </w14:textFill>
        </w:rPr>
      </w:pPr>
    </w:p>
    <w:p w14:paraId="2B7914FB">
      <w:pPr>
        <w:pStyle w:val="5"/>
        <w:keepNext w:val="0"/>
        <w:keepLines w:val="0"/>
        <w:pageBreakBefore w:val="0"/>
        <w:wordWrap w:val="0"/>
        <w:overflowPunct/>
        <w:topLinePunct w:val="0"/>
        <w:bidi w:val="0"/>
        <w:spacing w:line="277" w:lineRule="auto"/>
        <w:rPr>
          <w:rFonts w:hint="eastAsia" w:ascii="宋体" w:hAnsi="宋体" w:eastAsia="宋体" w:cs="宋体"/>
          <w:color w:val="000000" w:themeColor="text1"/>
          <w:spacing w:val="0"/>
          <w:highlight w:val="none"/>
          <w14:textFill>
            <w14:solidFill>
              <w14:schemeClr w14:val="tx1"/>
            </w14:solidFill>
          </w14:textFill>
        </w:rPr>
      </w:pPr>
    </w:p>
    <w:p w14:paraId="37C771EC">
      <w:pPr>
        <w:keepNext w:val="0"/>
        <w:keepLines w:val="0"/>
        <w:pageBreakBefore w:val="0"/>
        <w:wordWrap w:val="0"/>
        <w:overflowPunct/>
        <w:topLinePunct w:val="0"/>
        <w:bidi w:val="0"/>
        <w:spacing w:before="78" w:line="219" w:lineRule="auto"/>
        <w:ind w:left="3123"/>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  标  人：</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（盖单位章）</w:t>
      </w:r>
    </w:p>
    <w:p w14:paraId="67E86849">
      <w:pPr>
        <w:pStyle w:val="5"/>
        <w:keepNext w:val="0"/>
        <w:keepLines w:val="0"/>
        <w:pageBreakBefore w:val="0"/>
        <w:wordWrap w:val="0"/>
        <w:overflowPunct/>
        <w:topLinePunct w:val="0"/>
        <w:bidi w:val="0"/>
        <w:spacing w:line="317" w:lineRule="auto"/>
        <w:jc w:val="right"/>
        <w:rPr>
          <w:rFonts w:hint="eastAsia" w:ascii="宋体" w:hAnsi="宋体" w:eastAsia="宋体" w:cs="宋体"/>
          <w:color w:val="000000" w:themeColor="text1"/>
          <w:spacing w:val="0"/>
          <w:highlight w:val="none"/>
          <w14:textFill>
            <w14:solidFill>
              <w14:schemeClr w14:val="tx1"/>
            </w14:solidFill>
          </w14:textFill>
        </w:rPr>
      </w:pPr>
    </w:p>
    <w:p w14:paraId="4D39F848">
      <w:pPr>
        <w:pStyle w:val="5"/>
        <w:keepNext w:val="0"/>
        <w:keepLines w:val="0"/>
        <w:pageBreakBefore w:val="0"/>
        <w:wordWrap w:val="0"/>
        <w:overflowPunct/>
        <w:topLinePunct w:val="0"/>
        <w:bidi w:val="0"/>
        <w:spacing w:line="317" w:lineRule="auto"/>
        <w:jc w:val="right"/>
        <w:rPr>
          <w:rFonts w:hint="eastAsia" w:ascii="宋体" w:hAnsi="宋体" w:eastAsia="宋体" w:cs="宋体"/>
          <w:color w:val="000000" w:themeColor="text1"/>
          <w:spacing w:val="0"/>
          <w:highlight w:val="none"/>
          <w14:textFill>
            <w14:solidFill>
              <w14:schemeClr w14:val="tx1"/>
            </w14:solidFill>
          </w14:textFill>
        </w:rPr>
      </w:pPr>
    </w:p>
    <w:p w14:paraId="067D7E79">
      <w:pPr>
        <w:pStyle w:val="5"/>
        <w:keepNext w:val="0"/>
        <w:keepLines w:val="0"/>
        <w:pageBreakBefore w:val="0"/>
        <w:wordWrap w:val="0"/>
        <w:overflowPunct/>
        <w:topLinePunct w:val="0"/>
        <w:bidi w:val="0"/>
        <w:spacing w:line="317" w:lineRule="auto"/>
        <w:jc w:val="right"/>
        <w:rPr>
          <w:rFonts w:hint="eastAsia" w:ascii="宋体" w:hAnsi="宋体" w:eastAsia="宋体" w:cs="宋体"/>
          <w:color w:val="000000" w:themeColor="text1"/>
          <w:spacing w:val="0"/>
          <w:highlight w:val="none"/>
          <w14:textFill>
            <w14:solidFill>
              <w14:schemeClr w14:val="tx1"/>
            </w14:solidFill>
          </w14:textFill>
        </w:rPr>
      </w:pPr>
    </w:p>
    <w:p w14:paraId="67B8E691">
      <w:pPr>
        <w:keepNext w:val="0"/>
        <w:keepLines w:val="0"/>
        <w:pageBreakBefore w:val="0"/>
        <w:wordWrap w:val="0"/>
        <w:overflowPunct/>
        <w:topLinePunct w:val="0"/>
        <w:bidi w:val="0"/>
        <w:spacing w:before="79" w:line="219" w:lineRule="auto"/>
        <w:ind w:left="3121"/>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法定代表人：</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（签字或盖章）</w:t>
      </w:r>
    </w:p>
    <w:p w14:paraId="058F6FE5">
      <w:pPr>
        <w:pStyle w:val="5"/>
        <w:keepNext w:val="0"/>
        <w:keepLines w:val="0"/>
        <w:pageBreakBefore w:val="0"/>
        <w:wordWrap w:val="0"/>
        <w:overflowPunct/>
        <w:topLinePunct w:val="0"/>
        <w:bidi w:val="0"/>
        <w:spacing w:line="317" w:lineRule="auto"/>
        <w:jc w:val="right"/>
        <w:rPr>
          <w:rFonts w:hint="eastAsia" w:ascii="宋体" w:hAnsi="宋体" w:eastAsia="宋体" w:cs="宋体"/>
          <w:color w:val="000000" w:themeColor="text1"/>
          <w:spacing w:val="0"/>
          <w:highlight w:val="none"/>
          <w14:textFill>
            <w14:solidFill>
              <w14:schemeClr w14:val="tx1"/>
            </w14:solidFill>
          </w14:textFill>
        </w:rPr>
      </w:pPr>
    </w:p>
    <w:p w14:paraId="084C2FB0">
      <w:pPr>
        <w:pStyle w:val="5"/>
        <w:keepNext w:val="0"/>
        <w:keepLines w:val="0"/>
        <w:pageBreakBefore w:val="0"/>
        <w:wordWrap w:val="0"/>
        <w:overflowPunct/>
        <w:topLinePunct w:val="0"/>
        <w:bidi w:val="0"/>
        <w:spacing w:line="317" w:lineRule="auto"/>
        <w:jc w:val="right"/>
        <w:rPr>
          <w:rFonts w:hint="eastAsia" w:ascii="宋体" w:hAnsi="宋体" w:eastAsia="宋体" w:cs="宋体"/>
          <w:color w:val="000000" w:themeColor="text1"/>
          <w:spacing w:val="0"/>
          <w:highlight w:val="none"/>
          <w14:textFill>
            <w14:solidFill>
              <w14:schemeClr w14:val="tx1"/>
            </w14:solidFill>
          </w14:textFill>
        </w:rPr>
      </w:pPr>
    </w:p>
    <w:p w14:paraId="357963A6">
      <w:pPr>
        <w:pStyle w:val="5"/>
        <w:keepNext w:val="0"/>
        <w:keepLines w:val="0"/>
        <w:pageBreakBefore w:val="0"/>
        <w:wordWrap w:val="0"/>
        <w:overflowPunct/>
        <w:topLinePunct w:val="0"/>
        <w:bidi w:val="0"/>
        <w:spacing w:line="317" w:lineRule="auto"/>
        <w:jc w:val="right"/>
        <w:rPr>
          <w:rFonts w:hint="eastAsia" w:ascii="宋体" w:hAnsi="宋体" w:eastAsia="宋体" w:cs="宋体"/>
          <w:color w:val="000000" w:themeColor="text1"/>
          <w:spacing w:val="0"/>
          <w:highlight w:val="none"/>
          <w14:textFill>
            <w14:solidFill>
              <w14:schemeClr w14:val="tx1"/>
            </w14:solidFill>
          </w14:textFill>
        </w:rPr>
      </w:pPr>
    </w:p>
    <w:p w14:paraId="732A1D8F">
      <w:pPr>
        <w:keepNext w:val="0"/>
        <w:keepLines w:val="0"/>
        <w:pageBreakBefore w:val="0"/>
        <w:wordWrap w:val="0"/>
        <w:overflowPunct/>
        <w:topLinePunct w:val="0"/>
        <w:bidi w:val="0"/>
        <w:spacing w:before="78" w:line="219" w:lineRule="auto"/>
        <w:ind w:left="2880"/>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委托代理人：</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（签字或盖章）</w:t>
      </w:r>
    </w:p>
    <w:p w14:paraId="1B567FA1">
      <w:pPr>
        <w:pStyle w:val="5"/>
        <w:keepNext w:val="0"/>
        <w:keepLines w:val="0"/>
        <w:pageBreakBefore w:val="0"/>
        <w:wordWrap w:val="0"/>
        <w:overflowPunct/>
        <w:topLinePunct w:val="0"/>
        <w:bidi w:val="0"/>
        <w:spacing w:line="256" w:lineRule="auto"/>
        <w:jc w:val="right"/>
        <w:rPr>
          <w:rFonts w:hint="eastAsia" w:ascii="宋体" w:hAnsi="宋体" w:eastAsia="宋体" w:cs="宋体"/>
          <w:color w:val="000000" w:themeColor="text1"/>
          <w:spacing w:val="0"/>
          <w:highlight w:val="none"/>
          <w14:textFill>
            <w14:solidFill>
              <w14:schemeClr w14:val="tx1"/>
            </w14:solidFill>
          </w14:textFill>
        </w:rPr>
      </w:pPr>
    </w:p>
    <w:p w14:paraId="3C2BC505">
      <w:pPr>
        <w:pStyle w:val="5"/>
        <w:keepNext w:val="0"/>
        <w:keepLines w:val="0"/>
        <w:pageBreakBefore w:val="0"/>
        <w:wordWrap w:val="0"/>
        <w:overflowPunct/>
        <w:topLinePunct w:val="0"/>
        <w:bidi w:val="0"/>
        <w:spacing w:line="256" w:lineRule="auto"/>
        <w:jc w:val="right"/>
        <w:rPr>
          <w:rFonts w:hint="eastAsia" w:ascii="宋体" w:hAnsi="宋体" w:eastAsia="宋体" w:cs="宋体"/>
          <w:color w:val="000000" w:themeColor="text1"/>
          <w:spacing w:val="0"/>
          <w:highlight w:val="none"/>
          <w14:textFill>
            <w14:solidFill>
              <w14:schemeClr w14:val="tx1"/>
            </w14:solidFill>
          </w14:textFill>
        </w:rPr>
      </w:pPr>
    </w:p>
    <w:p w14:paraId="32DFD235">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年</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月</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日</w:t>
      </w:r>
    </w:p>
    <w:p w14:paraId="09CD99D4">
      <w:pPr>
        <w:keepNext w:val="0"/>
        <w:keepLines w:val="0"/>
        <w:pageBreakBefore w:val="0"/>
        <w:wordWrap w:val="0"/>
        <w:overflowPunct/>
        <w:topLinePunct w:val="0"/>
        <w:bidi w:val="0"/>
        <w:spacing w:before="78" w:line="220" w:lineRule="auto"/>
        <w:ind w:left="4201"/>
        <w:jc w:val="right"/>
        <w:rPr>
          <w:rFonts w:hint="eastAsia" w:ascii="宋体" w:hAnsi="宋体" w:eastAsia="宋体" w:cs="宋体"/>
          <w:color w:val="000000" w:themeColor="text1"/>
          <w:spacing w:val="0"/>
          <w:sz w:val="24"/>
          <w:szCs w:val="24"/>
          <w:highlight w:val="none"/>
          <w14:textFill>
            <w14:solidFill>
              <w14:schemeClr w14:val="tx1"/>
            </w14:solidFill>
          </w14:textFill>
        </w:rPr>
      </w:pPr>
    </w:p>
    <w:p w14:paraId="723A21F5">
      <w:pPr>
        <w:keepNext w:val="0"/>
        <w:keepLines w:val="0"/>
        <w:pageBreakBefore w:val="0"/>
        <w:wordWrap w:val="0"/>
        <w:overflowPunct/>
        <w:topLinePunct w:val="0"/>
        <w:bidi w:val="0"/>
        <w:spacing w:before="69"/>
        <w:rPr>
          <w:rFonts w:hint="eastAsia" w:ascii="宋体" w:hAnsi="宋体" w:eastAsia="宋体" w:cs="宋体"/>
          <w:color w:val="000000" w:themeColor="text1"/>
          <w:spacing w:val="0"/>
          <w:highlight w:val="none"/>
          <w14:textFill>
            <w14:solidFill>
              <w14:schemeClr w14:val="tx1"/>
            </w14:solidFill>
          </w14:textFill>
        </w:rPr>
      </w:pPr>
    </w:p>
    <w:p w14:paraId="1E0667E6">
      <w:pPr>
        <w:keepNext w:val="0"/>
        <w:keepLines w:val="0"/>
        <w:pageBreakBefore w:val="0"/>
        <w:wordWrap w:val="0"/>
        <w:overflowPunct/>
        <w:topLinePunct w:val="0"/>
        <w:bidi w:val="0"/>
        <w:spacing w:before="69"/>
        <w:rPr>
          <w:rFonts w:hint="eastAsia" w:ascii="宋体" w:hAnsi="宋体" w:eastAsia="宋体" w:cs="宋体"/>
          <w:color w:val="000000" w:themeColor="text1"/>
          <w:spacing w:val="0"/>
          <w:highlight w:val="none"/>
          <w14:textFill>
            <w14:solidFill>
              <w14:schemeClr w14:val="tx1"/>
            </w14:solidFill>
          </w14:textFill>
        </w:rPr>
      </w:pPr>
    </w:p>
    <w:tbl>
      <w:tblPr>
        <w:tblStyle w:val="14"/>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2127AB6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06290FA3">
            <w:pPr>
              <w:pStyle w:val="27"/>
              <w:keepNext w:val="0"/>
              <w:keepLines w:val="0"/>
              <w:pageBreakBefore w:val="0"/>
              <w:wordWrap w:val="0"/>
              <w:overflowPunct/>
              <w:topLinePunct w:val="0"/>
              <w:bidi w:val="0"/>
              <w:spacing w:line="245" w:lineRule="auto"/>
              <w:rPr>
                <w:rFonts w:hint="eastAsia" w:ascii="宋体" w:hAnsi="宋体" w:eastAsia="宋体" w:cs="宋体"/>
                <w:color w:val="000000" w:themeColor="text1"/>
                <w:spacing w:val="0"/>
                <w:highlight w:val="none"/>
                <w14:textFill>
                  <w14:solidFill>
                    <w14:schemeClr w14:val="tx1"/>
                  </w14:solidFill>
                </w14:textFill>
              </w:rPr>
            </w:pPr>
          </w:p>
          <w:p w14:paraId="73D5EEA8">
            <w:pPr>
              <w:pStyle w:val="27"/>
              <w:keepNext w:val="0"/>
              <w:keepLines w:val="0"/>
              <w:pageBreakBefore w:val="0"/>
              <w:wordWrap w:val="0"/>
              <w:overflowPunct/>
              <w:topLinePunct w:val="0"/>
              <w:bidi w:val="0"/>
              <w:spacing w:line="245" w:lineRule="auto"/>
              <w:rPr>
                <w:rFonts w:hint="eastAsia" w:ascii="宋体" w:hAnsi="宋体" w:eastAsia="宋体" w:cs="宋体"/>
                <w:color w:val="000000" w:themeColor="text1"/>
                <w:spacing w:val="0"/>
                <w:highlight w:val="none"/>
                <w14:textFill>
                  <w14:solidFill>
                    <w14:schemeClr w14:val="tx1"/>
                  </w14:solidFill>
                </w14:textFill>
              </w:rPr>
            </w:pPr>
          </w:p>
          <w:p w14:paraId="4189E6F9">
            <w:pPr>
              <w:pStyle w:val="27"/>
              <w:keepNext w:val="0"/>
              <w:keepLines w:val="0"/>
              <w:pageBreakBefore w:val="0"/>
              <w:wordWrap w:val="0"/>
              <w:overflowPunct/>
              <w:topLinePunct w:val="0"/>
              <w:bidi w:val="0"/>
              <w:spacing w:line="245" w:lineRule="auto"/>
              <w:rPr>
                <w:rFonts w:hint="eastAsia" w:ascii="宋体" w:hAnsi="宋体" w:eastAsia="宋体" w:cs="宋体"/>
                <w:color w:val="000000" w:themeColor="text1"/>
                <w:spacing w:val="0"/>
                <w:highlight w:val="none"/>
                <w14:textFill>
                  <w14:solidFill>
                    <w14:schemeClr w14:val="tx1"/>
                  </w14:solidFill>
                </w14:textFill>
              </w:rPr>
            </w:pPr>
          </w:p>
          <w:p w14:paraId="31D9240F">
            <w:pPr>
              <w:pStyle w:val="27"/>
              <w:keepNext w:val="0"/>
              <w:keepLines w:val="0"/>
              <w:pageBreakBefore w:val="0"/>
              <w:wordWrap w:val="0"/>
              <w:overflowPunct/>
              <w:topLinePunct w:val="0"/>
              <w:bidi w:val="0"/>
              <w:spacing w:line="245" w:lineRule="auto"/>
              <w:rPr>
                <w:rFonts w:hint="eastAsia" w:ascii="宋体" w:hAnsi="宋体" w:eastAsia="宋体" w:cs="宋体"/>
                <w:color w:val="000000" w:themeColor="text1"/>
                <w:spacing w:val="0"/>
                <w:highlight w:val="none"/>
                <w14:textFill>
                  <w14:solidFill>
                    <w14:schemeClr w14:val="tx1"/>
                  </w14:solidFill>
                </w14:textFill>
              </w:rPr>
            </w:pPr>
          </w:p>
          <w:p w14:paraId="30F2804B">
            <w:pPr>
              <w:pStyle w:val="27"/>
              <w:keepNext w:val="0"/>
              <w:keepLines w:val="0"/>
              <w:pageBreakBefore w:val="0"/>
              <w:wordWrap w:val="0"/>
              <w:overflowPunct/>
              <w:topLinePunct w:val="0"/>
              <w:bidi w:val="0"/>
              <w:spacing w:line="245" w:lineRule="auto"/>
              <w:rPr>
                <w:rFonts w:hint="eastAsia" w:ascii="宋体" w:hAnsi="宋体" w:eastAsia="宋体" w:cs="宋体"/>
                <w:color w:val="000000" w:themeColor="text1"/>
                <w:spacing w:val="0"/>
                <w:highlight w:val="none"/>
                <w14:textFill>
                  <w14:solidFill>
                    <w14:schemeClr w14:val="tx1"/>
                  </w14:solidFill>
                </w14:textFill>
              </w:rPr>
            </w:pPr>
          </w:p>
          <w:p w14:paraId="376A489E">
            <w:pPr>
              <w:pStyle w:val="27"/>
              <w:keepNext w:val="0"/>
              <w:keepLines w:val="0"/>
              <w:pageBreakBefore w:val="0"/>
              <w:wordWrap w:val="0"/>
              <w:overflowPunct/>
              <w:topLinePunct w:val="0"/>
              <w:bidi w:val="0"/>
              <w:spacing w:line="245" w:lineRule="auto"/>
              <w:rPr>
                <w:rFonts w:hint="eastAsia" w:ascii="宋体" w:hAnsi="宋体" w:eastAsia="宋体" w:cs="宋体"/>
                <w:color w:val="000000" w:themeColor="text1"/>
                <w:spacing w:val="0"/>
                <w:highlight w:val="none"/>
                <w14:textFill>
                  <w14:solidFill>
                    <w14:schemeClr w14:val="tx1"/>
                  </w14:solidFill>
                </w14:textFill>
              </w:rPr>
            </w:pPr>
          </w:p>
          <w:p w14:paraId="5A6EA383">
            <w:pPr>
              <w:pStyle w:val="27"/>
              <w:keepNext w:val="0"/>
              <w:keepLines w:val="0"/>
              <w:pageBreakBefore w:val="0"/>
              <w:wordWrap w:val="0"/>
              <w:overflowPunct/>
              <w:topLinePunct w:val="0"/>
              <w:bidi w:val="0"/>
              <w:spacing w:line="246" w:lineRule="auto"/>
              <w:rPr>
                <w:rFonts w:hint="eastAsia" w:ascii="宋体" w:hAnsi="宋体" w:eastAsia="宋体" w:cs="宋体"/>
                <w:color w:val="000000" w:themeColor="text1"/>
                <w:spacing w:val="0"/>
                <w:highlight w:val="none"/>
                <w14:textFill>
                  <w14:solidFill>
                    <w14:schemeClr w14:val="tx1"/>
                  </w14:solidFill>
                </w14:textFill>
              </w:rPr>
            </w:pPr>
          </w:p>
          <w:p w14:paraId="46299238">
            <w:pPr>
              <w:keepNext w:val="0"/>
              <w:keepLines w:val="0"/>
              <w:pageBreakBefore w:val="0"/>
              <w:wordWrap w:val="0"/>
              <w:overflowPunct/>
              <w:topLinePunct w:val="0"/>
              <w:bidi w:val="0"/>
              <w:spacing w:before="78" w:line="220" w:lineRule="auto"/>
              <w:ind w:left="71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委托代理人身份证</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彩色扫描件</w:t>
            </w:r>
            <w:r>
              <w:rPr>
                <w:rFonts w:hint="eastAsia" w:ascii="宋体" w:hAnsi="宋体" w:eastAsia="宋体" w:cs="宋体"/>
                <w:color w:val="000000" w:themeColor="text1"/>
                <w:spacing w:val="0"/>
                <w:sz w:val="24"/>
                <w:szCs w:val="24"/>
                <w:highlight w:val="none"/>
                <w14:textFill>
                  <w14:solidFill>
                    <w14:schemeClr w14:val="tx1"/>
                  </w14:solidFill>
                </w14:textFill>
              </w:rPr>
              <w:t>正、反面</w:t>
            </w:r>
          </w:p>
        </w:tc>
      </w:tr>
    </w:tbl>
    <w:p w14:paraId="1CD2E23D">
      <w:pPr>
        <w:pStyle w:val="5"/>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p w14:paraId="414108A7">
      <w:pPr>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3DBB8BC">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31" w:name="_Toc30558"/>
      <w:r>
        <w:rPr>
          <w:rFonts w:hint="eastAsia" w:ascii="宋体" w:hAnsi="宋体" w:eastAsia="宋体" w:cs="宋体"/>
          <w:b/>
          <w:bCs/>
          <w:color w:val="000000" w:themeColor="text1"/>
          <w:spacing w:val="0"/>
          <w:sz w:val="24"/>
          <w:szCs w:val="24"/>
          <w:highlight w:val="none"/>
          <w14:textFill>
            <w14:solidFill>
              <w14:schemeClr w14:val="tx1"/>
            </w14:solidFill>
          </w14:textFill>
        </w:rPr>
        <w:t>格式五 法定代表人身份证明</w:t>
      </w:r>
      <w:bookmarkEnd w:id="231"/>
    </w:p>
    <w:p w14:paraId="64F0910B">
      <w:pPr>
        <w:pStyle w:val="5"/>
        <w:keepNext w:val="0"/>
        <w:keepLines w:val="0"/>
        <w:pageBreakBefore w:val="0"/>
        <w:wordWrap w:val="0"/>
        <w:overflowPunct/>
        <w:topLinePunct w:val="0"/>
        <w:bidi w:val="0"/>
        <w:spacing w:line="350" w:lineRule="auto"/>
        <w:rPr>
          <w:rFonts w:hint="eastAsia" w:ascii="宋体" w:hAnsi="宋体" w:eastAsia="宋体" w:cs="宋体"/>
          <w:color w:val="000000" w:themeColor="text1"/>
          <w:spacing w:val="0"/>
          <w:highlight w:val="none"/>
          <w14:textFill>
            <w14:solidFill>
              <w14:schemeClr w14:val="tx1"/>
            </w14:solidFill>
          </w14:textFill>
        </w:rPr>
      </w:pPr>
    </w:p>
    <w:p w14:paraId="2888A3EE">
      <w:pPr>
        <w:pStyle w:val="5"/>
        <w:keepNext w:val="0"/>
        <w:keepLines w:val="0"/>
        <w:pageBreakBefore w:val="0"/>
        <w:wordWrap w:val="0"/>
        <w:overflowPunct/>
        <w:topLinePunct w:val="0"/>
        <w:bidi w:val="0"/>
        <w:spacing w:line="350" w:lineRule="auto"/>
        <w:rPr>
          <w:rFonts w:hint="eastAsia" w:ascii="宋体" w:hAnsi="宋体" w:eastAsia="宋体" w:cs="宋体"/>
          <w:color w:val="000000" w:themeColor="text1"/>
          <w:spacing w:val="0"/>
          <w:highlight w:val="none"/>
          <w14:textFill>
            <w14:solidFill>
              <w14:schemeClr w14:val="tx1"/>
            </w14:solidFill>
          </w14:textFill>
        </w:rPr>
      </w:pPr>
    </w:p>
    <w:p w14:paraId="10601B29">
      <w:pPr>
        <w:keepNext w:val="0"/>
        <w:keepLines w:val="0"/>
        <w:pageBreakBefore w:val="0"/>
        <w:wordWrap w:val="0"/>
        <w:overflowPunct/>
        <w:topLinePunct w:val="0"/>
        <w:bidi w:val="0"/>
        <w:spacing w:before="98" w:line="220" w:lineRule="auto"/>
        <w:ind w:left="3183"/>
        <w:rPr>
          <w:rFonts w:hint="eastAsia" w:ascii="宋体" w:hAnsi="宋体" w:eastAsia="宋体" w:cs="宋体"/>
          <w:color w:val="000000" w:themeColor="text1"/>
          <w:spacing w:val="0"/>
          <w:sz w:val="30"/>
          <w:szCs w:val="30"/>
          <w:highlight w:val="none"/>
          <w14:textFill>
            <w14:solidFill>
              <w14:schemeClr w14:val="tx1"/>
            </w14:solidFill>
          </w14:textFill>
        </w:rPr>
      </w:pPr>
      <w:bookmarkStart w:id="232" w:name="bookmark152"/>
      <w:bookmarkEnd w:id="232"/>
      <w:r>
        <w:rPr>
          <w:rFonts w:hint="eastAsia" w:ascii="宋体" w:hAnsi="宋体" w:eastAsia="宋体" w:cs="宋体"/>
          <w:b/>
          <w:bCs/>
          <w:color w:val="000000" w:themeColor="text1"/>
          <w:spacing w:val="0"/>
          <w:sz w:val="30"/>
          <w:szCs w:val="30"/>
          <w:highlight w:val="none"/>
          <w14:textFill>
            <w14:solidFill>
              <w14:schemeClr w14:val="tx1"/>
            </w14:solidFill>
          </w14:textFill>
        </w:rPr>
        <w:t>法定代表人身份证明</w:t>
      </w:r>
    </w:p>
    <w:p w14:paraId="176A168B">
      <w:pPr>
        <w:pStyle w:val="5"/>
        <w:keepNext w:val="0"/>
        <w:keepLines w:val="0"/>
        <w:pageBreakBefore w:val="0"/>
        <w:wordWrap w:val="0"/>
        <w:overflowPunct/>
        <w:topLinePunct w:val="0"/>
        <w:bidi w:val="0"/>
        <w:spacing w:line="250" w:lineRule="auto"/>
        <w:rPr>
          <w:rFonts w:hint="eastAsia" w:ascii="宋体" w:hAnsi="宋体" w:eastAsia="宋体" w:cs="宋体"/>
          <w:color w:val="000000" w:themeColor="text1"/>
          <w:spacing w:val="0"/>
          <w:highlight w:val="none"/>
          <w14:textFill>
            <w14:solidFill>
              <w14:schemeClr w14:val="tx1"/>
            </w14:solidFill>
          </w14:textFill>
        </w:rPr>
      </w:pPr>
    </w:p>
    <w:p w14:paraId="5B8D004F">
      <w:pPr>
        <w:pStyle w:val="5"/>
        <w:keepNext w:val="0"/>
        <w:keepLines w:val="0"/>
        <w:pageBreakBefore w:val="0"/>
        <w:wordWrap w:val="0"/>
        <w:overflowPunct/>
        <w:topLinePunct w:val="0"/>
        <w:bidi w:val="0"/>
        <w:spacing w:line="250" w:lineRule="auto"/>
        <w:rPr>
          <w:rFonts w:hint="eastAsia" w:ascii="宋体" w:hAnsi="宋体" w:eastAsia="宋体" w:cs="宋体"/>
          <w:color w:val="000000" w:themeColor="text1"/>
          <w:spacing w:val="0"/>
          <w:highlight w:val="none"/>
          <w14:textFill>
            <w14:solidFill>
              <w14:schemeClr w14:val="tx1"/>
            </w14:solidFill>
          </w14:textFill>
        </w:rPr>
      </w:pPr>
    </w:p>
    <w:p w14:paraId="47A552CC">
      <w:pPr>
        <w:pStyle w:val="5"/>
        <w:keepNext w:val="0"/>
        <w:keepLines w:val="0"/>
        <w:pageBreakBefore w:val="0"/>
        <w:wordWrap w:val="0"/>
        <w:overflowPunct/>
        <w:topLinePunct w:val="0"/>
        <w:bidi w:val="0"/>
        <w:spacing w:line="251" w:lineRule="auto"/>
        <w:rPr>
          <w:rFonts w:hint="eastAsia" w:ascii="宋体" w:hAnsi="宋体" w:eastAsia="宋体" w:cs="宋体"/>
          <w:color w:val="000000" w:themeColor="text1"/>
          <w:spacing w:val="0"/>
          <w:highlight w:val="none"/>
          <w14:textFill>
            <w14:solidFill>
              <w14:schemeClr w14:val="tx1"/>
            </w14:solidFill>
          </w14:textFill>
        </w:rPr>
      </w:pPr>
    </w:p>
    <w:p w14:paraId="6441890C">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投标人名称：</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 xml:space="preserve">                  </w:t>
      </w:r>
    </w:p>
    <w:p w14:paraId="78081EA7">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姓名：</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性别：</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年龄：</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职务：</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 xml:space="preserve">           </w:t>
      </w:r>
    </w:p>
    <w:p w14:paraId="572BE33E">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系</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（投标人名称）的法定代表人。</w:t>
      </w:r>
    </w:p>
    <w:p w14:paraId="7898B9FA">
      <w:pPr>
        <w:keepNext w:val="0"/>
        <w:keepLines w:val="0"/>
        <w:pageBreakBefore w:val="0"/>
        <w:wordWrap w:val="0"/>
        <w:overflowPunct/>
        <w:topLinePunct w:val="0"/>
        <w:bidi w:val="0"/>
        <w:adjustRightInd w:val="0"/>
        <w:snapToGrid w:val="0"/>
        <w:rPr>
          <w:rFonts w:hint="eastAsia" w:ascii="宋体" w:hAnsi="宋体" w:eastAsia="宋体" w:cs="宋体"/>
          <w:snapToGrid w:val="0"/>
          <w:color w:val="000000" w:themeColor="text1"/>
          <w:spacing w:val="0"/>
          <w:kern w:val="0"/>
          <w:szCs w:val="21"/>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 xml:space="preserve">    特此证明。</w:t>
      </w:r>
    </w:p>
    <w:p w14:paraId="1DA8C0EE">
      <w:pPr>
        <w:pStyle w:val="5"/>
        <w:keepNext w:val="0"/>
        <w:keepLines w:val="0"/>
        <w:pageBreakBefore w:val="0"/>
        <w:wordWrap w:val="0"/>
        <w:overflowPunct/>
        <w:topLinePunct w:val="0"/>
        <w:bidi w:val="0"/>
        <w:spacing w:line="277" w:lineRule="auto"/>
        <w:rPr>
          <w:rFonts w:hint="eastAsia" w:ascii="宋体" w:hAnsi="宋体" w:eastAsia="宋体" w:cs="宋体"/>
          <w:color w:val="000000" w:themeColor="text1"/>
          <w:spacing w:val="0"/>
          <w:highlight w:val="none"/>
          <w14:textFill>
            <w14:solidFill>
              <w14:schemeClr w14:val="tx1"/>
            </w14:solidFill>
          </w14:textFill>
        </w:rPr>
      </w:pPr>
    </w:p>
    <w:p w14:paraId="46E051EF">
      <w:pPr>
        <w:pStyle w:val="5"/>
        <w:keepNext w:val="0"/>
        <w:keepLines w:val="0"/>
        <w:pageBreakBefore w:val="0"/>
        <w:wordWrap w:val="0"/>
        <w:overflowPunct/>
        <w:topLinePunct w:val="0"/>
        <w:bidi w:val="0"/>
        <w:spacing w:line="277" w:lineRule="auto"/>
        <w:rPr>
          <w:rFonts w:hint="eastAsia" w:ascii="宋体" w:hAnsi="宋体" w:eastAsia="宋体" w:cs="宋体"/>
          <w:color w:val="000000" w:themeColor="text1"/>
          <w:spacing w:val="0"/>
          <w:highlight w:val="none"/>
          <w14:textFill>
            <w14:solidFill>
              <w14:schemeClr w14:val="tx1"/>
            </w14:solidFill>
          </w14:textFill>
        </w:rPr>
      </w:pPr>
    </w:p>
    <w:p w14:paraId="31074CD7">
      <w:pPr>
        <w:pStyle w:val="5"/>
        <w:keepNext w:val="0"/>
        <w:keepLines w:val="0"/>
        <w:pageBreakBefore w:val="0"/>
        <w:wordWrap w:val="0"/>
        <w:overflowPunct/>
        <w:topLinePunct w:val="0"/>
        <w:bidi w:val="0"/>
        <w:spacing w:line="278" w:lineRule="auto"/>
        <w:rPr>
          <w:rFonts w:hint="eastAsia" w:ascii="宋体" w:hAnsi="宋体" w:eastAsia="宋体" w:cs="宋体"/>
          <w:color w:val="000000" w:themeColor="text1"/>
          <w:spacing w:val="0"/>
          <w:highlight w:val="none"/>
          <w14:textFill>
            <w14:solidFill>
              <w14:schemeClr w14:val="tx1"/>
            </w14:solidFill>
          </w14:textFill>
        </w:rPr>
      </w:pPr>
    </w:p>
    <w:p w14:paraId="7DE923C3">
      <w:pPr>
        <w:keepNext w:val="0"/>
        <w:keepLines w:val="0"/>
        <w:pageBreakBefore w:val="0"/>
        <w:wordWrap w:val="0"/>
        <w:overflowPunct/>
        <w:topLinePunct w:val="0"/>
        <w:bidi w:val="0"/>
        <w:spacing w:before="78" w:line="219" w:lineRule="auto"/>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投标人：</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（盖单位章）</w:t>
      </w:r>
    </w:p>
    <w:p w14:paraId="5195DD81">
      <w:pPr>
        <w:pStyle w:val="5"/>
        <w:keepNext w:val="0"/>
        <w:keepLines w:val="0"/>
        <w:pageBreakBefore w:val="0"/>
        <w:wordWrap w:val="0"/>
        <w:overflowPunct/>
        <w:topLinePunct w:val="0"/>
        <w:bidi w:val="0"/>
        <w:spacing w:line="317" w:lineRule="auto"/>
        <w:jc w:val="right"/>
        <w:rPr>
          <w:rFonts w:hint="eastAsia" w:ascii="宋体" w:hAnsi="宋体" w:eastAsia="宋体" w:cs="宋体"/>
          <w:color w:val="000000" w:themeColor="text1"/>
          <w:spacing w:val="0"/>
          <w:highlight w:val="none"/>
          <w14:textFill>
            <w14:solidFill>
              <w14:schemeClr w14:val="tx1"/>
            </w14:solidFill>
          </w14:textFill>
        </w:rPr>
      </w:pPr>
    </w:p>
    <w:p w14:paraId="355329DE">
      <w:pPr>
        <w:pStyle w:val="5"/>
        <w:keepNext w:val="0"/>
        <w:keepLines w:val="0"/>
        <w:pageBreakBefore w:val="0"/>
        <w:wordWrap w:val="0"/>
        <w:overflowPunct/>
        <w:topLinePunct w:val="0"/>
        <w:bidi w:val="0"/>
        <w:spacing w:line="317" w:lineRule="auto"/>
        <w:jc w:val="right"/>
        <w:rPr>
          <w:rFonts w:hint="eastAsia" w:ascii="宋体" w:hAnsi="宋体" w:eastAsia="宋体" w:cs="宋体"/>
          <w:color w:val="000000" w:themeColor="text1"/>
          <w:spacing w:val="0"/>
          <w:highlight w:val="none"/>
          <w14:textFill>
            <w14:solidFill>
              <w14:schemeClr w14:val="tx1"/>
            </w14:solidFill>
          </w14:textFill>
        </w:rPr>
      </w:pPr>
    </w:p>
    <w:p w14:paraId="6910EDC1">
      <w:pPr>
        <w:pStyle w:val="5"/>
        <w:keepNext w:val="0"/>
        <w:keepLines w:val="0"/>
        <w:pageBreakBefore w:val="0"/>
        <w:wordWrap w:val="0"/>
        <w:overflowPunct/>
        <w:topLinePunct w:val="0"/>
        <w:bidi w:val="0"/>
        <w:spacing w:line="317" w:lineRule="auto"/>
        <w:jc w:val="right"/>
        <w:rPr>
          <w:rFonts w:hint="eastAsia" w:ascii="宋体" w:hAnsi="宋体" w:eastAsia="宋体" w:cs="宋体"/>
          <w:color w:val="000000" w:themeColor="text1"/>
          <w:spacing w:val="0"/>
          <w:highlight w:val="none"/>
          <w14:textFill>
            <w14:solidFill>
              <w14:schemeClr w14:val="tx1"/>
            </w14:solidFill>
          </w14:textFill>
        </w:rPr>
      </w:pPr>
    </w:p>
    <w:p w14:paraId="14A7032E">
      <w:pPr>
        <w:keepNext w:val="0"/>
        <w:keepLines w:val="0"/>
        <w:pageBreakBefore w:val="0"/>
        <w:wordWrap w:val="0"/>
        <w:overflowPunct/>
        <w:topLinePunct w:val="0"/>
        <w:bidi w:val="0"/>
        <w:spacing w:before="79" w:line="219" w:lineRule="auto"/>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法定代表人：</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（签字或盖章）</w:t>
      </w:r>
    </w:p>
    <w:p w14:paraId="109F911F">
      <w:pPr>
        <w:pStyle w:val="5"/>
        <w:keepNext w:val="0"/>
        <w:keepLines w:val="0"/>
        <w:pageBreakBefore w:val="0"/>
        <w:wordWrap w:val="0"/>
        <w:overflowPunct/>
        <w:topLinePunct w:val="0"/>
        <w:bidi w:val="0"/>
        <w:spacing w:line="257" w:lineRule="auto"/>
        <w:jc w:val="right"/>
        <w:rPr>
          <w:rFonts w:hint="eastAsia" w:ascii="宋体" w:hAnsi="宋体" w:eastAsia="宋体" w:cs="宋体"/>
          <w:color w:val="000000" w:themeColor="text1"/>
          <w:spacing w:val="0"/>
          <w:highlight w:val="none"/>
          <w14:textFill>
            <w14:solidFill>
              <w14:schemeClr w14:val="tx1"/>
            </w14:solidFill>
          </w14:textFill>
        </w:rPr>
      </w:pPr>
    </w:p>
    <w:p w14:paraId="24B1B1E8">
      <w:pPr>
        <w:pStyle w:val="5"/>
        <w:keepNext w:val="0"/>
        <w:keepLines w:val="0"/>
        <w:pageBreakBefore w:val="0"/>
        <w:wordWrap w:val="0"/>
        <w:overflowPunct/>
        <w:topLinePunct w:val="0"/>
        <w:bidi w:val="0"/>
        <w:spacing w:line="257" w:lineRule="auto"/>
        <w:jc w:val="right"/>
        <w:rPr>
          <w:rFonts w:hint="eastAsia" w:ascii="宋体" w:hAnsi="宋体" w:eastAsia="宋体" w:cs="宋体"/>
          <w:color w:val="000000" w:themeColor="text1"/>
          <w:spacing w:val="0"/>
          <w:highlight w:val="none"/>
          <w14:textFill>
            <w14:solidFill>
              <w14:schemeClr w14:val="tx1"/>
            </w14:solidFill>
          </w14:textFill>
        </w:rPr>
      </w:pPr>
    </w:p>
    <w:p w14:paraId="033908D8">
      <w:pPr>
        <w:pStyle w:val="5"/>
        <w:keepNext w:val="0"/>
        <w:keepLines w:val="0"/>
        <w:pageBreakBefore w:val="0"/>
        <w:wordWrap w:val="0"/>
        <w:overflowPunct/>
        <w:topLinePunct w:val="0"/>
        <w:bidi w:val="0"/>
        <w:spacing w:line="254" w:lineRule="auto"/>
        <w:jc w:val="right"/>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年</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月</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日</w:t>
      </w:r>
    </w:p>
    <w:p w14:paraId="4CB3CC8E">
      <w:pPr>
        <w:pStyle w:val="5"/>
        <w:keepNext w:val="0"/>
        <w:keepLines w:val="0"/>
        <w:pageBreakBefore w:val="0"/>
        <w:wordWrap w:val="0"/>
        <w:overflowPunct/>
        <w:topLinePunct w:val="0"/>
        <w:bidi w:val="0"/>
        <w:spacing w:line="254" w:lineRule="auto"/>
        <w:rPr>
          <w:rFonts w:hint="eastAsia" w:ascii="宋体" w:hAnsi="宋体" w:eastAsia="宋体" w:cs="宋体"/>
          <w:color w:val="000000" w:themeColor="text1"/>
          <w:spacing w:val="0"/>
          <w:highlight w:val="none"/>
          <w14:textFill>
            <w14:solidFill>
              <w14:schemeClr w14:val="tx1"/>
            </w14:solidFill>
          </w14:textFill>
        </w:rPr>
      </w:pPr>
    </w:p>
    <w:p w14:paraId="1A118B4E">
      <w:pPr>
        <w:pStyle w:val="5"/>
        <w:keepNext w:val="0"/>
        <w:keepLines w:val="0"/>
        <w:pageBreakBefore w:val="0"/>
        <w:wordWrap w:val="0"/>
        <w:overflowPunct/>
        <w:topLinePunct w:val="0"/>
        <w:bidi w:val="0"/>
        <w:spacing w:line="254" w:lineRule="auto"/>
        <w:rPr>
          <w:rFonts w:hint="eastAsia" w:ascii="宋体" w:hAnsi="宋体" w:eastAsia="宋体" w:cs="宋体"/>
          <w:color w:val="000000" w:themeColor="text1"/>
          <w:spacing w:val="0"/>
          <w:highlight w:val="none"/>
          <w14:textFill>
            <w14:solidFill>
              <w14:schemeClr w14:val="tx1"/>
            </w14:solidFill>
          </w14:textFill>
        </w:rPr>
      </w:pPr>
    </w:p>
    <w:p w14:paraId="29B7FFB7">
      <w:pPr>
        <w:pStyle w:val="5"/>
        <w:keepNext w:val="0"/>
        <w:keepLines w:val="0"/>
        <w:pageBreakBefore w:val="0"/>
        <w:wordWrap w:val="0"/>
        <w:overflowPunct/>
        <w:topLinePunct w:val="0"/>
        <w:bidi w:val="0"/>
        <w:spacing w:line="254" w:lineRule="auto"/>
        <w:rPr>
          <w:rFonts w:hint="eastAsia" w:ascii="宋体" w:hAnsi="宋体" w:eastAsia="宋体" w:cs="宋体"/>
          <w:color w:val="000000" w:themeColor="text1"/>
          <w:spacing w:val="0"/>
          <w:highlight w:val="none"/>
          <w14:textFill>
            <w14:solidFill>
              <w14:schemeClr w14:val="tx1"/>
            </w14:solidFill>
          </w14:textFill>
        </w:rPr>
      </w:pPr>
    </w:p>
    <w:p w14:paraId="3FB212A0">
      <w:pPr>
        <w:pStyle w:val="5"/>
        <w:keepNext w:val="0"/>
        <w:keepLines w:val="0"/>
        <w:pageBreakBefore w:val="0"/>
        <w:wordWrap w:val="0"/>
        <w:overflowPunct/>
        <w:topLinePunct w:val="0"/>
        <w:bidi w:val="0"/>
        <w:spacing w:line="254" w:lineRule="auto"/>
        <w:rPr>
          <w:rFonts w:hint="eastAsia" w:ascii="宋体" w:hAnsi="宋体" w:eastAsia="宋体" w:cs="宋体"/>
          <w:color w:val="000000" w:themeColor="text1"/>
          <w:spacing w:val="0"/>
          <w:highlight w:val="none"/>
          <w14:textFill>
            <w14:solidFill>
              <w14:schemeClr w14:val="tx1"/>
            </w14:solidFill>
          </w14:textFill>
        </w:rPr>
      </w:pPr>
    </w:p>
    <w:p w14:paraId="661DD784">
      <w:pPr>
        <w:pStyle w:val="5"/>
        <w:keepNext w:val="0"/>
        <w:keepLines w:val="0"/>
        <w:pageBreakBefore w:val="0"/>
        <w:wordWrap w:val="0"/>
        <w:overflowPunct/>
        <w:topLinePunct w:val="0"/>
        <w:bidi w:val="0"/>
        <w:spacing w:line="255" w:lineRule="auto"/>
        <w:rPr>
          <w:rFonts w:hint="eastAsia" w:ascii="宋体" w:hAnsi="宋体" w:eastAsia="宋体" w:cs="宋体"/>
          <w:color w:val="000000" w:themeColor="text1"/>
          <w:spacing w:val="0"/>
          <w:highlight w:val="none"/>
          <w14:textFill>
            <w14:solidFill>
              <w14:schemeClr w14:val="tx1"/>
            </w14:solidFill>
          </w14:textFill>
        </w:rPr>
      </w:pPr>
    </w:p>
    <w:p w14:paraId="4F8DA62D">
      <w:pPr>
        <w:pStyle w:val="5"/>
        <w:keepNext w:val="0"/>
        <w:keepLines w:val="0"/>
        <w:pageBreakBefore w:val="0"/>
        <w:wordWrap w:val="0"/>
        <w:overflowPunct/>
        <w:topLinePunct w:val="0"/>
        <w:bidi w:val="0"/>
        <w:spacing w:line="255" w:lineRule="auto"/>
        <w:rPr>
          <w:rFonts w:hint="eastAsia" w:ascii="宋体" w:hAnsi="宋体" w:eastAsia="宋体" w:cs="宋体"/>
          <w:color w:val="000000" w:themeColor="text1"/>
          <w:spacing w:val="0"/>
          <w:highlight w:val="none"/>
          <w14:textFill>
            <w14:solidFill>
              <w14:schemeClr w14:val="tx1"/>
            </w14:solidFill>
          </w14:textFill>
        </w:rPr>
      </w:pPr>
    </w:p>
    <w:p w14:paraId="67391F7A">
      <w:pPr>
        <w:pStyle w:val="5"/>
        <w:keepNext w:val="0"/>
        <w:keepLines w:val="0"/>
        <w:pageBreakBefore w:val="0"/>
        <w:wordWrap w:val="0"/>
        <w:overflowPunct/>
        <w:topLinePunct w:val="0"/>
        <w:bidi w:val="0"/>
        <w:spacing w:before="1" w:line="2510" w:lineRule="exact"/>
        <w:ind w:firstLine="2534"/>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position w:val="-50"/>
          <w:highlight w:val="none"/>
          <w14:textFill>
            <w14:solidFill>
              <w14:schemeClr w14:val="tx1"/>
            </w14:solidFill>
          </w14:textFill>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4"/>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30B2BA37">
                              <w:pPr>
                                <w:spacing w:line="249" w:lineRule="auto"/>
                                <w:rPr>
                                  <w:highlight w:val="none"/>
                                </w:rPr>
                              </w:pPr>
                            </w:p>
                            <w:p w14:paraId="0A32F196">
                              <w:pPr>
                                <w:spacing w:line="249" w:lineRule="auto"/>
                                <w:rPr>
                                  <w:highlight w:val="none"/>
                                </w:rPr>
                              </w:pPr>
                            </w:p>
                            <w:p w14:paraId="6C01FF1E">
                              <w:pPr>
                                <w:spacing w:line="249" w:lineRule="auto"/>
                                <w:rPr>
                                  <w:highlight w:val="none"/>
                                </w:rPr>
                              </w:pPr>
                            </w:p>
                            <w:p w14:paraId="5F468A72">
                              <w:pPr>
                                <w:spacing w:line="249" w:lineRule="auto"/>
                                <w:rPr>
                                  <w:highlight w:val="none"/>
                                </w:rPr>
                              </w:pPr>
                            </w:p>
                            <w:p w14:paraId="3437CEDB">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4"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0B2BA37">
                        <w:pPr>
                          <w:spacing w:line="249" w:lineRule="auto"/>
                          <w:rPr>
                            <w:highlight w:val="none"/>
                          </w:rPr>
                        </w:pPr>
                      </w:p>
                      <w:p w14:paraId="0A32F196">
                        <w:pPr>
                          <w:spacing w:line="249" w:lineRule="auto"/>
                          <w:rPr>
                            <w:highlight w:val="none"/>
                          </w:rPr>
                        </w:pPr>
                      </w:p>
                      <w:p w14:paraId="6C01FF1E">
                        <w:pPr>
                          <w:spacing w:line="249" w:lineRule="auto"/>
                          <w:rPr>
                            <w:highlight w:val="none"/>
                          </w:rPr>
                        </w:pPr>
                      </w:p>
                      <w:p w14:paraId="5F468A72">
                        <w:pPr>
                          <w:spacing w:line="249" w:lineRule="auto"/>
                          <w:rPr>
                            <w:highlight w:val="none"/>
                          </w:rPr>
                        </w:pPr>
                      </w:p>
                      <w:p w14:paraId="3437CEDB">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v:textbox>
                </v:shape>
                <w10:wrap type="none"/>
                <w10:anchorlock/>
              </v:group>
            </w:pict>
          </mc:Fallback>
        </mc:AlternateContent>
      </w:r>
    </w:p>
    <w:p w14:paraId="2BB2EBC8">
      <w:pPr>
        <w:keepNext w:val="0"/>
        <w:keepLines w:val="0"/>
        <w:pageBreakBefore w:val="0"/>
        <w:wordWrap w:val="0"/>
        <w:overflowPunct/>
        <w:topLinePunct w:val="0"/>
        <w:bidi w:val="0"/>
        <w:spacing w:line="2510" w:lineRule="exact"/>
        <w:rPr>
          <w:rFonts w:hint="eastAsia" w:ascii="宋体" w:hAnsi="宋体" w:eastAsia="宋体" w:cs="宋体"/>
          <w:color w:val="000000" w:themeColor="text1"/>
          <w:spacing w:val="0"/>
          <w:highlight w:val="none"/>
          <w14:textFill>
            <w14:solidFill>
              <w14:schemeClr w14:val="tx1"/>
            </w14:solidFill>
          </w14:textFill>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DAF3FC7">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33" w:name="_Toc30582"/>
      <w:r>
        <w:rPr>
          <w:rFonts w:hint="eastAsia" w:ascii="宋体" w:hAnsi="宋体" w:eastAsia="宋体" w:cs="宋体"/>
          <w:b/>
          <w:bCs/>
          <w:color w:val="000000" w:themeColor="text1"/>
          <w:spacing w:val="0"/>
          <w:sz w:val="24"/>
          <w:szCs w:val="24"/>
          <w:highlight w:val="none"/>
          <w14:textFill>
            <w14:solidFill>
              <w14:schemeClr w14:val="tx1"/>
            </w14:solidFill>
          </w14:textFill>
        </w:rPr>
        <w:t>格式六 联合体协议书</w:t>
      </w:r>
      <w:bookmarkEnd w:id="233"/>
    </w:p>
    <w:p w14:paraId="7EE6374E">
      <w:pPr>
        <w:keepNext w:val="0"/>
        <w:keepLines w:val="0"/>
        <w:pageBreakBefore w:val="0"/>
        <w:wordWrap w:val="0"/>
        <w:overflowPunct/>
        <w:topLinePunct w:val="0"/>
        <w:bidi w:val="0"/>
        <w:spacing w:before="98" w:line="219" w:lineRule="auto"/>
        <w:ind w:left="3638"/>
        <w:rPr>
          <w:rFonts w:hint="eastAsia" w:ascii="宋体" w:hAnsi="宋体" w:eastAsia="宋体" w:cs="宋体"/>
          <w:color w:val="000000" w:themeColor="text1"/>
          <w:spacing w:val="0"/>
          <w:sz w:val="30"/>
          <w:szCs w:val="30"/>
          <w:highlight w:val="none"/>
          <w14:textFill>
            <w14:solidFill>
              <w14:schemeClr w14:val="tx1"/>
            </w14:solidFill>
          </w14:textFill>
        </w:rPr>
      </w:pPr>
      <w:bookmarkStart w:id="234" w:name="bookmark153"/>
      <w:bookmarkEnd w:id="234"/>
      <w:r>
        <w:rPr>
          <w:rFonts w:hint="eastAsia" w:ascii="宋体" w:hAnsi="宋体" w:eastAsia="宋体" w:cs="宋体"/>
          <w:b/>
          <w:bCs/>
          <w:color w:val="000000" w:themeColor="text1"/>
          <w:spacing w:val="0"/>
          <w:sz w:val="30"/>
          <w:szCs w:val="30"/>
          <w:highlight w:val="none"/>
          <w14:textFill>
            <w14:solidFill>
              <w14:schemeClr w14:val="tx1"/>
            </w14:solidFill>
          </w14:textFill>
        </w:rPr>
        <w:t>联合体协议书</w:t>
      </w:r>
    </w:p>
    <w:p w14:paraId="66B66C30">
      <w:pPr>
        <w:pStyle w:val="5"/>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000000" w:themeColor="text1"/>
          <w:spacing w:val="0"/>
          <w:highlight w:val="none"/>
          <w14:textFill>
            <w14:solidFill>
              <w14:schemeClr w14:val="tx1"/>
            </w14:solidFill>
          </w14:textFill>
        </w:rPr>
      </w:pPr>
    </w:p>
    <w:p w14:paraId="2B0D39DC">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牵头人名称： </w:t>
      </w:r>
    </w:p>
    <w:p w14:paraId="0F9C623A">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法定代表人： </w:t>
      </w:r>
    </w:p>
    <w:p w14:paraId="61337983">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法定住所：</w:t>
      </w:r>
    </w:p>
    <w:p w14:paraId="0B7EEC45">
      <w:pPr>
        <w:keepNext w:val="0"/>
        <w:keepLines w:val="0"/>
        <w:pageBreakBefore w:val="0"/>
        <w:wordWrap w:val="0"/>
        <w:overflowPunct/>
        <w:topLinePunct w:val="0"/>
        <w:bidi w:val="0"/>
        <w:outlineLvl w:val="9"/>
        <w:rPr>
          <w:rFonts w:hint="eastAsia" w:ascii="宋体" w:hAnsi="宋体" w:eastAsia="宋体" w:cs="宋体"/>
          <w:color w:val="000000" w:themeColor="text1"/>
          <w:spacing w:val="0"/>
          <w:highlight w:val="none"/>
          <w14:textFill>
            <w14:solidFill>
              <w14:schemeClr w14:val="tx1"/>
            </w14:solidFill>
          </w14:textFill>
        </w:rPr>
      </w:pPr>
    </w:p>
    <w:p w14:paraId="207AD2AE">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成员二名称： </w:t>
      </w:r>
    </w:p>
    <w:p w14:paraId="35C3774A">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法定代表人： </w:t>
      </w:r>
    </w:p>
    <w:p w14:paraId="4A1D6D63">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法定住所：</w:t>
      </w:r>
    </w:p>
    <w:p w14:paraId="7C0F8432">
      <w:pPr>
        <w:keepNext w:val="0"/>
        <w:keepLines w:val="0"/>
        <w:pageBreakBefore w:val="0"/>
        <w:widowControl/>
        <w:kinsoku w:val="0"/>
        <w:wordWrap w:val="0"/>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3"/>
          <w:sz w:val="24"/>
          <w:szCs w:val="24"/>
          <w:highlight w:val="none"/>
          <w14:textFill>
            <w14:solidFill>
              <w14:schemeClr w14:val="tx1"/>
            </w14:solidFill>
          </w14:textFill>
        </w:rPr>
        <w:t>……</w:t>
      </w:r>
    </w:p>
    <w:p w14:paraId="09D55383">
      <w:pPr>
        <w:keepNext w:val="0"/>
        <w:keepLines w:val="0"/>
        <w:pageBreakBefore w:val="0"/>
        <w:widowControl/>
        <w:kinsoku w:val="0"/>
        <w:wordWrap w:val="0"/>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上述各成员单位经过友好协商，自愿组成联合体，共同参加（项目名称）（以下简 称“本项目 ”）的施工投标并争取赢得本项目施工承包合同（以下简称合同）。现就联 合体投标事宜订立如下协议：</w:t>
      </w:r>
    </w:p>
    <w:p w14:paraId="470AEF9A">
      <w:pPr>
        <w:keepNext w:val="0"/>
        <w:keepLines w:val="0"/>
        <w:pageBreakBefore w:val="0"/>
        <w:widowControl/>
        <w:kinsoku w:val="0"/>
        <w:wordWrap w:val="0"/>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 ．（某成员单位名称）为联合体牵头人。</w:t>
      </w:r>
    </w:p>
    <w:p w14:paraId="01E61A89">
      <w:pPr>
        <w:keepNext w:val="0"/>
        <w:keepLines w:val="0"/>
        <w:pageBreakBefore w:val="0"/>
        <w:widowControl/>
        <w:kinsoku w:val="0"/>
        <w:wordWrap w:val="0"/>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 ．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1F9A22CE">
      <w:pPr>
        <w:keepNext w:val="0"/>
        <w:keepLines w:val="0"/>
        <w:pageBreakBefore w:val="0"/>
        <w:widowControl/>
        <w:kinsoku w:val="0"/>
        <w:wordWrap w:val="0"/>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 ．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4ADCDF28">
      <w:pPr>
        <w:keepNext w:val="0"/>
        <w:keepLines w:val="0"/>
        <w:pageBreakBefore w:val="0"/>
        <w:widowControl/>
        <w:kinsoku w:val="0"/>
        <w:wordWrap w:val="0"/>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235" w:name="_Toc32149"/>
      <w:bookmarkStart w:id="236" w:name="_Toc5365"/>
      <w:r>
        <w:rPr>
          <w:rFonts w:hint="eastAsia" w:ascii="宋体" w:hAnsi="宋体" w:eastAsia="宋体" w:cs="宋体"/>
          <w:color w:val="000000" w:themeColor="text1"/>
          <w:spacing w:val="0"/>
          <w:sz w:val="24"/>
          <w:szCs w:val="24"/>
          <w:highlight w:val="none"/>
          <w14:textFill>
            <w14:solidFill>
              <w14:schemeClr w14:val="tx1"/>
            </w14:solidFill>
          </w14:textFill>
        </w:rPr>
        <w:t>4 ．联合体各成员单位内部的职责分工如下：。</w:t>
      </w:r>
      <w:bookmarkEnd w:id="235"/>
      <w:bookmarkEnd w:id="236"/>
    </w:p>
    <w:p w14:paraId="66972B38">
      <w:pPr>
        <w:keepNext w:val="0"/>
        <w:keepLines w:val="0"/>
        <w:pageBreakBefore w:val="0"/>
        <w:widowControl/>
        <w:kinsoku w:val="0"/>
        <w:wordWrap w:val="0"/>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 ．投标工作和联合体在中标后工程实施过程中的有关费用按各自承担的工作量分摊。</w:t>
      </w:r>
    </w:p>
    <w:p w14:paraId="16602AE1">
      <w:pPr>
        <w:keepNext w:val="0"/>
        <w:keepLines w:val="0"/>
        <w:pageBreakBefore w:val="0"/>
        <w:widowControl/>
        <w:kinsoku w:val="0"/>
        <w:wordWrap w:val="0"/>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 ．联合体中标后，本联合体协议是合同的附件，对联合体各成员单位有合同约束力。</w:t>
      </w:r>
    </w:p>
    <w:p w14:paraId="4A791BDA">
      <w:pPr>
        <w:keepNext w:val="0"/>
        <w:keepLines w:val="0"/>
        <w:pageBreakBefore w:val="0"/>
        <w:widowControl/>
        <w:kinsoku w:val="0"/>
        <w:wordWrap w:val="0"/>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 ．本协议书自签署之日起生效，联合体未中标或者中标时合同履行完毕后自动失效。</w:t>
      </w:r>
    </w:p>
    <w:p w14:paraId="45E52A06">
      <w:pPr>
        <w:keepNext w:val="0"/>
        <w:keepLines w:val="0"/>
        <w:pageBreakBefore w:val="0"/>
        <w:widowControl/>
        <w:kinsoku w:val="0"/>
        <w:wordWrap w:val="0"/>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237" w:name="_Toc22612"/>
      <w:bookmarkStart w:id="238" w:name="_Toc26708"/>
      <w:r>
        <w:rPr>
          <w:rFonts w:hint="eastAsia" w:ascii="宋体" w:hAnsi="宋体" w:eastAsia="宋体" w:cs="宋体"/>
          <w:color w:val="000000" w:themeColor="text1"/>
          <w:spacing w:val="0"/>
          <w:sz w:val="24"/>
          <w:szCs w:val="24"/>
          <w:highlight w:val="none"/>
          <w14:textFill>
            <w14:solidFill>
              <w14:schemeClr w14:val="tx1"/>
            </w14:solidFill>
          </w14:textFill>
        </w:rPr>
        <w:t>8 ．本协议书一式份，联合体成员和招标人各执一份。</w:t>
      </w:r>
      <w:bookmarkEnd w:id="237"/>
      <w:bookmarkEnd w:id="238"/>
    </w:p>
    <w:p w14:paraId="7383C992">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bookmarkStart w:id="239" w:name="bookmark154"/>
      <w:bookmarkEnd w:id="239"/>
      <w:r>
        <w:rPr>
          <w:rFonts w:hint="eastAsia" w:ascii="宋体" w:hAnsi="宋体" w:eastAsia="宋体" w:cs="宋体"/>
          <w:color w:val="000000" w:themeColor="text1"/>
          <w:spacing w:val="0"/>
          <w:sz w:val="24"/>
          <w:szCs w:val="24"/>
          <w:highlight w:val="none"/>
          <w14:textFill>
            <w14:solidFill>
              <w14:schemeClr w14:val="tx1"/>
            </w14:solidFill>
          </w14:textFill>
        </w:rPr>
        <w:t>牵头人名称：</w:t>
      </w:r>
      <w:r>
        <w:rPr>
          <w:rFonts w:hint="eastAsia" w:ascii="宋体" w:hAnsi="宋体" w:eastAsia="宋体" w:cs="宋体"/>
          <w:snapToGrid w:val="0"/>
          <w:color w:val="000000" w:themeColor="text1"/>
          <w:spacing w:val="0"/>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（盖单位章）</w:t>
      </w:r>
    </w:p>
    <w:p w14:paraId="473F3796">
      <w:pPr>
        <w:pStyle w:val="5"/>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000000" w:themeColor="text1"/>
          <w:spacing w:val="0"/>
          <w:highlight w:val="none"/>
          <w14:textFill>
            <w14:solidFill>
              <w14:schemeClr w14:val="tx1"/>
            </w14:solidFill>
          </w14:textFill>
        </w:rPr>
      </w:pPr>
    </w:p>
    <w:p w14:paraId="5326D8EF">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法定代表人或其委托代理人：</w:t>
      </w:r>
      <w:r>
        <w:rPr>
          <w:rFonts w:hint="eastAsia" w:ascii="宋体" w:hAnsi="宋体" w:eastAsia="宋体" w:cs="宋体"/>
          <w:snapToGrid w:val="0"/>
          <w:color w:val="000000" w:themeColor="text1"/>
          <w:spacing w:val="0"/>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（签字或盖章）</w:t>
      </w:r>
    </w:p>
    <w:p w14:paraId="4A50685C">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成员二名称：</w:t>
      </w:r>
      <w:r>
        <w:rPr>
          <w:rFonts w:hint="eastAsia" w:ascii="宋体" w:hAnsi="宋体" w:eastAsia="宋体" w:cs="宋体"/>
          <w:snapToGrid w:val="0"/>
          <w:color w:val="000000" w:themeColor="text1"/>
          <w:spacing w:val="0"/>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（盖单位章）</w:t>
      </w:r>
    </w:p>
    <w:p w14:paraId="5B247C4F">
      <w:pPr>
        <w:pStyle w:val="5"/>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000000" w:themeColor="text1"/>
          <w:spacing w:val="0"/>
          <w:highlight w:val="none"/>
          <w14:textFill>
            <w14:solidFill>
              <w14:schemeClr w14:val="tx1"/>
            </w14:solidFill>
          </w14:textFill>
        </w:rPr>
      </w:pPr>
    </w:p>
    <w:p w14:paraId="1EC39C4E">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法定代表人或其委托代理人：</w:t>
      </w:r>
      <w:r>
        <w:rPr>
          <w:rFonts w:hint="eastAsia" w:ascii="宋体" w:hAnsi="宋体" w:eastAsia="宋体" w:cs="宋体"/>
          <w:snapToGrid w:val="0"/>
          <w:color w:val="000000" w:themeColor="text1"/>
          <w:spacing w:val="0"/>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（签字或盖章）</w:t>
      </w:r>
    </w:p>
    <w:p w14:paraId="2C910984">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年</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月</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日</w:t>
      </w:r>
    </w:p>
    <w:p w14:paraId="53670306">
      <w:pPr>
        <w:pStyle w:val="5"/>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000000" w:themeColor="text1"/>
          <w:spacing w:val="0"/>
          <w:highlight w:val="none"/>
          <w14:textFill>
            <w14:solidFill>
              <w14:schemeClr w14:val="tx1"/>
            </w14:solidFill>
          </w14:textFill>
        </w:rPr>
      </w:pPr>
    </w:p>
    <w:p w14:paraId="7C2788A4">
      <w:pPr>
        <w:keepNext w:val="0"/>
        <w:keepLines w:val="0"/>
        <w:pageBreakBefore w:val="0"/>
        <w:widowControl/>
        <w:kinsoku w:val="0"/>
        <w:wordWrap w:val="0"/>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000000" w:themeColor="text1"/>
          <w:spacing w:val="0"/>
          <w:sz w:val="20"/>
          <w:szCs w:val="20"/>
          <w:highlight w:val="none"/>
          <w14:textFill>
            <w14:solidFill>
              <w14:schemeClr w14:val="tx1"/>
            </w14:solidFill>
          </w14:textFill>
        </w:rPr>
      </w:pPr>
      <w:r>
        <w:rPr>
          <w:rFonts w:hint="eastAsia" w:ascii="宋体" w:hAnsi="宋体" w:eastAsia="宋体" w:cs="宋体"/>
          <w:color w:val="000000" w:themeColor="text1"/>
          <w:spacing w:val="0"/>
          <w:sz w:val="20"/>
          <w:szCs w:val="20"/>
          <w:highlight w:val="none"/>
          <w14:textFill>
            <w14:solidFill>
              <w14:schemeClr w14:val="tx1"/>
            </w14:solidFill>
          </w14:textFill>
        </w:rPr>
        <w:t>说明：《联合体协议书》 由委托代理人签字或盖章的，应附法定代表人签字或盖章的授权委托书。</w:t>
      </w:r>
    </w:p>
    <w:p w14:paraId="1A78BC6F">
      <w:pPr>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000000" w:themeColor="text1"/>
          <w:spacing w:val="0"/>
          <w:sz w:val="20"/>
          <w:szCs w:val="20"/>
          <w:highlight w:val="none"/>
          <w14:textFill>
            <w14:solidFill>
              <w14:schemeClr w14:val="tx1"/>
            </w14:solidFill>
          </w14:textFill>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29AF8C9">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40" w:name="_Toc29841"/>
      <w:r>
        <w:rPr>
          <w:rFonts w:hint="eastAsia" w:ascii="宋体" w:hAnsi="宋体" w:eastAsia="宋体" w:cs="宋体"/>
          <w:b/>
          <w:bCs/>
          <w:color w:val="000000" w:themeColor="text1"/>
          <w:spacing w:val="0"/>
          <w:sz w:val="24"/>
          <w:szCs w:val="24"/>
          <w:highlight w:val="none"/>
          <w14:textFill>
            <w14:solidFill>
              <w14:schemeClr w14:val="tx1"/>
            </w14:solidFill>
          </w14:textFill>
        </w:rPr>
        <w:t>格式七 投标人基本情况表</w:t>
      </w:r>
      <w:bookmarkEnd w:id="240"/>
    </w:p>
    <w:p w14:paraId="3C060929">
      <w:pPr>
        <w:keepNext w:val="0"/>
        <w:keepLines w:val="0"/>
        <w:pageBreakBefore w:val="0"/>
        <w:wordWrap w:val="0"/>
        <w:overflowPunct/>
        <w:topLinePunct w:val="0"/>
        <w:bidi w:val="0"/>
        <w:spacing w:before="333" w:line="219" w:lineRule="auto"/>
        <w:ind w:left="3350"/>
        <w:rPr>
          <w:rFonts w:hint="eastAsia" w:ascii="宋体" w:hAnsi="宋体" w:eastAsia="宋体" w:cs="宋体"/>
          <w:color w:val="000000" w:themeColor="text1"/>
          <w:spacing w:val="0"/>
          <w:sz w:val="30"/>
          <w:szCs w:val="30"/>
          <w:highlight w:val="none"/>
          <w14:textFill>
            <w14:solidFill>
              <w14:schemeClr w14:val="tx1"/>
            </w14:solidFill>
          </w14:textFill>
        </w:rPr>
      </w:pPr>
      <w:r>
        <w:rPr>
          <w:rFonts w:hint="eastAsia" w:ascii="宋体" w:hAnsi="宋体" w:eastAsia="宋体" w:cs="宋体"/>
          <w:b/>
          <w:bCs/>
          <w:color w:val="000000" w:themeColor="text1"/>
          <w:spacing w:val="0"/>
          <w:sz w:val="30"/>
          <w:szCs w:val="30"/>
          <w:highlight w:val="none"/>
          <w14:textFill>
            <w14:solidFill>
              <w14:schemeClr w14:val="tx1"/>
            </w14:solidFill>
          </w14:textFill>
        </w:rPr>
        <w:t>投标人基本情况表</w:t>
      </w:r>
    </w:p>
    <w:p w14:paraId="06DA9422">
      <w:pPr>
        <w:keepNext w:val="0"/>
        <w:keepLines w:val="0"/>
        <w:pageBreakBefore w:val="0"/>
        <w:wordWrap w:val="0"/>
        <w:overflowPunct/>
        <w:topLinePunct w:val="0"/>
        <w:bidi w:val="0"/>
        <w:spacing w:line="239" w:lineRule="exact"/>
        <w:rPr>
          <w:rFonts w:hint="eastAsia" w:ascii="宋体" w:hAnsi="宋体" w:eastAsia="宋体" w:cs="宋体"/>
          <w:color w:val="000000" w:themeColor="text1"/>
          <w:spacing w:val="0"/>
          <w:highlight w:val="none"/>
          <w14:textFill>
            <w14:solidFill>
              <w14:schemeClr w14:val="tx1"/>
            </w14:solidFill>
          </w14:textFill>
        </w:rPr>
      </w:pPr>
    </w:p>
    <w:tbl>
      <w:tblPr>
        <w:tblStyle w:val="14"/>
        <w:tblW w:w="9259"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033E4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74A7C5BF">
            <w:pPr>
              <w:keepNext w:val="0"/>
              <w:keepLines w:val="0"/>
              <w:pageBreakBefore w:val="0"/>
              <w:widowControl/>
              <w:kinsoku w:val="0"/>
              <w:wordWrap w:val="0"/>
              <w:overflowPunct/>
              <w:topLinePunct w:val="0"/>
              <w:autoSpaceDE w:val="0"/>
              <w:autoSpaceDN w:val="0"/>
              <w:bidi w:val="0"/>
              <w:adjustRightInd w:val="0"/>
              <w:snapToGrid w:val="0"/>
              <w:spacing w:before="149" w:line="24" w:lineRule="atLeast"/>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投标人名称</w:t>
            </w:r>
          </w:p>
        </w:tc>
        <w:tc>
          <w:tcPr>
            <w:tcW w:w="7639" w:type="dxa"/>
            <w:gridSpan w:val="8"/>
            <w:vAlign w:val="center"/>
          </w:tcPr>
          <w:p w14:paraId="0DB2A2CE">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32F10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65451CF9">
            <w:pPr>
              <w:keepNext w:val="0"/>
              <w:keepLines w:val="0"/>
              <w:pageBreakBefore w:val="0"/>
              <w:widowControl/>
              <w:kinsoku w:val="0"/>
              <w:wordWrap w:val="0"/>
              <w:overflowPunct/>
              <w:topLinePunct w:val="0"/>
              <w:autoSpaceDE w:val="0"/>
              <w:autoSpaceDN w:val="0"/>
              <w:bidi w:val="0"/>
              <w:adjustRightInd w:val="0"/>
              <w:snapToGrid w:val="0"/>
              <w:spacing w:before="144" w:line="24" w:lineRule="atLeast"/>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注册地址</w:t>
            </w:r>
          </w:p>
        </w:tc>
        <w:tc>
          <w:tcPr>
            <w:tcW w:w="3684" w:type="dxa"/>
            <w:gridSpan w:val="3"/>
            <w:vAlign w:val="center"/>
          </w:tcPr>
          <w:p w14:paraId="7BF1DE63">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54" w:type="dxa"/>
            <w:gridSpan w:val="2"/>
            <w:vAlign w:val="center"/>
          </w:tcPr>
          <w:p w14:paraId="6E7F119C">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邮政编码</w:t>
            </w:r>
          </w:p>
        </w:tc>
        <w:tc>
          <w:tcPr>
            <w:tcW w:w="2601" w:type="dxa"/>
            <w:gridSpan w:val="3"/>
            <w:vAlign w:val="center"/>
          </w:tcPr>
          <w:p w14:paraId="047A44F3">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75D48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Merge w:val="restart"/>
            <w:tcBorders>
              <w:bottom w:val="nil"/>
            </w:tcBorders>
            <w:vAlign w:val="center"/>
          </w:tcPr>
          <w:p w14:paraId="0F6ED57E">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联系方式</w:t>
            </w:r>
          </w:p>
        </w:tc>
        <w:tc>
          <w:tcPr>
            <w:tcW w:w="975" w:type="dxa"/>
            <w:vAlign w:val="center"/>
          </w:tcPr>
          <w:p w14:paraId="33FA9D06">
            <w:pPr>
              <w:keepNext w:val="0"/>
              <w:keepLines w:val="0"/>
              <w:pageBreakBefore w:val="0"/>
              <w:widowControl/>
              <w:kinsoku w:val="0"/>
              <w:wordWrap w:val="0"/>
              <w:overflowPunct/>
              <w:topLinePunct w:val="0"/>
              <w:autoSpaceDE w:val="0"/>
              <w:autoSpaceDN w:val="0"/>
              <w:bidi w:val="0"/>
              <w:adjustRightInd w:val="0"/>
              <w:snapToGrid w:val="0"/>
              <w:spacing w:before="145" w:line="231" w:lineRule="auto"/>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联系人</w:t>
            </w:r>
          </w:p>
        </w:tc>
        <w:tc>
          <w:tcPr>
            <w:tcW w:w="2709" w:type="dxa"/>
            <w:gridSpan w:val="2"/>
            <w:vAlign w:val="center"/>
          </w:tcPr>
          <w:p w14:paraId="3A1A86D3">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54" w:type="dxa"/>
            <w:gridSpan w:val="2"/>
            <w:vAlign w:val="center"/>
          </w:tcPr>
          <w:p w14:paraId="68D00D84">
            <w:pPr>
              <w:keepNext w:val="0"/>
              <w:keepLines w:val="0"/>
              <w:pageBreakBefore w:val="0"/>
              <w:widowControl/>
              <w:kinsoku w:val="0"/>
              <w:wordWrap w:val="0"/>
              <w:overflowPunct/>
              <w:topLinePunct w:val="0"/>
              <w:autoSpaceDE w:val="0"/>
              <w:autoSpaceDN w:val="0"/>
              <w:bidi w:val="0"/>
              <w:adjustRightInd w:val="0"/>
              <w:snapToGrid w:val="0"/>
              <w:spacing w:before="145" w:line="231" w:lineRule="auto"/>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电  话</w:t>
            </w:r>
          </w:p>
        </w:tc>
        <w:tc>
          <w:tcPr>
            <w:tcW w:w="2601" w:type="dxa"/>
            <w:gridSpan w:val="3"/>
            <w:vAlign w:val="center"/>
          </w:tcPr>
          <w:p w14:paraId="478BD977">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0EE24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Merge w:val="continue"/>
            <w:tcBorders>
              <w:top w:val="nil"/>
            </w:tcBorders>
            <w:vAlign w:val="center"/>
          </w:tcPr>
          <w:p w14:paraId="7E9A5F01">
            <w:pPr>
              <w:pStyle w:val="27"/>
              <w:keepNext w:val="0"/>
              <w:keepLines w:val="0"/>
              <w:pageBreakBefore w:val="0"/>
              <w:widowControl/>
              <w:kinsoku w:val="0"/>
              <w:wordWrap w:val="0"/>
              <w:overflowPunct/>
              <w:topLinePunct w:val="0"/>
              <w:autoSpaceDE w:val="0"/>
              <w:autoSpaceDN w:val="0"/>
              <w:bidi w:val="0"/>
              <w:adjustRightInd w:val="0"/>
              <w:snapToGrid w:val="0"/>
              <w:spacing w:line="24" w:lineRule="atLeast"/>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975" w:type="dxa"/>
            <w:vAlign w:val="center"/>
          </w:tcPr>
          <w:p w14:paraId="04A5A850">
            <w:pPr>
              <w:keepNext w:val="0"/>
              <w:keepLines w:val="0"/>
              <w:pageBreakBefore w:val="0"/>
              <w:widowControl/>
              <w:kinsoku w:val="0"/>
              <w:wordWrap w:val="0"/>
              <w:overflowPunct/>
              <w:topLinePunct w:val="0"/>
              <w:autoSpaceDE w:val="0"/>
              <w:autoSpaceDN w:val="0"/>
              <w:bidi w:val="0"/>
              <w:adjustRightInd w:val="0"/>
              <w:snapToGrid w:val="0"/>
              <w:spacing w:before="143" w:line="228" w:lineRule="auto"/>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传  真</w:t>
            </w:r>
          </w:p>
        </w:tc>
        <w:tc>
          <w:tcPr>
            <w:tcW w:w="2709" w:type="dxa"/>
            <w:gridSpan w:val="2"/>
            <w:vAlign w:val="center"/>
          </w:tcPr>
          <w:p w14:paraId="408C0231">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54" w:type="dxa"/>
            <w:gridSpan w:val="2"/>
            <w:vAlign w:val="center"/>
          </w:tcPr>
          <w:p w14:paraId="7C350B75">
            <w:pPr>
              <w:keepNext w:val="0"/>
              <w:keepLines w:val="0"/>
              <w:pageBreakBefore w:val="0"/>
              <w:widowControl/>
              <w:kinsoku w:val="0"/>
              <w:wordWrap w:val="0"/>
              <w:overflowPunct/>
              <w:topLinePunct w:val="0"/>
              <w:autoSpaceDE w:val="0"/>
              <w:autoSpaceDN w:val="0"/>
              <w:bidi w:val="0"/>
              <w:adjustRightInd w:val="0"/>
              <w:snapToGrid w:val="0"/>
              <w:spacing w:before="144" w:line="229" w:lineRule="auto"/>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电子邮箱</w:t>
            </w:r>
          </w:p>
        </w:tc>
        <w:tc>
          <w:tcPr>
            <w:tcW w:w="2601" w:type="dxa"/>
            <w:gridSpan w:val="3"/>
            <w:vAlign w:val="center"/>
          </w:tcPr>
          <w:p w14:paraId="717515D4">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60C3F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33F0792">
            <w:pPr>
              <w:keepNext w:val="0"/>
              <w:keepLines w:val="0"/>
              <w:pageBreakBefore w:val="0"/>
              <w:widowControl/>
              <w:kinsoku w:val="0"/>
              <w:wordWrap w:val="0"/>
              <w:overflowPunct/>
              <w:topLinePunct w:val="0"/>
              <w:autoSpaceDE w:val="0"/>
              <w:autoSpaceDN w:val="0"/>
              <w:bidi w:val="0"/>
              <w:adjustRightInd w:val="0"/>
              <w:snapToGrid w:val="0"/>
              <w:spacing w:before="145" w:line="24" w:lineRule="atLeast"/>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单位性质</w:t>
            </w:r>
          </w:p>
        </w:tc>
        <w:tc>
          <w:tcPr>
            <w:tcW w:w="7639" w:type="dxa"/>
            <w:gridSpan w:val="8"/>
            <w:vAlign w:val="center"/>
          </w:tcPr>
          <w:p w14:paraId="434E07A5">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3C1E8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78583C86">
            <w:pPr>
              <w:keepNext w:val="0"/>
              <w:keepLines w:val="0"/>
              <w:pageBreakBefore w:val="0"/>
              <w:widowControl/>
              <w:kinsoku w:val="0"/>
              <w:wordWrap w:val="0"/>
              <w:overflowPunct/>
              <w:topLinePunct w:val="0"/>
              <w:autoSpaceDE w:val="0"/>
              <w:autoSpaceDN w:val="0"/>
              <w:bidi w:val="0"/>
              <w:adjustRightInd w:val="0"/>
              <w:snapToGrid w:val="0"/>
              <w:spacing w:before="144" w:line="24" w:lineRule="atLeast"/>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法定代表人</w:t>
            </w:r>
          </w:p>
        </w:tc>
        <w:tc>
          <w:tcPr>
            <w:tcW w:w="975" w:type="dxa"/>
            <w:vAlign w:val="center"/>
          </w:tcPr>
          <w:p w14:paraId="2CF8127D">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姓名</w:t>
            </w:r>
          </w:p>
        </w:tc>
        <w:tc>
          <w:tcPr>
            <w:tcW w:w="1837" w:type="dxa"/>
            <w:vAlign w:val="center"/>
          </w:tcPr>
          <w:p w14:paraId="55F10CB7">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183" w:type="dxa"/>
            <w:gridSpan w:val="2"/>
            <w:vAlign w:val="center"/>
          </w:tcPr>
          <w:p w14:paraId="1248557B">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技术职称</w:t>
            </w:r>
          </w:p>
        </w:tc>
        <w:tc>
          <w:tcPr>
            <w:tcW w:w="1326" w:type="dxa"/>
            <w:gridSpan w:val="2"/>
            <w:vAlign w:val="center"/>
          </w:tcPr>
          <w:p w14:paraId="345CCE79">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770" w:type="dxa"/>
            <w:vAlign w:val="center"/>
          </w:tcPr>
          <w:p w14:paraId="63CA2C03">
            <w:pPr>
              <w:keepNext w:val="0"/>
              <w:keepLines w:val="0"/>
              <w:pageBreakBefore w:val="0"/>
              <w:widowControl/>
              <w:kinsoku w:val="0"/>
              <w:wordWrap w:val="0"/>
              <w:overflowPunct/>
              <w:topLinePunct w:val="0"/>
              <w:autoSpaceDE w:val="0"/>
              <w:autoSpaceDN w:val="0"/>
              <w:bidi w:val="0"/>
              <w:adjustRightInd w:val="0"/>
              <w:snapToGrid w:val="0"/>
              <w:spacing w:before="143" w:line="231" w:lineRule="auto"/>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电话</w:t>
            </w:r>
          </w:p>
        </w:tc>
        <w:tc>
          <w:tcPr>
            <w:tcW w:w="1548" w:type="dxa"/>
            <w:vAlign w:val="center"/>
          </w:tcPr>
          <w:p w14:paraId="21775F23">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6C9B2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AB30980">
            <w:pPr>
              <w:keepNext w:val="0"/>
              <w:keepLines w:val="0"/>
              <w:pageBreakBefore w:val="0"/>
              <w:widowControl/>
              <w:kinsoku w:val="0"/>
              <w:wordWrap w:val="0"/>
              <w:overflowPunct/>
              <w:topLinePunct w:val="0"/>
              <w:autoSpaceDE w:val="0"/>
              <w:autoSpaceDN w:val="0"/>
              <w:bidi w:val="0"/>
              <w:adjustRightInd w:val="0"/>
              <w:snapToGrid w:val="0"/>
              <w:spacing w:before="145" w:line="24" w:lineRule="atLeast"/>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成立时间</w:t>
            </w:r>
          </w:p>
        </w:tc>
        <w:tc>
          <w:tcPr>
            <w:tcW w:w="2812" w:type="dxa"/>
            <w:gridSpan w:val="2"/>
            <w:vAlign w:val="center"/>
          </w:tcPr>
          <w:p w14:paraId="1528A619">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4827" w:type="dxa"/>
            <w:gridSpan w:val="6"/>
            <w:vAlign w:val="center"/>
          </w:tcPr>
          <w:p w14:paraId="29648EC6">
            <w:pPr>
              <w:keepNext w:val="0"/>
              <w:keepLines w:val="0"/>
              <w:pageBreakBefore w:val="0"/>
              <w:widowControl/>
              <w:kinsoku w:val="0"/>
              <w:wordWrap w:val="0"/>
              <w:overflowPunct/>
              <w:topLinePunct w:val="0"/>
              <w:autoSpaceDE w:val="0"/>
              <w:autoSpaceDN w:val="0"/>
              <w:bidi w:val="0"/>
              <w:adjustRightInd w:val="0"/>
              <w:snapToGrid w:val="0"/>
              <w:spacing w:before="145" w:line="228" w:lineRule="auto"/>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员工总人数（个）：</w:t>
            </w:r>
          </w:p>
        </w:tc>
      </w:tr>
      <w:tr w14:paraId="1639B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554FA43F">
            <w:pPr>
              <w:keepNext w:val="0"/>
              <w:keepLines w:val="0"/>
              <w:pageBreakBefore w:val="0"/>
              <w:widowControl/>
              <w:kinsoku w:val="0"/>
              <w:wordWrap w:val="0"/>
              <w:overflowPunct/>
              <w:topLinePunct w:val="0"/>
              <w:autoSpaceDE w:val="0"/>
              <w:autoSpaceDN w:val="0"/>
              <w:bidi w:val="0"/>
              <w:adjustRightInd w:val="0"/>
              <w:snapToGrid w:val="0"/>
              <w:spacing w:before="61" w:line="24" w:lineRule="atLeast"/>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企业资质  </w:t>
            </w:r>
          </w:p>
          <w:p w14:paraId="4BDC0C8F">
            <w:pPr>
              <w:keepNext w:val="0"/>
              <w:keepLines w:val="0"/>
              <w:pageBreakBefore w:val="0"/>
              <w:widowControl/>
              <w:kinsoku w:val="0"/>
              <w:wordWrap w:val="0"/>
              <w:overflowPunct/>
              <w:topLinePunct w:val="0"/>
              <w:autoSpaceDE w:val="0"/>
              <w:autoSpaceDN w:val="0"/>
              <w:bidi w:val="0"/>
              <w:adjustRightInd w:val="0"/>
              <w:snapToGrid w:val="0"/>
              <w:spacing w:before="61" w:line="24" w:lineRule="atLeast"/>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类型和等级</w:t>
            </w:r>
          </w:p>
        </w:tc>
        <w:tc>
          <w:tcPr>
            <w:tcW w:w="2812" w:type="dxa"/>
            <w:gridSpan w:val="2"/>
            <w:vAlign w:val="center"/>
          </w:tcPr>
          <w:p w14:paraId="177F1066">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183" w:type="dxa"/>
            <w:gridSpan w:val="2"/>
            <w:vMerge w:val="restart"/>
            <w:tcBorders>
              <w:bottom w:val="nil"/>
            </w:tcBorders>
            <w:vAlign w:val="center"/>
          </w:tcPr>
          <w:p w14:paraId="102DBC66">
            <w:pPr>
              <w:keepNext w:val="0"/>
              <w:keepLines w:val="0"/>
              <w:pageBreakBefore w:val="0"/>
              <w:widowControl/>
              <w:kinsoku w:val="0"/>
              <w:wordWrap w:val="0"/>
              <w:overflowPunct/>
              <w:topLinePunct w:val="0"/>
              <w:autoSpaceDE w:val="0"/>
              <w:autoSpaceDN w:val="0"/>
              <w:bidi w:val="0"/>
              <w:adjustRightInd w:val="0"/>
              <w:snapToGrid w:val="0"/>
              <w:spacing w:before="65" w:line="229" w:lineRule="auto"/>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其中</w:t>
            </w:r>
          </w:p>
        </w:tc>
        <w:tc>
          <w:tcPr>
            <w:tcW w:w="2096" w:type="dxa"/>
            <w:gridSpan w:val="3"/>
            <w:vAlign w:val="center"/>
          </w:tcPr>
          <w:p w14:paraId="2278305A">
            <w:pPr>
              <w:keepNext w:val="0"/>
              <w:keepLines w:val="0"/>
              <w:pageBreakBefore w:val="0"/>
              <w:widowControl/>
              <w:kinsoku w:val="0"/>
              <w:wordWrap w:val="0"/>
              <w:overflowPunct/>
              <w:topLinePunct w:val="0"/>
              <w:autoSpaceDE w:val="0"/>
              <w:autoSpaceDN w:val="0"/>
              <w:bidi w:val="0"/>
              <w:adjustRightInd w:val="0"/>
              <w:snapToGrid w:val="0"/>
              <w:spacing w:before="214" w:line="229" w:lineRule="auto"/>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项目经理</w:t>
            </w:r>
          </w:p>
        </w:tc>
        <w:tc>
          <w:tcPr>
            <w:tcW w:w="1548" w:type="dxa"/>
            <w:vAlign w:val="center"/>
          </w:tcPr>
          <w:p w14:paraId="3262520C">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738EE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3E310579">
            <w:pPr>
              <w:keepNext w:val="0"/>
              <w:keepLines w:val="0"/>
              <w:pageBreakBefore w:val="0"/>
              <w:widowControl/>
              <w:kinsoku w:val="0"/>
              <w:wordWrap w:val="0"/>
              <w:overflowPunct/>
              <w:topLinePunct w:val="0"/>
              <w:autoSpaceDE w:val="0"/>
              <w:autoSpaceDN w:val="0"/>
              <w:bidi w:val="0"/>
              <w:adjustRightInd w:val="0"/>
              <w:snapToGrid w:val="0"/>
              <w:spacing w:before="146" w:line="24" w:lineRule="atLeast"/>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营业执照号</w:t>
            </w:r>
          </w:p>
        </w:tc>
        <w:tc>
          <w:tcPr>
            <w:tcW w:w="2812" w:type="dxa"/>
            <w:gridSpan w:val="2"/>
            <w:vAlign w:val="center"/>
          </w:tcPr>
          <w:p w14:paraId="771E0050">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183" w:type="dxa"/>
            <w:gridSpan w:val="2"/>
            <w:vMerge w:val="continue"/>
            <w:tcBorders>
              <w:top w:val="nil"/>
              <w:bottom w:val="nil"/>
            </w:tcBorders>
            <w:vAlign w:val="center"/>
          </w:tcPr>
          <w:p w14:paraId="5949ACF2">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96" w:type="dxa"/>
            <w:gridSpan w:val="3"/>
            <w:vAlign w:val="center"/>
          </w:tcPr>
          <w:p w14:paraId="6C5F1489">
            <w:pPr>
              <w:keepNext w:val="0"/>
              <w:keepLines w:val="0"/>
              <w:pageBreakBefore w:val="0"/>
              <w:widowControl/>
              <w:kinsoku w:val="0"/>
              <w:wordWrap w:val="0"/>
              <w:overflowPunct/>
              <w:topLinePunct w:val="0"/>
              <w:autoSpaceDE w:val="0"/>
              <w:autoSpaceDN w:val="0"/>
              <w:bidi w:val="0"/>
              <w:adjustRightInd w:val="0"/>
              <w:snapToGrid w:val="0"/>
              <w:spacing w:before="146" w:line="228" w:lineRule="auto"/>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高级职称人员</w:t>
            </w:r>
          </w:p>
        </w:tc>
        <w:tc>
          <w:tcPr>
            <w:tcW w:w="1548" w:type="dxa"/>
            <w:vAlign w:val="center"/>
          </w:tcPr>
          <w:p w14:paraId="484C31E4">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77906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199E82AD">
            <w:pPr>
              <w:keepNext w:val="0"/>
              <w:keepLines w:val="0"/>
              <w:pageBreakBefore w:val="0"/>
              <w:widowControl/>
              <w:kinsoku w:val="0"/>
              <w:wordWrap w:val="0"/>
              <w:overflowPunct/>
              <w:topLinePunct w:val="0"/>
              <w:autoSpaceDE w:val="0"/>
              <w:autoSpaceDN w:val="0"/>
              <w:bidi w:val="0"/>
              <w:adjustRightInd w:val="0"/>
              <w:snapToGrid w:val="0"/>
              <w:spacing w:before="146" w:line="24" w:lineRule="atLeast"/>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注册资金</w:t>
            </w:r>
          </w:p>
        </w:tc>
        <w:tc>
          <w:tcPr>
            <w:tcW w:w="2812" w:type="dxa"/>
            <w:gridSpan w:val="2"/>
            <w:vAlign w:val="center"/>
          </w:tcPr>
          <w:p w14:paraId="28BB0564">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183" w:type="dxa"/>
            <w:gridSpan w:val="2"/>
            <w:vMerge w:val="continue"/>
            <w:tcBorders>
              <w:top w:val="nil"/>
              <w:bottom w:val="nil"/>
            </w:tcBorders>
            <w:vAlign w:val="center"/>
          </w:tcPr>
          <w:p w14:paraId="2B790690">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96" w:type="dxa"/>
            <w:gridSpan w:val="3"/>
            <w:vAlign w:val="center"/>
          </w:tcPr>
          <w:p w14:paraId="27F06363">
            <w:pPr>
              <w:keepNext w:val="0"/>
              <w:keepLines w:val="0"/>
              <w:pageBreakBefore w:val="0"/>
              <w:widowControl/>
              <w:kinsoku w:val="0"/>
              <w:wordWrap w:val="0"/>
              <w:overflowPunct/>
              <w:topLinePunct w:val="0"/>
              <w:autoSpaceDE w:val="0"/>
              <w:autoSpaceDN w:val="0"/>
              <w:bidi w:val="0"/>
              <w:adjustRightInd w:val="0"/>
              <w:snapToGrid w:val="0"/>
              <w:spacing w:before="147" w:line="229" w:lineRule="auto"/>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中级职称人员</w:t>
            </w:r>
          </w:p>
        </w:tc>
        <w:tc>
          <w:tcPr>
            <w:tcW w:w="1548" w:type="dxa"/>
            <w:vAlign w:val="center"/>
          </w:tcPr>
          <w:p w14:paraId="18CD3973">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453B7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532F27D9">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基本账户 </w:t>
            </w:r>
          </w:p>
          <w:p w14:paraId="41955478">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开户银行</w:t>
            </w:r>
          </w:p>
        </w:tc>
        <w:tc>
          <w:tcPr>
            <w:tcW w:w="2812" w:type="dxa"/>
            <w:gridSpan w:val="2"/>
            <w:vAlign w:val="center"/>
          </w:tcPr>
          <w:p w14:paraId="65DFBEF7">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183" w:type="dxa"/>
            <w:gridSpan w:val="2"/>
            <w:vMerge w:val="continue"/>
            <w:tcBorders>
              <w:top w:val="nil"/>
              <w:bottom w:val="nil"/>
            </w:tcBorders>
            <w:vAlign w:val="center"/>
          </w:tcPr>
          <w:p w14:paraId="31F677A8">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96" w:type="dxa"/>
            <w:gridSpan w:val="3"/>
            <w:vAlign w:val="center"/>
          </w:tcPr>
          <w:p w14:paraId="0336B438">
            <w:pPr>
              <w:keepNext w:val="0"/>
              <w:keepLines w:val="0"/>
              <w:pageBreakBefore w:val="0"/>
              <w:widowControl/>
              <w:kinsoku w:val="0"/>
              <w:wordWrap w:val="0"/>
              <w:overflowPunct/>
              <w:topLinePunct w:val="0"/>
              <w:autoSpaceDE w:val="0"/>
              <w:autoSpaceDN w:val="0"/>
              <w:bidi w:val="0"/>
              <w:adjustRightInd w:val="0"/>
              <w:snapToGrid w:val="0"/>
              <w:spacing w:before="191" w:line="230" w:lineRule="auto"/>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初级职称人员</w:t>
            </w:r>
          </w:p>
        </w:tc>
        <w:tc>
          <w:tcPr>
            <w:tcW w:w="1548" w:type="dxa"/>
            <w:vAlign w:val="center"/>
          </w:tcPr>
          <w:p w14:paraId="00F898E7">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2E7A6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E52826A">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基本账户 </w:t>
            </w:r>
          </w:p>
          <w:p w14:paraId="33D5D73F">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银行账号</w:t>
            </w:r>
          </w:p>
        </w:tc>
        <w:tc>
          <w:tcPr>
            <w:tcW w:w="2812" w:type="dxa"/>
            <w:gridSpan w:val="2"/>
            <w:vAlign w:val="center"/>
          </w:tcPr>
          <w:p w14:paraId="60A346F4">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183" w:type="dxa"/>
            <w:gridSpan w:val="2"/>
            <w:vMerge w:val="continue"/>
            <w:tcBorders>
              <w:top w:val="nil"/>
            </w:tcBorders>
            <w:vAlign w:val="center"/>
          </w:tcPr>
          <w:p w14:paraId="1322C4EB">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96" w:type="dxa"/>
            <w:gridSpan w:val="3"/>
            <w:vAlign w:val="center"/>
          </w:tcPr>
          <w:p w14:paraId="4D44C804">
            <w:pPr>
              <w:keepNext w:val="0"/>
              <w:keepLines w:val="0"/>
              <w:pageBreakBefore w:val="0"/>
              <w:widowControl/>
              <w:kinsoku w:val="0"/>
              <w:wordWrap w:val="0"/>
              <w:overflowPunct/>
              <w:topLinePunct w:val="0"/>
              <w:autoSpaceDE w:val="0"/>
              <w:autoSpaceDN w:val="0"/>
              <w:bidi w:val="0"/>
              <w:adjustRightInd w:val="0"/>
              <w:snapToGrid w:val="0"/>
              <w:spacing w:before="211" w:line="228" w:lineRule="auto"/>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技术员</w:t>
            </w:r>
          </w:p>
        </w:tc>
        <w:tc>
          <w:tcPr>
            <w:tcW w:w="1548" w:type="dxa"/>
            <w:vAlign w:val="center"/>
          </w:tcPr>
          <w:p w14:paraId="46D2B23A">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6A626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3BF7B502">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经营范围</w:t>
            </w:r>
          </w:p>
        </w:tc>
        <w:tc>
          <w:tcPr>
            <w:tcW w:w="7639" w:type="dxa"/>
            <w:gridSpan w:val="8"/>
            <w:vAlign w:val="center"/>
          </w:tcPr>
          <w:p w14:paraId="07997BAE">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29A8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05DF8A32">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关联企业情况</w:t>
            </w:r>
          </w:p>
        </w:tc>
        <w:tc>
          <w:tcPr>
            <w:tcW w:w="7639" w:type="dxa"/>
            <w:gridSpan w:val="8"/>
            <w:vAlign w:val="center"/>
          </w:tcPr>
          <w:p w14:paraId="1E7ADE4D">
            <w:pPr>
              <w:keepNext w:val="0"/>
              <w:keepLines w:val="0"/>
              <w:pageBreakBefore w:val="0"/>
              <w:widowControl/>
              <w:kinsoku w:val="0"/>
              <w:wordWrap w:val="0"/>
              <w:overflowPunct/>
              <w:topLinePunct w:val="0"/>
              <w:autoSpaceDE w:val="0"/>
              <w:autoSpaceDN w:val="0"/>
              <w:bidi w:val="0"/>
              <w:adjustRightInd w:val="0"/>
              <w:snapToGrid w:val="0"/>
              <w:spacing w:before="168" w:line="228" w:lineRule="auto"/>
              <w:ind w:left="0" w:right="0"/>
              <w:jc w:val="both"/>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包括但不限于与投标人存在以下关系的不同单位：</w:t>
            </w:r>
          </w:p>
          <w:p w14:paraId="0A579FFA">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 ．法定代表人为同一人的。</w:t>
            </w:r>
          </w:p>
          <w:p w14:paraId="20E6965C">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 ．存在控股、管理关系的。</w:t>
            </w:r>
          </w:p>
          <w:p w14:paraId="585BD72F">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 ．主要人员相互任职的。</w:t>
            </w:r>
          </w:p>
        </w:tc>
      </w:tr>
      <w:tr w14:paraId="28D64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A94CEF9">
            <w:pPr>
              <w:keepNext w:val="0"/>
              <w:keepLines w:val="0"/>
              <w:pageBreakBefore w:val="0"/>
              <w:widowControl/>
              <w:kinsoku w:val="0"/>
              <w:wordWrap w:val="0"/>
              <w:overflowPunct/>
              <w:topLinePunct w:val="0"/>
              <w:autoSpaceDE w:val="0"/>
              <w:autoSpaceDN w:val="0"/>
              <w:bidi w:val="0"/>
              <w:adjustRightInd w:val="0"/>
              <w:snapToGrid w:val="0"/>
              <w:spacing w:before="235" w:line="230" w:lineRule="auto"/>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备注</w:t>
            </w:r>
          </w:p>
        </w:tc>
        <w:tc>
          <w:tcPr>
            <w:tcW w:w="7639" w:type="dxa"/>
            <w:gridSpan w:val="8"/>
            <w:vAlign w:val="center"/>
          </w:tcPr>
          <w:p w14:paraId="33A69765">
            <w:pPr>
              <w:pStyle w:val="27"/>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bl>
    <w:p w14:paraId="34C67D25">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69B31669">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说明：</w:t>
      </w:r>
    </w:p>
    <w:p w14:paraId="5F7DADAA">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outlineLvl w:val="9"/>
        <w:rPr>
          <w:rFonts w:hint="eastAsia" w:ascii="宋体" w:hAnsi="宋体" w:eastAsia="宋体" w:cs="宋体"/>
          <w:color w:val="000000" w:themeColor="text1"/>
          <w:spacing w:val="0"/>
          <w:sz w:val="21"/>
          <w:szCs w:val="21"/>
          <w:highlight w:val="none"/>
          <w14:textFill>
            <w14:solidFill>
              <w14:schemeClr w14:val="tx1"/>
            </w14:solidFill>
          </w14:textFill>
        </w:rPr>
      </w:pPr>
      <w:bookmarkStart w:id="241" w:name="_Toc14048"/>
      <w:bookmarkStart w:id="242" w:name="_Toc5131"/>
      <w:r>
        <w:rPr>
          <w:rFonts w:hint="eastAsia" w:ascii="宋体" w:hAnsi="宋体" w:eastAsia="宋体" w:cs="宋体"/>
          <w:color w:val="000000" w:themeColor="text1"/>
          <w:spacing w:val="0"/>
          <w:sz w:val="21"/>
          <w:szCs w:val="21"/>
          <w:highlight w:val="none"/>
          <w14:textFill>
            <w14:solidFill>
              <w14:schemeClr w14:val="tx1"/>
            </w14:solidFill>
          </w14:textFill>
        </w:rPr>
        <w:t>1 ．《投标人基本情况表》后应附以下资料：</w:t>
      </w:r>
      <w:bookmarkEnd w:id="241"/>
      <w:bookmarkEnd w:id="242"/>
    </w:p>
    <w:p w14:paraId="230E1626">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lang w:eastAsia="zh-CN"/>
          <w14:textFill>
            <w14:solidFill>
              <w14:schemeClr w14:val="tx1"/>
            </w14:solidFill>
          </w14:textFill>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259B1130">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lang w:eastAsia="zh-CN"/>
          <w14:textFill>
            <w14:solidFill>
              <w14:schemeClr w14:val="tx1"/>
            </w14:solidFill>
          </w14:textFill>
        </w:rPr>
        <w:t>（2）</w:t>
      </w:r>
      <w:r>
        <w:rPr>
          <w:rFonts w:hint="eastAsia" w:ascii="宋体" w:hAnsi="宋体" w:eastAsia="宋体" w:cs="宋体"/>
          <w:color w:val="000000" w:themeColor="text1"/>
          <w:spacing w:val="0"/>
          <w:sz w:val="21"/>
          <w:szCs w:val="21"/>
          <w:highlight w:val="none"/>
          <w14:textFill>
            <w14:solidFill>
              <w14:schemeClr w14:val="tx1"/>
            </w14:solidFill>
          </w14:textFill>
        </w:rPr>
        <w:t>“进粤企业和人员诚信信息登记平台 ”企业信息情况打印页。（适用于省外建筑企业）</w:t>
      </w:r>
    </w:p>
    <w:p w14:paraId="49CB0524">
      <w:pPr>
        <w:keepNext w:val="0"/>
        <w:keepLines w:val="0"/>
        <w:pageBreakBefore w:val="0"/>
        <w:widowControl/>
        <w:kinsoku w:val="0"/>
        <w:wordWrap w:val="0"/>
        <w:overflowPunct/>
        <w:topLinePunct w:val="0"/>
        <w:autoSpaceDE w:val="0"/>
        <w:autoSpaceDN w:val="0"/>
        <w:bidi w:val="0"/>
        <w:adjustRightInd w:val="0"/>
        <w:snapToGrid w:val="0"/>
        <w:spacing w:line="30" w:lineRule="atLeast"/>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lang w:eastAsia="zh-CN"/>
          <w14:textFill>
            <w14:solidFill>
              <w14:schemeClr w14:val="tx1"/>
            </w14:solidFill>
          </w14:textFill>
        </w:rPr>
        <w:t>（3）</w:t>
      </w:r>
      <w:r>
        <w:rPr>
          <w:rFonts w:hint="eastAsia" w:ascii="宋体" w:hAnsi="宋体" w:eastAsia="宋体" w:cs="宋体"/>
          <w:color w:val="000000" w:themeColor="text1"/>
          <w:spacing w:val="0"/>
          <w:sz w:val="21"/>
          <w:szCs w:val="21"/>
          <w:highlight w:val="none"/>
          <w14:textFill>
            <w14:solidFill>
              <w14:schemeClr w14:val="tx1"/>
            </w14:solidFill>
          </w14:textFill>
        </w:rPr>
        <w:t>《法人和非法人组织公共信用信息报告》（在“信用中国 ”网站企业查询界面中下载）。</w:t>
      </w:r>
    </w:p>
    <w:p w14:paraId="214750AF">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2 ．联合体投标的，联合体成员单位均应填写《投标人基本情况表》并提供以上所需资料。</w:t>
      </w:r>
    </w:p>
    <w:p w14:paraId="012C8021">
      <w:pPr>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br w:type="page"/>
      </w:r>
    </w:p>
    <w:p w14:paraId="2AB7BED9">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43" w:name="_Toc7370"/>
      <w:r>
        <w:rPr>
          <w:rFonts w:hint="eastAsia" w:ascii="宋体" w:hAnsi="宋体" w:eastAsia="宋体" w:cs="宋体"/>
          <w:b/>
          <w:bCs/>
          <w:color w:val="000000" w:themeColor="text1"/>
          <w:spacing w:val="0"/>
          <w:sz w:val="24"/>
          <w:szCs w:val="24"/>
          <w:highlight w:val="none"/>
          <w14:textFill>
            <w14:solidFill>
              <w14:schemeClr w14:val="tx1"/>
            </w14:solidFill>
          </w14:textFill>
        </w:rPr>
        <w:t>格式八 项目经理简历表</w:t>
      </w:r>
      <w:bookmarkEnd w:id="243"/>
    </w:p>
    <w:p w14:paraId="07245DD0">
      <w:pPr>
        <w:pStyle w:val="5"/>
        <w:keepNext w:val="0"/>
        <w:keepLines w:val="0"/>
        <w:pageBreakBefore w:val="0"/>
        <w:wordWrap w:val="0"/>
        <w:overflowPunct/>
        <w:topLinePunct w:val="0"/>
        <w:bidi w:val="0"/>
        <w:spacing w:line="444" w:lineRule="auto"/>
        <w:rPr>
          <w:rFonts w:hint="eastAsia" w:ascii="宋体" w:hAnsi="宋体" w:eastAsia="宋体" w:cs="宋体"/>
          <w:color w:val="000000" w:themeColor="text1"/>
          <w:spacing w:val="0"/>
          <w:highlight w:val="none"/>
          <w14:textFill>
            <w14:solidFill>
              <w14:schemeClr w14:val="tx1"/>
            </w14:solidFill>
          </w14:textFill>
        </w:rPr>
      </w:pPr>
    </w:p>
    <w:p w14:paraId="0C78A5C7">
      <w:pPr>
        <w:keepNext w:val="0"/>
        <w:keepLines w:val="0"/>
        <w:pageBreakBefore w:val="0"/>
        <w:wordWrap w:val="0"/>
        <w:overflowPunct/>
        <w:topLinePunct w:val="0"/>
        <w:bidi w:val="0"/>
        <w:spacing w:before="97" w:line="219" w:lineRule="auto"/>
        <w:ind w:left="3538"/>
        <w:outlineLvl w:val="9"/>
        <w:rPr>
          <w:rFonts w:hint="eastAsia" w:ascii="宋体" w:hAnsi="宋体" w:eastAsia="宋体" w:cs="宋体"/>
          <w:color w:val="000000" w:themeColor="text1"/>
          <w:spacing w:val="0"/>
          <w:sz w:val="30"/>
          <w:szCs w:val="30"/>
          <w:highlight w:val="none"/>
          <w14:textFill>
            <w14:solidFill>
              <w14:schemeClr w14:val="tx1"/>
            </w14:solidFill>
          </w14:textFill>
        </w:rPr>
      </w:pPr>
      <w:bookmarkStart w:id="244" w:name="bookmark89"/>
      <w:bookmarkEnd w:id="244"/>
      <w:bookmarkStart w:id="245" w:name="bookmark156"/>
      <w:bookmarkEnd w:id="245"/>
      <w:bookmarkStart w:id="246" w:name="_Toc24489"/>
      <w:bookmarkStart w:id="247" w:name="_Toc31533"/>
      <w:r>
        <w:rPr>
          <w:rFonts w:hint="eastAsia" w:ascii="宋体" w:hAnsi="宋体" w:eastAsia="宋体" w:cs="宋体"/>
          <w:b/>
          <w:bCs/>
          <w:color w:val="000000" w:themeColor="text1"/>
          <w:spacing w:val="0"/>
          <w:sz w:val="30"/>
          <w:szCs w:val="30"/>
          <w:highlight w:val="none"/>
          <w14:textFill>
            <w14:solidFill>
              <w14:schemeClr w14:val="tx1"/>
            </w14:solidFill>
          </w14:textFill>
        </w:rPr>
        <w:t>项目经理简历表</w:t>
      </w:r>
      <w:bookmarkEnd w:id="246"/>
      <w:bookmarkEnd w:id="247"/>
    </w:p>
    <w:p w14:paraId="733B316D">
      <w:pPr>
        <w:keepNext w:val="0"/>
        <w:keepLines w:val="0"/>
        <w:pageBreakBefore w:val="0"/>
        <w:wordWrap w:val="0"/>
        <w:overflowPunct/>
        <w:topLinePunct w:val="0"/>
        <w:bidi w:val="0"/>
        <w:spacing w:line="240" w:lineRule="exact"/>
        <w:rPr>
          <w:rFonts w:hint="eastAsia" w:ascii="宋体" w:hAnsi="宋体" w:eastAsia="宋体" w:cs="宋体"/>
          <w:color w:val="000000" w:themeColor="text1"/>
          <w:spacing w:val="0"/>
          <w:highlight w:val="none"/>
          <w14:textFill>
            <w14:solidFill>
              <w14:schemeClr w14:val="tx1"/>
            </w14:solidFill>
          </w14:textFill>
        </w:rPr>
      </w:pPr>
    </w:p>
    <w:tbl>
      <w:tblPr>
        <w:tblStyle w:val="14"/>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52897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center"/>
          </w:tcPr>
          <w:p w14:paraId="4005FF2B">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姓   名</w:t>
            </w:r>
          </w:p>
        </w:tc>
        <w:tc>
          <w:tcPr>
            <w:tcW w:w="1294" w:type="dxa"/>
            <w:gridSpan w:val="2"/>
            <w:vAlign w:val="center"/>
          </w:tcPr>
          <w:p w14:paraId="459C112F">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57" w:type="dxa"/>
            <w:vAlign w:val="center"/>
          </w:tcPr>
          <w:p w14:paraId="1B35C805">
            <w:pPr>
              <w:keepNext w:val="0"/>
              <w:keepLines w:val="0"/>
              <w:pageBreakBefore w:val="0"/>
              <w:widowControl/>
              <w:kinsoku w:val="0"/>
              <w:wordWrap w:val="0"/>
              <w:overflowPunct/>
              <w:topLinePunct w:val="0"/>
              <w:autoSpaceDE w:val="0"/>
              <w:autoSpaceDN w:val="0"/>
              <w:bidi w:val="0"/>
              <w:adjustRightInd w:val="0"/>
              <w:snapToGrid w:val="0"/>
              <w:spacing w:before="177"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性  别</w:t>
            </w:r>
          </w:p>
        </w:tc>
        <w:tc>
          <w:tcPr>
            <w:tcW w:w="2062" w:type="dxa"/>
            <w:vAlign w:val="center"/>
          </w:tcPr>
          <w:p w14:paraId="606F045A">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98" w:type="dxa"/>
            <w:vAlign w:val="center"/>
          </w:tcPr>
          <w:p w14:paraId="144F8EEA">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年   龄</w:t>
            </w:r>
          </w:p>
        </w:tc>
        <w:tc>
          <w:tcPr>
            <w:tcW w:w="1398" w:type="dxa"/>
            <w:vAlign w:val="center"/>
          </w:tcPr>
          <w:p w14:paraId="248A87DB">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7C7B6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center"/>
          </w:tcPr>
          <w:p w14:paraId="6C5EBB96">
            <w:pPr>
              <w:keepNext w:val="0"/>
              <w:keepLines w:val="0"/>
              <w:pageBreakBefore w:val="0"/>
              <w:widowControl/>
              <w:kinsoku w:val="0"/>
              <w:wordWrap w:val="0"/>
              <w:overflowPunct/>
              <w:topLinePunct w:val="0"/>
              <w:autoSpaceDE w:val="0"/>
              <w:autoSpaceDN w:val="0"/>
              <w:bidi w:val="0"/>
              <w:adjustRightInd w:val="0"/>
              <w:snapToGrid w:val="0"/>
              <w:spacing w:before="175"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职   务</w:t>
            </w:r>
          </w:p>
        </w:tc>
        <w:tc>
          <w:tcPr>
            <w:tcW w:w="1294" w:type="dxa"/>
            <w:gridSpan w:val="2"/>
            <w:vAlign w:val="center"/>
          </w:tcPr>
          <w:p w14:paraId="49703266">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57" w:type="dxa"/>
            <w:vAlign w:val="center"/>
          </w:tcPr>
          <w:p w14:paraId="275BEF66">
            <w:pPr>
              <w:keepNext w:val="0"/>
              <w:keepLines w:val="0"/>
              <w:pageBreakBefore w:val="0"/>
              <w:widowControl/>
              <w:kinsoku w:val="0"/>
              <w:wordWrap w:val="0"/>
              <w:overflowPunct/>
              <w:topLinePunct w:val="0"/>
              <w:autoSpaceDE w:val="0"/>
              <w:autoSpaceDN w:val="0"/>
              <w:bidi w:val="0"/>
              <w:adjustRightInd w:val="0"/>
              <w:snapToGrid w:val="0"/>
              <w:spacing w:before="174" w:line="231"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职  称</w:t>
            </w:r>
          </w:p>
        </w:tc>
        <w:tc>
          <w:tcPr>
            <w:tcW w:w="2062" w:type="dxa"/>
            <w:vAlign w:val="center"/>
          </w:tcPr>
          <w:p w14:paraId="16D1E874">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98" w:type="dxa"/>
            <w:vAlign w:val="center"/>
          </w:tcPr>
          <w:p w14:paraId="3B726250">
            <w:pPr>
              <w:keepNext w:val="0"/>
              <w:keepLines w:val="0"/>
              <w:pageBreakBefore w:val="0"/>
              <w:widowControl/>
              <w:kinsoku w:val="0"/>
              <w:wordWrap w:val="0"/>
              <w:overflowPunct/>
              <w:topLinePunct w:val="0"/>
              <w:autoSpaceDE w:val="0"/>
              <w:autoSpaceDN w:val="0"/>
              <w:bidi w:val="0"/>
              <w:adjustRightInd w:val="0"/>
              <w:snapToGrid w:val="0"/>
              <w:spacing w:before="175" w:line="230"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学   历</w:t>
            </w:r>
          </w:p>
        </w:tc>
        <w:tc>
          <w:tcPr>
            <w:tcW w:w="1398" w:type="dxa"/>
            <w:vAlign w:val="center"/>
          </w:tcPr>
          <w:p w14:paraId="18686FE9">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58DD0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center"/>
          </w:tcPr>
          <w:p w14:paraId="6CA0A6E3">
            <w:pPr>
              <w:keepNext w:val="0"/>
              <w:keepLines w:val="0"/>
              <w:pageBreakBefore w:val="0"/>
              <w:widowControl/>
              <w:kinsoku w:val="0"/>
              <w:wordWrap w:val="0"/>
              <w:overflowPunct/>
              <w:topLinePunct w:val="0"/>
              <w:autoSpaceDE w:val="0"/>
              <w:autoSpaceDN w:val="0"/>
              <w:bidi w:val="0"/>
              <w:adjustRightInd w:val="0"/>
              <w:snapToGrid w:val="0"/>
              <w:spacing w:before="175"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参加工作时间</w:t>
            </w:r>
          </w:p>
        </w:tc>
        <w:tc>
          <w:tcPr>
            <w:tcW w:w="2651" w:type="dxa"/>
            <w:gridSpan w:val="3"/>
            <w:vAlign w:val="center"/>
          </w:tcPr>
          <w:p w14:paraId="1D8F273A">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3860" w:type="dxa"/>
            <w:gridSpan w:val="2"/>
            <w:vAlign w:val="center"/>
          </w:tcPr>
          <w:p w14:paraId="1DCA2560">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从事工程建设项目管理工作年限</w:t>
            </w:r>
          </w:p>
        </w:tc>
        <w:tc>
          <w:tcPr>
            <w:tcW w:w="1398" w:type="dxa"/>
            <w:vAlign w:val="center"/>
          </w:tcPr>
          <w:p w14:paraId="55F6DD2C">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35205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center"/>
          </w:tcPr>
          <w:p w14:paraId="1985FCD7">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以项目经理身份参与过的主要业绩（已完工项目）</w:t>
            </w:r>
          </w:p>
        </w:tc>
      </w:tr>
      <w:tr w14:paraId="6A55E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center"/>
          </w:tcPr>
          <w:p w14:paraId="226DD453">
            <w:pPr>
              <w:keepNext w:val="0"/>
              <w:keepLines w:val="0"/>
              <w:pageBreakBefore w:val="0"/>
              <w:widowControl/>
              <w:kinsoku w:val="0"/>
              <w:wordWrap w:val="0"/>
              <w:overflowPunct/>
              <w:topLinePunct w:val="0"/>
              <w:autoSpaceDE w:val="0"/>
              <w:autoSpaceDN w:val="0"/>
              <w:bidi w:val="0"/>
              <w:adjustRightInd w:val="0"/>
              <w:snapToGrid w:val="0"/>
              <w:spacing w:before="176" w:line="230"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序号</w:t>
            </w:r>
          </w:p>
        </w:tc>
        <w:tc>
          <w:tcPr>
            <w:tcW w:w="1624" w:type="dxa"/>
            <w:gridSpan w:val="2"/>
            <w:vAlign w:val="center"/>
          </w:tcPr>
          <w:p w14:paraId="67B2AAAA">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项目名称</w:t>
            </w:r>
          </w:p>
        </w:tc>
        <w:tc>
          <w:tcPr>
            <w:tcW w:w="2037" w:type="dxa"/>
            <w:gridSpan w:val="2"/>
            <w:vAlign w:val="center"/>
          </w:tcPr>
          <w:p w14:paraId="4801985C">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建设单位</w:t>
            </w:r>
          </w:p>
        </w:tc>
        <w:tc>
          <w:tcPr>
            <w:tcW w:w="2062" w:type="dxa"/>
            <w:vAlign w:val="center"/>
          </w:tcPr>
          <w:p w14:paraId="027FA0A0">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建设内容和规模</w:t>
            </w:r>
          </w:p>
        </w:tc>
        <w:tc>
          <w:tcPr>
            <w:tcW w:w="1798" w:type="dxa"/>
            <w:vAlign w:val="center"/>
          </w:tcPr>
          <w:p w14:paraId="13665F3A">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开、竣工日期</w:t>
            </w:r>
          </w:p>
        </w:tc>
        <w:tc>
          <w:tcPr>
            <w:tcW w:w="1398" w:type="dxa"/>
            <w:vAlign w:val="center"/>
          </w:tcPr>
          <w:p w14:paraId="1363170B">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质量等级</w:t>
            </w:r>
          </w:p>
        </w:tc>
      </w:tr>
      <w:tr w14:paraId="69665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center"/>
          </w:tcPr>
          <w:p w14:paraId="67F61AFB">
            <w:pPr>
              <w:keepNext w:val="0"/>
              <w:keepLines w:val="0"/>
              <w:pageBreakBefore w:val="0"/>
              <w:widowControl/>
              <w:kinsoku w:val="0"/>
              <w:wordWrap w:val="0"/>
              <w:overflowPunct/>
              <w:topLinePunct w:val="0"/>
              <w:autoSpaceDE w:val="0"/>
              <w:autoSpaceDN w:val="0"/>
              <w:bidi w:val="0"/>
              <w:adjustRightInd w:val="0"/>
              <w:snapToGrid w:val="0"/>
              <w:spacing w:before="214" w:line="195"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w:t>
            </w:r>
          </w:p>
        </w:tc>
        <w:tc>
          <w:tcPr>
            <w:tcW w:w="1624" w:type="dxa"/>
            <w:gridSpan w:val="2"/>
            <w:vAlign w:val="center"/>
          </w:tcPr>
          <w:p w14:paraId="6B906EE2">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37" w:type="dxa"/>
            <w:gridSpan w:val="2"/>
            <w:vAlign w:val="center"/>
          </w:tcPr>
          <w:p w14:paraId="39014A66">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62" w:type="dxa"/>
            <w:vAlign w:val="center"/>
          </w:tcPr>
          <w:p w14:paraId="015E44A0">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98" w:type="dxa"/>
            <w:vAlign w:val="center"/>
          </w:tcPr>
          <w:p w14:paraId="191B5C4F">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98" w:type="dxa"/>
            <w:vAlign w:val="center"/>
          </w:tcPr>
          <w:p w14:paraId="5601622C">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7ADBD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center"/>
          </w:tcPr>
          <w:p w14:paraId="2D37EB61">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w:t>
            </w:r>
          </w:p>
        </w:tc>
        <w:tc>
          <w:tcPr>
            <w:tcW w:w="1624" w:type="dxa"/>
            <w:gridSpan w:val="2"/>
            <w:vAlign w:val="center"/>
          </w:tcPr>
          <w:p w14:paraId="3F9424A4">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37" w:type="dxa"/>
            <w:gridSpan w:val="2"/>
            <w:vAlign w:val="center"/>
          </w:tcPr>
          <w:p w14:paraId="5C8C87A3">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62" w:type="dxa"/>
            <w:vAlign w:val="center"/>
          </w:tcPr>
          <w:p w14:paraId="4B5D2BB4">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98" w:type="dxa"/>
            <w:vAlign w:val="center"/>
          </w:tcPr>
          <w:p w14:paraId="347BC37F">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98" w:type="dxa"/>
            <w:vAlign w:val="center"/>
          </w:tcPr>
          <w:p w14:paraId="0D3458B9">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7612B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center"/>
          </w:tcPr>
          <w:p w14:paraId="3C8FBE28">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w:t>
            </w:r>
          </w:p>
        </w:tc>
        <w:tc>
          <w:tcPr>
            <w:tcW w:w="1624" w:type="dxa"/>
            <w:gridSpan w:val="2"/>
            <w:vAlign w:val="center"/>
          </w:tcPr>
          <w:p w14:paraId="05CB1FA8">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37" w:type="dxa"/>
            <w:gridSpan w:val="2"/>
            <w:vAlign w:val="center"/>
          </w:tcPr>
          <w:p w14:paraId="67C95E4D">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62" w:type="dxa"/>
            <w:vAlign w:val="center"/>
          </w:tcPr>
          <w:p w14:paraId="0F3F3FCD">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98" w:type="dxa"/>
            <w:vAlign w:val="center"/>
          </w:tcPr>
          <w:p w14:paraId="7EEF915B">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98" w:type="dxa"/>
            <w:vAlign w:val="center"/>
          </w:tcPr>
          <w:p w14:paraId="1073B937">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75BEC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center"/>
          </w:tcPr>
          <w:p w14:paraId="68FD65E9">
            <w:pPr>
              <w:keepNext w:val="0"/>
              <w:keepLines w:val="0"/>
              <w:pageBreakBefore w:val="0"/>
              <w:widowControl/>
              <w:kinsoku w:val="0"/>
              <w:wordWrap w:val="0"/>
              <w:overflowPunct/>
              <w:topLinePunct w:val="0"/>
              <w:autoSpaceDE w:val="0"/>
              <w:autoSpaceDN w:val="0"/>
              <w:bidi w:val="0"/>
              <w:adjustRightInd w:val="0"/>
              <w:snapToGrid w:val="0"/>
              <w:spacing w:before="177" w:line="325" w:lineRule="exact"/>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3"/>
                <w:sz w:val="24"/>
                <w:szCs w:val="24"/>
                <w:highlight w:val="none"/>
                <w14:textFill>
                  <w14:solidFill>
                    <w14:schemeClr w14:val="tx1"/>
                  </w14:solidFill>
                </w14:textFill>
              </w:rPr>
              <w:t>……</w:t>
            </w:r>
          </w:p>
        </w:tc>
        <w:tc>
          <w:tcPr>
            <w:tcW w:w="1624" w:type="dxa"/>
            <w:gridSpan w:val="2"/>
            <w:vAlign w:val="center"/>
          </w:tcPr>
          <w:p w14:paraId="11BEC3EF">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37" w:type="dxa"/>
            <w:gridSpan w:val="2"/>
            <w:vAlign w:val="center"/>
          </w:tcPr>
          <w:p w14:paraId="31783523">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62" w:type="dxa"/>
            <w:vAlign w:val="center"/>
          </w:tcPr>
          <w:p w14:paraId="01C4C874">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98" w:type="dxa"/>
            <w:vAlign w:val="center"/>
          </w:tcPr>
          <w:p w14:paraId="7DE5047D">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98" w:type="dxa"/>
            <w:vAlign w:val="center"/>
          </w:tcPr>
          <w:p w14:paraId="26308B2C">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bl>
    <w:p w14:paraId="2A57AD35">
      <w:pPr>
        <w:pStyle w:val="5"/>
        <w:keepNext w:val="0"/>
        <w:keepLines w:val="0"/>
        <w:pageBreakBefore w:val="0"/>
        <w:wordWrap w:val="0"/>
        <w:overflowPunct/>
        <w:topLinePunct w:val="0"/>
        <w:bidi w:val="0"/>
        <w:spacing w:line="315" w:lineRule="auto"/>
        <w:rPr>
          <w:rFonts w:hint="eastAsia" w:ascii="宋体" w:hAnsi="宋体" w:eastAsia="宋体" w:cs="宋体"/>
          <w:color w:val="000000" w:themeColor="text1"/>
          <w:spacing w:val="0"/>
          <w:highlight w:val="none"/>
          <w14:textFill>
            <w14:solidFill>
              <w14:schemeClr w14:val="tx1"/>
            </w14:solidFill>
          </w14:textFill>
        </w:rPr>
      </w:pPr>
    </w:p>
    <w:p w14:paraId="006CE30E">
      <w:pPr>
        <w:keepNext w:val="0"/>
        <w:keepLines w:val="0"/>
        <w:pageBreakBefore w:val="0"/>
        <w:wordWrap w:val="0"/>
        <w:overflowPunct/>
        <w:topLinePunct w:val="0"/>
        <w:bidi w:val="0"/>
        <w:spacing w:before="78" w:line="220" w:lineRule="auto"/>
        <w:ind w:left="69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项目经理：</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（签字）</w:t>
      </w:r>
    </w:p>
    <w:p w14:paraId="16855C17">
      <w:pPr>
        <w:pStyle w:val="5"/>
        <w:keepNext w:val="0"/>
        <w:keepLines w:val="0"/>
        <w:pageBreakBefore w:val="0"/>
        <w:wordWrap w:val="0"/>
        <w:overflowPunct/>
        <w:topLinePunct w:val="0"/>
        <w:bidi w:val="0"/>
        <w:spacing w:line="256" w:lineRule="auto"/>
        <w:rPr>
          <w:rFonts w:hint="eastAsia" w:ascii="宋体" w:hAnsi="宋体" w:eastAsia="宋体" w:cs="宋体"/>
          <w:color w:val="000000" w:themeColor="text1"/>
          <w:spacing w:val="0"/>
          <w:highlight w:val="none"/>
          <w14:textFill>
            <w14:solidFill>
              <w14:schemeClr w14:val="tx1"/>
            </w14:solidFill>
          </w14:textFill>
        </w:rPr>
      </w:pPr>
    </w:p>
    <w:p w14:paraId="13503D5A">
      <w:pPr>
        <w:pStyle w:val="5"/>
        <w:keepNext w:val="0"/>
        <w:keepLines w:val="0"/>
        <w:pageBreakBefore w:val="0"/>
        <w:wordWrap w:val="0"/>
        <w:overflowPunct/>
        <w:topLinePunct w:val="0"/>
        <w:bidi w:val="0"/>
        <w:spacing w:line="254" w:lineRule="auto"/>
        <w:jc w:val="right"/>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年</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月</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日</w:t>
      </w:r>
    </w:p>
    <w:p w14:paraId="2046C6DB">
      <w:pPr>
        <w:keepNext w:val="0"/>
        <w:keepLines w:val="0"/>
        <w:pageBreakBefore w:val="0"/>
        <w:wordWrap w:val="0"/>
        <w:overflowPunct/>
        <w:topLinePunct w:val="0"/>
        <w:bidi w:val="0"/>
        <w:spacing w:before="78" w:line="220" w:lineRule="auto"/>
        <w:ind w:left="4226"/>
        <w:jc w:val="center"/>
        <w:rPr>
          <w:rFonts w:hint="eastAsia" w:ascii="宋体" w:hAnsi="宋体" w:eastAsia="宋体" w:cs="宋体"/>
          <w:color w:val="000000" w:themeColor="text1"/>
          <w:spacing w:val="0"/>
          <w:highlight w:val="none"/>
          <w14:textFill>
            <w14:solidFill>
              <w14:schemeClr w14:val="tx1"/>
            </w14:solidFill>
          </w14:textFill>
        </w:rPr>
      </w:pPr>
    </w:p>
    <w:p w14:paraId="338141CB">
      <w:pPr>
        <w:pStyle w:val="5"/>
        <w:keepNext w:val="0"/>
        <w:keepLines w:val="0"/>
        <w:pageBreakBefore w:val="0"/>
        <w:wordWrap w:val="0"/>
        <w:overflowPunct/>
        <w:topLinePunct w:val="0"/>
        <w:bidi w:val="0"/>
        <w:spacing w:line="241" w:lineRule="auto"/>
        <w:rPr>
          <w:rFonts w:hint="eastAsia" w:ascii="宋体" w:hAnsi="宋体" w:eastAsia="宋体" w:cs="宋体"/>
          <w:color w:val="000000" w:themeColor="text1"/>
          <w:spacing w:val="0"/>
          <w:highlight w:val="none"/>
          <w14:textFill>
            <w14:solidFill>
              <w14:schemeClr w14:val="tx1"/>
            </w14:solidFill>
          </w14:textFill>
        </w:rPr>
      </w:pPr>
    </w:p>
    <w:p w14:paraId="0D471702">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说明：《项目经理简历表》后应附拟派项目经理以下资料：</w:t>
      </w:r>
    </w:p>
    <w:p w14:paraId="2281CD1D">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248" w:name="_Toc1942"/>
      <w:bookmarkStart w:id="249" w:name="_Toc25271"/>
      <w:r>
        <w:rPr>
          <w:rFonts w:hint="eastAsia" w:ascii="宋体" w:hAnsi="宋体" w:eastAsia="宋体" w:cs="宋体"/>
          <w:color w:val="000000" w:themeColor="text1"/>
          <w:spacing w:val="0"/>
          <w:sz w:val="24"/>
          <w:szCs w:val="24"/>
          <w:highlight w:val="none"/>
          <w14:textFill>
            <w14:solidFill>
              <w14:schemeClr w14:val="tx1"/>
            </w14:solidFill>
          </w14:textFill>
        </w:rPr>
        <w:t>1 ．身份证彩色扫描件；</w:t>
      </w:r>
      <w:bookmarkEnd w:id="248"/>
      <w:bookmarkEnd w:id="249"/>
    </w:p>
    <w:p w14:paraId="256029DB">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 ．建造师电子注册证书（在使用有效期内的有效电子证书）彩色扫描件；</w:t>
      </w:r>
    </w:p>
    <w:p w14:paraId="66281E20">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3．B 类安全生产考核合格证书彩色扫描件或广东省建筑施工企业管理人员安全生产考核系统考核合格信息彩色扫描件；</w:t>
      </w:r>
    </w:p>
    <w:p w14:paraId="76F37EF6">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 ．在本单位缴纳社保</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的证明（至少</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个月，其</w:t>
      </w:r>
      <w:bookmarkStart w:id="250" w:name="OLE_LINK38"/>
      <w:r>
        <w:rPr>
          <w:rFonts w:hint="eastAsia" w:ascii="宋体" w:hAnsi="宋体" w:eastAsia="宋体" w:cs="宋体"/>
          <w:color w:val="000000" w:themeColor="text1"/>
          <w:spacing w:val="0"/>
          <w:sz w:val="24"/>
          <w:szCs w:val="24"/>
          <w:highlight w:val="none"/>
          <w:lang w:eastAsia="zh-CN"/>
          <w14:textFill>
            <w14:solidFill>
              <w14:schemeClr w14:val="tx1"/>
            </w14:solidFill>
          </w14:textFill>
        </w:rPr>
        <w:t>中必须有202</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年</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月</w:t>
      </w:r>
      <w:bookmarkEnd w:id="250"/>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扫描</w:t>
      </w:r>
      <w:r>
        <w:rPr>
          <w:rFonts w:hint="eastAsia" w:ascii="宋体" w:hAnsi="宋体" w:eastAsia="宋体" w:cs="宋体"/>
          <w:color w:val="000000" w:themeColor="text1"/>
          <w:spacing w:val="0"/>
          <w:sz w:val="24"/>
          <w:szCs w:val="24"/>
          <w:highlight w:val="none"/>
          <w14:textFill>
            <w14:solidFill>
              <w14:schemeClr w14:val="tx1"/>
            </w14:solidFill>
          </w14:textFill>
        </w:rPr>
        <w:t>件或打印件。拟派项目经理为退休返聘人员无法提供社保证明的，提供退休证和劳动合同彩色扫描件。</w:t>
      </w:r>
    </w:p>
    <w:p w14:paraId="2A87991E">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 ．“进粤企业和人员诚信信息登记平台 ”个人信息情况截图。（适用于省外建筑企业）</w:t>
      </w:r>
    </w:p>
    <w:p w14:paraId="4BCF539F">
      <w:pPr>
        <w:pStyle w:val="24"/>
        <w:rPr>
          <w:rFonts w:hint="eastAsia" w:ascii="宋体" w:hAnsi="宋体" w:eastAsia="宋体" w:cs="宋体"/>
          <w:color w:val="000000" w:themeColor="text1"/>
          <w:highlight w:val="none"/>
          <w14:textFill>
            <w14:solidFill>
              <w14:schemeClr w14:val="tx1"/>
            </w14:solidFill>
          </w14:textFill>
        </w:rPr>
      </w:pPr>
    </w:p>
    <w:p w14:paraId="00386200">
      <w:pPr>
        <w:keepNext w:val="0"/>
        <w:keepLines w:val="0"/>
        <w:pageBreakBefore w:val="0"/>
        <w:wordWrap w:val="0"/>
        <w:overflowPunct/>
        <w:topLinePunct w:val="0"/>
        <w:bidi w:val="0"/>
        <w:spacing w:line="300" w:lineRule="auto"/>
        <w:rPr>
          <w:rFonts w:hint="eastAsia" w:ascii="宋体" w:hAnsi="宋体" w:eastAsia="宋体" w:cs="宋体"/>
          <w:color w:val="000000" w:themeColor="text1"/>
          <w:spacing w:val="0"/>
          <w:sz w:val="20"/>
          <w:szCs w:val="20"/>
          <w:highlight w:val="none"/>
          <w14:textFill>
            <w14:solidFill>
              <w14:schemeClr w14:val="tx1"/>
            </w14:solidFill>
          </w14:textFill>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A1871F0">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51" w:name="_Toc15988"/>
      <w:r>
        <w:rPr>
          <w:rFonts w:hint="eastAsia" w:ascii="宋体" w:hAnsi="宋体" w:eastAsia="宋体" w:cs="宋体"/>
          <w:b/>
          <w:bCs/>
          <w:color w:val="000000" w:themeColor="text1"/>
          <w:spacing w:val="0"/>
          <w:sz w:val="24"/>
          <w:szCs w:val="24"/>
          <w:highlight w:val="none"/>
          <w14:textFill>
            <w14:solidFill>
              <w14:schemeClr w14:val="tx1"/>
            </w14:solidFill>
          </w14:textFill>
        </w:rPr>
        <w:t>格式九 项目经理任职声明</w:t>
      </w:r>
      <w:bookmarkEnd w:id="251"/>
    </w:p>
    <w:p w14:paraId="0578F8FA">
      <w:pPr>
        <w:pStyle w:val="5"/>
        <w:keepNext w:val="0"/>
        <w:keepLines w:val="0"/>
        <w:pageBreakBefore w:val="0"/>
        <w:wordWrap w:val="0"/>
        <w:overflowPunct/>
        <w:topLinePunct w:val="0"/>
        <w:bidi w:val="0"/>
        <w:spacing w:line="350" w:lineRule="auto"/>
        <w:rPr>
          <w:rFonts w:hint="eastAsia" w:ascii="宋体" w:hAnsi="宋体" w:eastAsia="宋体" w:cs="宋体"/>
          <w:color w:val="000000" w:themeColor="text1"/>
          <w:spacing w:val="0"/>
          <w:highlight w:val="none"/>
          <w14:textFill>
            <w14:solidFill>
              <w14:schemeClr w14:val="tx1"/>
            </w14:solidFill>
          </w14:textFill>
        </w:rPr>
      </w:pPr>
    </w:p>
    <w:p w14:paraId="18B06342">
      <w:pPr>
        <w:pStyle w:val="5"/>
        <w:keepNext w:val="0"/>
        <w:keepLines w:val="0"/>
        <w:pageBreakBefore w:val="0"/>
        <w:wordWrap w:val="0"/>
        <w:overflowPunct/>
        <w:topLinePunct w:val="0"/>
        <w:bidi w:val="0"/>
        <w:spacing w:line="350" w:lineRule="auto"/>
        <w:rPr>
          <w:rFonts w:hint="eastAsia" w:ascii="宋体" w:hAnsi="宋体" w:eastAsia="宋体" w:cs="宋体"/>
          <w:color w:val="000000" w:themeColor="text1"/>
          <w:spacing w:val="0"/>
          <w:highlight w:val="none"/>
          <w14:textFill>
            <w14:solidFill>
              <w14:schemeClr w14:val="tx1"/>
            </w14:solidFill>
          </w14:textFill>
        </w:rPr>
      </w:pPr>
    </w:p>
    <w:p w14:paraId="40F834AF">
      <w:pPr>
        <w:keepNext w:val="0"/>
        <w:keepLines w:val="0"/>
        <w:pageBreakBefore w:val="0"/>
        <w:wordWrap w:val="0"/>
        <w:overflowPunct/>
        <w:topLinePunct w:val="0"/>
        <w:bidi w:val="0"/>
        <w:spacing w:before="98" w:line="220" w:lineRule="auto"/>
        <w:ind w:left="3338"/>
        <w:rPr>
          <w:rFonts w:hint="eastAsia" w:ascii="宋体" w:hAnsi="宋体" w:eastAsia="宋体" w:cs="宋体"/>
          <w:color w:val="000000" w:themeColor="text1"/>
          <w:spacing w:val="0"/>
          <w:sz w:val="30"/>
          <w:szCs w:val="30"/>
          <w:highlight w:val="none"/>
          <w14:textFill>
            <w14:solidFill>
              <w14:schemeClr w14:val="tx1"/>
            </w14:solidFill>
          </w14:textFill>
        </w:rPr>
      </w:pPr>
      <w:bookmarkStart w:id="252" w:name="bookmark157"/>
      <w:bookmarkEnd w:id="252"/>
      <w:r>
        <w:rPr>
          <w:rFonts w:hint="eastAsia" w:ascii="宋体" w:hAnsi="宋体" w:eastAsia="宋体" w:cs="宋体"/>
          <w:b/>
          <w:bCs/>
          <w:color w:val="000000" w:themeColor="text1"/>
          <w:spacing w:val="0"/>
          <w:sz w:val="30"/>
          <w:szCs w:val="30"/>
          <w:highlight w:val="none"/>
          <w14:textFill>
            <w14:solidFill>
              <w14:schemeClr w14:val="tx1"/>
            </w14:solidFill>
          </w14:textFill>
        </w:rPr>
        <w:t>项目经理任职声明</w:t>
      </w:r>
    </w:p>
    <w:p w14:paraId="532E6150">
      <w:pPr>
        <w:pStyle w:val="5"/>
        <w:keepNext w:val="0"/>
        <w:keepLines w:val="0"/>
        <w:pageBreakBefore w:val="0"/>
        <w:wordWrap w:val="0"/>
        <w:overflowPunct/>
        <w:topLinePunct w:val="0"/>
        <w:bidi w:val="0"/>
        <w:spacing w:line="250" w:lineRule="auto"/>
        <w:rPr>
          <w:rFonts w:hint="eastAsia" w:ascii="宋体" w:hAnsi="宋体" w:eastAsia="宋体" w:cs="宋体"/>
          <w:color w:val="000000" w:themeColor="text1"/>
          <w:spacing w:val="0"/>
          <w:highlight w:val="none"/>
          <w14:textFill>
            <w14:solidFill>
              <w14:schemeClr w14:val="tx1"/>
            </w14:solidFill>
          </w14:textFill>
        </w:rPr>
      </w:pPr>
    </w:p>
    <w:p w14:paraId="5161A470">
      <w:pPr>
        <w:pStyle w:val="5"/>
        <w:keepNext w:val="0"/>
        <w:keepLines w:val="0"/>
        <w:pageBreakBefore w:val="0"/>
        <w:wordWrap w:val="0"/>
        <w:overflowPunct/>
        <w:topLinePunct w:val="0"/>
        <w:bidi w:val="0"/>
        <w:spacing w:line="250" w:lineRule="auto"/>
        <w:rPr>
          <w:rFonts w:hint="eastAsia" w:ascii="宋体" w:hAnsi="宋体" w:eastAsia="宋体" w:cs="宋体"/>
          <w:color w:val="000000" w:themeColor="text1"/>
          <w:spacing w:val="0"/>
          <w:highlight w:val="none"/>
          <w14:textFill>
            <w14:solidFill>
              <w14:schemeClr w14:val="tx1"/>
            </w14:solidFill>
          </w14:textFill>
        </w:rPr>
      </w:pPr>
    </w:p>
    <w:p w14:paraId="641FA575">
      <w:pPr>
        <w:pStyle w:val="5"/>
        <w:keepNext w:val="0"/>
        <w:keepLines w:val="0"/>
        <w:pageBreakBefore w:val="0"/>
        <w:wordWrap w:val="0"/>
        <w:overflowPunct/>
        <w:topLinePunct w:val="0"/>
        <w:bidi w:val="0"/>
        <w:spacing w:line="251" w:lineRule="auto"/>
        <w:rPr>
          <w:rFonts w:hint="eastAsia" w:ascii="宋体" w:hAnsi="宋体" w:eastAsia="宋体" w:cs="宋体"/>
          <w:color w:val="000000" w:themeColor="text1"/>
          <w:spacing w:val="0"/>
          <w:highlight w:val="none"/>
          <w14:textFill>
            <w14:solidFill>
              <w14:schemeClr w14:val="tx1"/>
            </w14:solidFill>
          </w14:textFill>
        </w:rPr>
      </w:pPr>
    </w:p>
    <w:p w14:paraId="5A6A5383">
      <w:pPr>
        <w:keepNext w:val="0"/>
        <w:keepLines w:val="0"/>
        <w:pageBreakBefore w:val="0"/>
        <w:wordWrap w:val="0"/>
        <w:overflowPunct/>
        <w:topLinePunct w:val="0"/>
        <w:bidi w:val="0"/>
        <w:spacing w:before="78" w:line="221" w:lineRule="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致：</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（招标人名称）</w:t>
      </w:r>
    </w:p>
    <w:p w14:paraId="6DF111E3">
      <w:pPr>
        <w:keepNext w:val="0"/>
        <w:keepLines w:val="0"/>
        <w:pageBreakBefore w:val="0"/>
        <w:wordWrap w:val="0"/>
        <w:overflowPunct/>
        <w:topLinePunct w:val="0"/>
        <w:bidi w:val="0"/>
        <w:spacing w:before="155" w:line="324" w:lineRule="auto"/>
        <w:ind w:firstLine="4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我方在此声明，我方拟派往</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（项目名称）的项目经理</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（项目经理姓名）现阶段没有担任任何在施（包括已中标未开工、已开工未竣工）建设工程项目的项目经理。</w:t>
      </w:r>
    </w:p>
    <w:p w14:paraId="30B4DC4A">
      <w:pPr>
        <w:keepNext w:val="0"/>
        <w:keepLines w:val="0"/>
        <w:pageBreakBefore w:val="0"/>
        <w:wordWrap w:val="0"/>
        <w:overflowPunct/>
        <w:topLinePunct w:val="0"/>
        <w:bidi w:val="0"/>
        <w:spacing w:before="35" w:line="326" w:lineRule="auto"/>
        <w:ind w:firstLine="48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我方保证上述信息的真实和准确，并愿意承担因我方就此弄虚作假所引起的一切法律后果。</w:t>
      </w:r>
    </w:p>
    <w:p w14:paraId="3FFEA1FE">
      <w:pPr>
        <w:pStyle w:val="5"/>
        <w:keepNext w:val="0"/>
        <w:keepLines w:val="0"/>
        <w:pageBreakBefore w:val="0"/>
        <w:wordWrap w:val="0"/>
        <w:overflowPunct/>
        <w:topLinePunct w:val="0"/>
        <w:bidi w:val="0"/>
        <w:spacing w:line="391" w:lineRule="auto"/>
        <w:rPr>
          <w:rFonts w:hint="eastAsia" w:ascii="宋体" w:hAnsi="宋体" w:eastAsia="宋体" w:cs="宋体"/>
          <w:color w:val="000000" w:themeColor="text1"/>
          <w:spacing w:val="0"/>
          <w:highlight w:val="none"/>
          <w14:textFill>
            <w14:solidFill>
              <w14:schemeClr w14:val="tx1"/>
            </w14:solidFill>
          </w14:textFill>
        </w:rPr>
      </w:pPr>
    </w:p>
    <w:p w14:paraId="2CFADE2D">
      <w:pPr>
        <w:keepNext w:val="0"/>
        <w:keepLines w:val="0"/>
        <w:pageBreakBefore w:val="0"/>
        <w:wordWrap w:val="0"/>
        <w:overflowPunct/>
        <w:topLinePunct w:val="0"/>
        <w:bidi w:val="0"/>
        <w:spacing w:before="78" w:line="220" w:lineRule="auto"/>
        <w:ind w:left="4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特此承诺</w:t>
      </w:r>
    </w:p>
    <w:p w14:paraId="187690F7">
      <w:pPr>
        <w:pStyle w:val="5"/>
        <w:keepNext w:val="0"/>
        <w:keepLines w:val="0"/>
        <w:pageBreakBefore w:val="0"/>
        <w:wordWrap w:val="0"/>
        <w:overflowPunct/>
        <w:topLinePunct w:val="0"/>
        <w:bidi w:val="0"/>
        <w:spacing w:line="316" w:lineRule="auto"/>
        <w:rPr>
          <w:rFonts w:hint="eastAsia" w:ascii="宋体" w:hAnsi="宋体" w:eastAsia="宋体" w:cs="宋体"/>
          <w:color w:val="000000" w:themeColor="text1"/>
          <w:spacing w:val="0"/>
          <w:highlight w:val="none"/>
          <w14:textFill>
            <w14:solidFill>
              <w14:schemeClr w14:val="tx1"/>
            </w14:solidFill>
          </w14:textFill>
        </w:rPr>
      </w:pPr>
    </w:p>
    <w:p w14:paraId="5CA4FAA1">
      <w:pPr>
        <w:pStyle w:val="5"/>
        <w:keepNext w:val="0"/>
        <w:keepLines w:val="0"/>
        <w:pageBreakBefore w:val="0"/>
        <w:wordWrap w:val="0"/>
        <w:overflowPunct/>
        <w:topLinePunct w:val="0"/>
        <w:bidi w:val="0"/>
        <w:spacing w:line="317" w:lineRule="auto"/>
        <w:rPr>
          <w:rFonts w:hint="eastAsia" w:ascii="宋体" w:hAnsi="宋体" w:eastAsia="宋体" w:cs="宋体"/>
          <w:color w:val="000000" w:themeColor="text1"/>
          <w:spacing w:val="0"/>
          <w:highlight w:val="none"/>
          <w14:textFill>
            <w14:solidFill>
              <w14:schemeClr w14:val="tx1"/>
            </w14:solidFill>
          </w14:textFill>
        </w:rPr>
      </w:pPr>
    </w:p>
    <w:p w14:paraId="66166C76">
      <w:pPr>
        <w:pStyle w:val="5"/>
        <w:keepNext w:val="0"/>
        <w:keepLines w:val="0"/>
        <w:pageBreakBefore w:val="0"/>
        <w:wordWrap w:val="0"/>
        <w:overflowPunct/>
        <w:topLinePunct w:val="0"/>
        <w:bidi w:val="0"/>
        <w:spacing w:line="317" w:lineRule="auto"/>
        <w:rPr>
          <w:rFonts w:hint="eastAsia" w:ascii="宋体" w:hAnsi="宋体" w:eastAsia="宋体" w:cs="宋体"/>
          <w:color w:val="000000" w:themeColor="text1"/>
          <w:spacing w:val="0"/>
          <w:highlight w:val="none"/>
          <w14:textFill>
            <w14:solidFill>
              <w14:schemeClr w14:val="tx1"/>
            </w14:solidFill>
          </w14:textFill>
        </w:rPr>
      </w:pPr>
    </w:p>
    <w:p w14:paraId="07DB27C5">
      <w:pPr>
        <w:keepNext w:val="0"/>
        <w:keepLines w:val="0"/>
        <w:pageBreakBefore w:val="0"/>
        <w:wordWrap w:val="0"/>
        <w:overflowPunct/>
        <w:topLinePunct w:val="0"/>
        <w:bidi w:val="0"/>
        <w:spacing w:before="79" w:line="219" w:lineRule="auto"/>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投标人：</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（盖单位章）</w:t>
      </w:r>
    </w:p>
    <w:p w14:paraId="1AF704E9">
      <w:pPr>
        <w:pStyle w:val="5"/>
        <w:keepNext w:val="0"/>
        <w:keepLines w:val="0"/>
        <w:pageBreakBefore w:val="0"/>
        <w:wordWrap w:val="0"/>
        <w:overflowPunct/>
        <w:topLinePunct w:val="0"/>
        <w:bidi w:val="0"/>
        <w:spacing w:line="317" w:lineRule="auto"/>
        <w:rPr>
          <w:rFonts w:hint="eastAsia" w:ascii="宋体" w:hAnsi="宋体" w:eastAsia="宋体" w:cs="宋体"/>
          <w:color w:val="000000" w:themeColor="text1"/>
          <w:spacing w:val="0"/>
          <w:highlight w:val="none"/>
          <w14:textFill>
            <w14:solidFill>
              <w14:schemeClr w14:val="tx1"/>
            </w14:solidFill>
          </w14:textFill>
        </w:rPr>
      </w:pPr>
    </w:p>
    <w:p w14:paraId="4421D560">
      <w:pPr>
        <w:pStyle w:val="5"/>
        <w:keepNext w:val="0"/>
        <w:keepLines w:val="0"/>
        <w:pageBreakBefore w:val="0"/>
        <w:wordWrap w:val="0"/>
        <w:overflowPunct/>
        <w:topLinePunct w:val="0"/>
        <w:bidi w:val="0"/>
        <w:spacing w:line="317" w:lineRule="auto"/>
        <w:rPr>
          <w:rFonts w:hint="eastAsia" w:ascii="宋体" w:hAnsi="宋体" w:eastAsia="宋体" w:cs="宋体"/>
          <w:color w:val="000000" w:themeColor="text1"/>
          <w:spacing w:val="0"/>
          <w:highlight w:val="none"/>
          <w14:textFill>
            <w14:solidFill>
              <w14:schemeClr w14:val="tx1"/>
            </w14:solidFill>
          </w14:textFill>
        </w:rPr>
      </w:pPr>
    </w:p>
    <w:p w14:paraId="7188D609">
      <w:pPr>
        <w:pStyle w:val="5"/>
        <w:keepNext w:val="0"/>
        <w:keepLines w:val="0"/>
        <w:pageBreakBefore w:val="0"/>
        <w:wordWrap w:val="0"/>
        <w:overflowPunct/>
        <w:topLinePunct w:val="0"/>
        <w:bidi w:val="0"/>
        <w:spacing w:line="317" w:lineRule="auto"/>
        <w:rPr>
          <w:rFonts w:hint="eastAsia" w:ascii="宋体" w:hAnsi="宋体" w:eastAsia="宋体" w:cs="宋体"/>
          <w:color w:val="000000" w:themeColor="text1"/>
          <w:spacing w:val="0"/>
          <w:highlight w:val="none"/>
          <w14:textFill>
            <w14:solidFill>
              <w14:schemeClr w14:val="tx1"/>
            </w14:solidFill>
          </w14:textFill>
        </w:rPr>
      </w:pPr>
    </w:p>
    <w:p w14:paraId="6A29B34B">
      <w:pPr>
        <w:keepNext w:val="0"/>
        <w:keepLines w:val="0"/>
        <w:pageBreakBefore w:val="0"/>
        <w:wordWrap w:val="0"/>
        <w:overflowPunct/>
        <w:topLinePunct w:val="0"/>
        <w:bidi w:val="0"/>
        <w:spacing w:before="78" w:line="219" w:lineRule="auto"/>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法定代表人或其委托代理人：</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（签字或盖章）</w:t>
      </w:r>
    </w:p>
    <w:p w14:paraId="6AD94480">
      <w:pPr>
        <w:pStyle w:val="5"/>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234EACCA">
      <w:pPr>
        <w:pStyle w:val="5"/>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348EEA26">
      <w:pPr>
        <w:pStyle w:val="5"/>
        <w:keepNext w:val="0"/>
        <w:keepLines w:val="0"/>
        <w:pageBreakBefore w:val="0"/>
        <w:wordWrap w:val="0"/>
        <w:overflowPunct/>
        <w:topLinePunct w:val="0"/>
        <w:bidi w:val="0"/>
        <w:spacing w:line="254" w:lineRule="auto"/>
        <w:jc w:val="right"/>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年</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月</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日</w:t>
      </w:r>
    </w:p>
    <w:p w14:paraId="2C2A7387">
      <w:pPr>
        <w:keepNext w:val="0"/>
        <w:keepLines w:val="0"/>
        <w:pageBreakBefore w:val="0"/>
        <w:wordWrap w:val="0"/>
        <w:overflowPunct/>
        <w:topLinePunct w:val="0"/>
        <w:bidi w:val="0"/>
        <w:spacing w:line="220" w:lineRule="auto"/>
        <w:rPr>
          <w:rFonts w:hint="eastAsia" w:ascii="宋体" w:hAnsi="宋体" w:eastAsia="宋体" w:cs="宋体"/>
          <w:color w:val="000000" w:themeColor="text1"/>
          <w:spacing w:val="0"/>
          <w:sz w:val="24"/>
          <w:szCs w:val="24"/>
          <w:highlight w:val="none"/>
          <w14:textFill>
            <w14:solidFill>
              <w14:schemeClr w14:val="tx1"/>
            </w14:solidFill>
          </w14:textFill>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E9C11AF">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53" w:name="_Toc24491"/>
      <w:r>
        <w:rPr>
          <w:rFonts w:hint="eastAsia" w:ascii="宋体" w:hAnsi="宋体" w:eastAsia="宋体" w:cs="宋体"/>
          <w:b/>
          <w:bCs/>
          <w:color w:val="000000" w:themeColor="text1"/>
          <w:spacing w:val="0"/>
          <w:sz w:val="24"/>
          <w:szCs w:val="24"/>
          <w:highlight w:val="none"/>
          <w14:textFill>
            <w14:solidFill>
              <w14:schemeClr w14:val="tx1"/>
            </w14:solidFill>
          </w14:textFill>
        </w:rPr>
        <w:t>格式十 项目技术负责人简历表</w:t>
      </w:r>
      <w:bookmarkEnd w:id="253"/>
    </w:p>
    <w:p w14:paraId="4A542C8B">
      <w:pPr>
        <w:pStyle w:val="5"/>
        <w:keepNext w:val="0"/>
        <w:keepLines w:val="0"/>
        <w:pageBreakBefore w:val="0"/>
        <w:wordWrap w:val="0"/>
        <w:overflowPunct/>
        <w:topLinePunct w:val="0"/>
        <w:bidi w:val="0"/>
        <w:spacing w:line="444" w:lineRule="auto"/>
        <w:rPr>
          <w:rFonts w:hint="eastAsia" w:ascii="宋体" w:hAnsi="宋体" w:eastAsia="宋体" w:cs="宋体"/>
          <w:color w:val="000000" w:themeColor="text1"/>
          <w:spacing w:val="0"/>
          <w:highlight w:val="none"/>
          <w14:textFill>
            <w14:solidFill>
              <w14:schemeClr w14:val="tx1"/>
            </w14:solidFill>
          </w14:textFill>
        </w:rPr>
      </w:pPr>
    </w:p>
    <w:p w14:paraId="19FD339A">
      <w:pPr>
        <w:keepNext w:val="0"/>
        <w:keepLines w:val="0"/>
        <w:pageBreakBefore w:val="0"/>
        <w:wordWrap w:val="0"/>
        <w:overflowPunct/>
        <w:topLinePunct w:val="0"/>
        <w:bidi w:val="0"/>
        <w:spacing w:before="97" w:line="219" w:lineRule="auto"/>
        <w:ind w:left="3087"/>
        <w:outlineLvl w:val="9"/>
        <w:rPr>
          <w:rFonts w:hint="eastAsia" w:ascii="宋体" w:hAnsi="宋体" w:eastAsia="宋体" w:cs="宋体"/>
          <w:color w:val="000000" w:themeColor="text1"/>
          <w:spacing w:val="0"/>
          <w:sz w:val="30"/>
          <w:szCs w:val="30"/>
          <w:highlight w:val="none"/>
          <w14:textFill>
            <w14:solidFill>
              <w14:schemeClr w14:val="tx1"/>
            </w14:solidFill>
          </w14:textFill>
        </w:rPr>
      </w:pPr>
      <w:bookmarkStart w:id="254" w:name="_Toc1553"/>
      <w:bookmarkStart w:id="255" w:name="_Toc25712"/>
      <w:r>
        <w:rPr>
          <w:rFonts w:hint="eastAsia" w:ascii="宋体" w:hAnsi="宋体" w:eastAsia="宋体" w:cs="宋体"/>
          <w:b/>
          <w:bCs/>
          <w:color w:val="000000" w:themeColor="text1"/>
          <w:spacing w:val="0"/>
          <w:sz w:val="30"/>
          <w:szCs w:val="30"/>
          <w:highlight w:val="none"/>
          <w14:textFill>
            <w14:solidFill>
              <w14:schemeClr w14:val="tx1"/>
            </w14:solidFill>
          </w14:textFill>
        </w:rPr>
        <w:t>项目技术负责人简历表</w:t>
      </w:r>
      <w:bookmarkEnd w:id="254"/>
      <w:bookmarkEnd w:id="255"/>
    </w:p>
    <w:p w14:paraId="76293364">
      <w:pPr>
        <w:keepNext w:val="0"/>
        <w:keepLines w:val="0"/>
        <w:pageBreakBefore w:val="0"/>
        <w:wordWrap w:val="0"/>
        <w:overflowPunct/>
        <w:topLinePunct w:val="0"/>
        <w:bidi w:val="0"/>
        <w:spacing w:line="240" w:lineRule="exact"/>
        <w:rPr>
          <w:rFonts w:hint="eastAsia" w:ascii="宋体" w:hAnsi="宋体" w:eastAsia="宋体" w:cs="宋体"/>
          <w:color w:val="000000" w:themeColor="text1"/>
          <w:spacing w:val="0"/>
          <w:highlight w:val="none"/>
          <w14:textFill>
            <w14:solidFill>
              <w14:schemeClr w14:val="tx1"/>
            </w14:solidFill>
          </w14:textFill>
        </w:rPr>
      </w:pPr>
    </w:p>
    <w:tbl>
      <w:tblPr>
        <w:tblStyle w:val="14"/>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2EEC3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center"/>
          </w:tcPr>
          <w:p w14:paraId="202B1A61">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姓   名</w:t>
            </w:r>
          </w:p>
        </w:tc>
        <w:tc>
          <w:tcPr>
            <w:tcW w:w="1282" w:type="dxa"/>
            <w:gridSpan w:val="2"/>
            <w:vAlign w:val="center"/>
          </w:tcPr>
          <w:p w14:paraId="35180F15">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pPr>
          </w:p>
        </w:tc>
        <w:tc>
          <w:tcPr>
            <w:tcW w:w="1346" w:type="dxa"/>
            <w:vAlign w:val="center"/>
          </w:tcPr>
          <w:p w14:paraId="411B9C93">
            <w:pPr>
              <w:keepNext w:val="0"/>
              <w:keepLines w:val="0"/>
              <w:pageBreakBefore w:val="0"/>
              <w:widowControl/>
              <w:kinsoku w:val="0"/>
              <w:wordWrap w:val="0"/>
              <w:overflowPunct/>
              <w:topLinePunct w:val="0"/>
              <w:autoSpaceDE w:val="0"/>
              <w:autoSpaceDN w:val="0"/>
              <w:bidi w:val="0"/>
              <w:adjustRightInd w:val="0"/>
              <w:snapToGrid w:val="0"/>
              <w:spacing w:before="177"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性  别</w:t>
            </w:r>
          </w:p>
        </w:tc>
        <w:tc>
          <w:tcPr>
            <w:tcW w:w="2047" w:type="dxa"/>
            <w:vAlign w:val="center"/>
          </w:tcPr>
          <w:p w14:paraId="2F452FFD">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83" w:type="dxa"/>
            <w:vAlign w:val="center"/>
          </w:tcPr>
          <w:p w14:paraId="2A711865">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年   龄</w:t>
            </w:r>
          </w:p>
        </w:tc>
        <w:tc>
          <w:tcPr>
            <w:tcW w:w="1386" w:type="dxa"/>
            <w:vAlign w:val="center"/>
          </w:tcPr>
          <w:p w14:paraId="5240B450">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76C2B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center"/>
          </w:tcPr>
          <w:p w14:paraId="29B76BC5">
            <w:pPr>
              <w:keepNext w:val="0"/>
              <w:keepLines w:val="0"/>
              <w:pageBreakBefore w:val="0"/>
              <w:widowControl/>
              <w:kinsoku w:val="0"/>
              <w:wordWrap w:val="0"/>
              <w:overflowPunct/>
              <w:topLinePunct w:val="0"/>
              <w:autoSpaceDE w:val="0"/>
              <w:autoSpaceDN w:val="0"/>
              <w:bidi w:val="0"/>
              <w:adjustRightInd w:val="0"/>
              <w:snapToGrid w:val="0"/>
              <w:spacing w:before="175"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职   务</w:t>
            </w:r>
          </w:p>
        </w:tc>
        <w:tc>
          <w:tcPr>
            <w:tcW w:w="1282" w:type="dxa"/>
            <w:gridSpan w:val="2"/>
            <w:vAlign w:val="center"/>
          </w:tcPr>
          <w:p w14:paraId="307065D1">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46" w:type="dxa"/>
            <w:vAlign w:val="center"/>
          </w:tcPr>
          <w:p w14:paraId="2E6461F1">
            <w:pPr>
              <w:keepNext w:val="0"/>
              <w:keepLines w:val="0"/>
              <w:pageBreakBefore w:val="0"/>
              <w:widowControl/>
              <w:kinsoku w:val="0"/>
              <w:wordWrap w:val="0"/>
              <w:overflowPunct/>
              <w:topLinePunct w:val="0"/>
              <w:autoSpaceDE w:val="0"/>
              <w:autoSpaceDN w:val="0"/>
              <w:bidi w:val="0"/>
              <w:adjustRightInd w:val="0"/>
              <w:snapToGrid w:val="0"/>
              <w:spacing w:before="174" w:line="231"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职  称</w:t>
            </w:r>
          </w:p>
        </w:tc>
        <w:tc>
          <w:tcPr>
            <w:tcW w:w="2047" w:type="dxa"/>
            <w:vAlign w:val="center"/>
          </w:tcPr>
          <w:p w14:paraId="59539D93">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83" w:type="dxa"/>
            <w:vAlign w:val="center"/>
          </w:tcPr>
          <w:p w14:paraId="1F83FFA8">
            <w:pPr>
              <w:keepNext w:val="0"/>
              <w:keepLines w:val="0"/>
              <w:pageBreakBefore w:val="0"/>
              <w:widowControl/>
              <w:kinsoku w:val="0"/>
              <w:wordWrap w:val="0"/>
              <w:overflowPunct/>
              <w:topLinePunct w:val="0"/>
              <w:autoSpaceDE w:val="0"/>
              <w:autoSpaceDN w:val="0"/>
              <w:bidi w:val="0"/>
              <w:adjustRightInd w:val="0"/>
              <w:snapToGrid w:val="0"/>
              <w:spacing w:before="175" w:line="230"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学   历</w:t>
            </w:r>
          </w:p>
        </w:tc>
        <w:tc>
          <w:tcPr>
            <w:tcW w:w="1386" w:type="dxa"/>
            <w:vAlign w:val="center"/>
          </w:tcPr>
          <w:p w14:paraId="46640CDA">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6C17D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center"/>
          </w:tcPr>
          <w:p w14:paraId="2A561424">
            <w:pPr>
              <w:keepNext w:val="0"/>
              <w:keepLines w:val="0"/>
              <w:pageBreakBefore w:val="0"/>
              <w:widowControl/>
              <w:kinsoku w:val="0"/>
              <w:wordWrap w:val="0"/>
              <w:overflowPunct/>
              <w:topLinePunct w:val="0"/>
              <w:autoSpaceDE w:val="0"/>
              <w:autoSpaceDN w:val="0"/>
              <w:bidi w:val="0"/>
              <w:adjustRightInd w:val="0"/>
              <w:snapToGrid w:val="0"/>
              <w:spacing w:before="175"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参加工作时间</w:t>
            </w:r>
          </w:p>
        </w:tc>
        <w:tc>
          <w:tcPr>
            <w:tcW w:w="2628" w:type="dxa"/>
            <w:gridSpan w:val="3"/>
            <w:vAlign w:val="center"/>
          </w:tcPr>
          <w:p w14:paraId="14B00331">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3830" w:type="dxa"/>
            <w:gridSpan w:val="2"/>
            <w:vAlign w:val="center"/>
          </w:tcPr>
          <w:p w14:paraId="0B864845">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从事工程建设项目管理工作年限</w:t>
            </w:r>
          </w:p>
        </w:tc>
        <w:tc>
          <w:tcPr>
            <w:tcW w:w="1386" w:type="dxa"/>
            <w:vAlign w:val="center"/>
          </w:tcPr>
          <w:p w14:paraId="18B2FE92">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7C727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center"/>
          </w:tcPr>
          <w:p w14:paraId="0F93C385">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以项目技术负责人身份参与过的主要业绩（已完工项目）</w:t>
            </w:r>
          </w:p>
        </w:tc>
      </w:tr>
      <w:tr w14:paraId="259C5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center"/>
          </w:tcPr>
          <w:p w14:paraId="23B1418B">
            <w:pPr>
              <w:keepNext w:val="0"/>
              <w:keepLines w:val="0"/>
              <w:pageBreakBefore w:val="0"/>
              <w:widowControl/>
              <w:kinsoku w:val="0"/>
              <w:wordWrap w:val="0"/>
              <w:overflowPunct/>
              <w:topLinePunct w:val="0"/>
              <w:autoSpaceDE w:val="0"/>
              <w:autoSpaceDN w:val="0"/>
              <w:bidi w:val="0"/>
              <w:adjustRightInd w:val="0"/>
              <w:snapToGrid w:val="0"/>
              <w:spacing w:before="176" w:line="230"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序号</w:t>
            </w:r>
          </w:p>
        </w:tc>
        <w:tc>
          <w:tcPr>
            <w:tcW w:w="1610" w:type="dxa"/>
            <w:gridSpan w:val="2"/>
            <w:vAlign w:val="center"/>
          </w:tcPr>
          <w:p w14:paraId="7FF7FF79">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项目名称</w:t>
            </w:r>
          </w:p>
        </w:tc>
        <w:tc>
          <w:tcPr>
            <w:tcW w:w="2021" w:type="dxa"/>
            <w:gridSpan w:val="2"/>
            <w:vAlign w:val="center"/>
          </w:tcPr>
          <w:p w14:paraId="7075F8FD">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建设单位</w:t>
            </w:r>
          </w:p>
        </w:tc>
        <w:tc>
          <w:tcPr>
            <w:tcW w:w="2047" w:type="dxa"/>
            <w:vAlign w:val="center"/>
          </w:tcPr>
          <w:p w14:paraId="00179D26">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建设内容和规模</w:t>
            </w:r>
          </w:p>
        </w:tc>
        <w:tc>
          <w:tcPr>
            <w:tcW w:w="1783" w:type="dxa"/>
            <w:vAlign w:val="center"/>
          </w:tcPr>
          <w:p w14:paraId="236A707E">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开、竣工日期</w:t>
            </w:r>
          </w:p>
        </w:tc>
        <w:tc>
          <w:tcPr>
            <w:tcW w:w="1386" w:type="dxa"/>
            <w:vAlign w:val="center"/>
          </w:tcPr>
          <w:p w14:paraId="2BE768CF">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质量等级</w:t>
            </w:r>
          </w:p>
        </w:tc>
      </w:tr>
      <w:tr w14:paraId="04238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0F63873B">
            <w:pPr>
              <w:keepNext w:val="0"/>
              <w:keepLines w:val="0"/>
              <w:pageBreakBefore w:val="0"/>
              <w:widowControl/>
              <w:kinsoku w:val="0"/>
              <w:wordWrap w:val="0"/>
              <w:overflowPunct/>
              <w:topLinePunct w:val="0"/>
              <w:autoSpaceDE w:val="0"/>
              <w:autoSpaceDN w:val="0"/>
              <w:bidi w:val="0"/>
              <w:adjustRightInd w:val="0"/>
              <w:snapToGrid w:val="0"/>
              <w:spacing w:before="214" w:line="195"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w:t>
            </w:r>
          </w:p>
        </w:tc>
        <w:tc>
          <w:tcPr>
            <w:tcW w:w="1610" w:type="dxa"/>
            <w:gridSpan w:val="2"/>
            <w:vAlign w:val="center"/>
          </w:tcPr>
          <w:p w14:paraId="578F80B6">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21" w:type="dxa"/>
            <w:gridSpan w:val="2"/>
            <w:vAlign w:val="center"/>
          </w:tcPr>
          <w:p w14:paraId="6F99EC2B">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47" w:type="dxa"/>
            <w:vAlign w:val="center"/>
          </w:tcPr>
          <w:p w14:paraId="4631B1E5">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83" w:type="dxa"/>
            <w:vAlign w:val="center"/>
          </w:tcPr>
          <w:p w14:paraId="2230ED03">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86" w:type="dxa"/>
            <w:vAlign w:val="center"/>
          </w:tcPr>
          <w:p w14:paraId="01694071">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3653F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center"/>
          </w:tcPr>
          <w:p w14:paraId="7F39EB96">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w:t>
            </w:r>
          </w:p>
        </w:tc>
        <w:tc>
          <w:tcPr>
            <w:tcW w:w="1610" w:type="dxa"/>
            <w:gridSpan w:val="2"/>
            <w:vAlign w:val="center"/>
          </w:tcPr>
          <w:p w14:paraId="2429E204">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21" w:type="dxa"/>
            <w:gridSpan w:val="2"/>
            <w:vAlign w:val="center"/>
          </w:tcPr>
          <w:p w14:paraId="21F39687">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47" w:type="dxa"/>
            <w:vAlign w:val="center"/>
          </w:tcPr>
          <w:p w14:paraId="187647C5">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83" w:type="dxa"/>
            <w:vAlign w:val="center"/>
          </w:tcPr>
          <w:p w14:paraId="12E10BAB">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86" w:type="dxa"/>
            <w:vAlign w:val="center"/>
          </w:tcPr>
          <w:p w14:paraId="2CCF984C">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0E2BD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4C3BEFDC">
            <w:pPr>
              <w:keepNext w:val="0"/>
              <w:keepLines w:val="0"/>
              <w:pageBreakBefore w:val="0"/>
              <w:widowControl/>
              <w:kinsoku w:val="0"/>
              <w:wordWrap w:val="0"/>
              <w:overflowPunct/>
              <w:topLinePunct w:val="0"/>
              <w:autoSpaceDE w:val="0"/>
              <w:autoSpaceDN w:val="0"/>
              <w:bidi w:val="0"/>
              <w:adjustRightInd w:val="0"/>
              <w:snapToGrid w:val="0"/>
              <w:spacing w:before="178" w:line="324" w:lineRule="exact"/>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3"/>
                <w:sz w:val="24"/>
                <w:szCs w:val="24"/>
                <w:highlight w:val="none"/>
                <w14:textFill>
                  <w14:solidFill>
                    <w14:schemeClr w14:val="tx1"/>
                  </w14:solidFill>
                </w14:textFill>
              </w:rPr>
              <w:t>……</w:t>
            </w:r>
          </w:p>
        </w:tc>
        <w:tc>
          <w:tcPr>
            <w:tcW w:w="1610" w:type="dxa"/>
            <w:gridSpan w:val="2"/>
            <w:vAlign w:val="center"/>
          </w:tcPr>
          <w:p w14:paraId="4CA19BCB">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21" w:type="dxa"/>
            <w:gridSpan w:val="2"/>
            <w:vAlign w:val="center"/>
          </w:tcPr>
          <w:p w14:paraId="3B5F7A6D">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47" w:type="dxa"/>
            <w:vAlign w:val="center"/>
          </w:tcPr>
          <w:p w14:paraId="2C82DE69">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83" w:type="dxa"/>
            <w:vAlign w:val="center"/>
          </w:tcPr>
          <w:p w14:paraId="1E92035E">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86" w:type="dxa"/>
            <w:vAlign w:val="center"/>
          </w:tcPr>
          <w:p w14:paraId="0264D791">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6F797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468DEEC3">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610" w:type="dxa"/>
            <w:gridSpan w:val="2"/>
            <w:vAlign w:val="center"/>
          </w:tcPr>
          <w:p w14:paraId="4D6AC80A">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21" w:type="dxa"/>
            <w:gridSpan w:val="2"/>
            <w:vAlign w:val="center"/>
          </w:tcPr>
          <w:p w14:paraId="477B4007">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47" w:type="dxa"/>
            <w:vAlign w:val="center"/>
          </w:tcPr>
          <w:p w14:paraId="1E64ACA0">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83" w:type="dxa"/>
            <w:vAlign w:val="center"/>
          </w:tcPr>
          <w:p w14:paraId="10A6E2C9">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86" w:type="dxa"/>
            <w:vAlign w:val="center"/>
          </w:tcPr>
          <w:p w14:paraId="262B31DB">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2483F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center"/>
          </w:tcPr>
          <w:p w14:paraId="46E95890">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610" w:type="dxa"/>
            <w:gridSpan w:val="2"/>
            <w:vAlign w:val="center"/>
          </w:tcPr>
          <w:p w14:paraId="6C7700FC">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21" w:type="dxa"/>
            <w:gridSpan w:val="2"/>
            <w:vAlign w:val="center"/>
          </w:tcPr>
          <w:p w14:paraId="7FB1A631">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47" w:type="dxa"/>
            <w:vAlign w:val="center"/>
          </w:tcPr>
          <w:p w14:paraId="748C3361">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83" w:type="dxa"/>
            <w:vAlign w:val="center"/>
          </w:tcPr>
          <w:p w14:paraId="47051D94">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86" w:type="dxa"/>
            <w:vAlign w:val="center"/>
          </w:tcPr>
          <w:p w14:paraId="5DDD3800">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bl>
    <w:p w14:paraId="65A12D51">
      <w:pPr>
        <w:pStyle w:val="5"/>
        <w:keepNext w:val="0"/>
        <w:keepLines w:val="0"/>
        <w:pageBreakBefore w:val="0"/>
        <w:wordWrap w:val="0"/>
        <w:overflowPunct/>
        <w:topLinePunct w:val="0"/>
        <w:bidi w:val="0"/>
        <w:spacing w:line="314"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06CDD6A3">
      <w:pPr>
        <w:pStyle w:val="5"/>
        <w:keepNext w:val="0"/>
        <w:keepLines w:val="0"/>
        <w:pageBreakBefore w:val="0"/>
        <w:wordWrap w:val="0"/>
        <w:overflowPunct/>
        <w:topLinePunct w:val="0"/>
        <w:bidi w:val="0"/>
        <w:spacing w:line="315"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23DA4F53">
      <w:pPr>
        <w:keepNext w:val="0"/>
        <w:keepLines w:val="0"/>
        <w:pageBreakBefore w:val="0"/>
        <w:wordWrap w:val="0"/>
        <w:overflowPunct/>
        <w:topLinePunct w:val="0"/>
        <w:bidi w:val="0"/>
        <w:spacing w:before="78" w:line="220" w:lineRule="auto"/>
        <w:ind w:left="5165"/>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项目技术负责人：</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（签字）</w:t>
      </w:r>
    </w:p>
    <w:p w14:paraId="765047AA">
      <w:pPr>
        <w:pStyle w:val="5"/>
        <w:keepNext w:val="0"/>
        <w:keepLines w:val="0"/>
        <w:pageBreakBefore w:val="0"/>
        <w:wordWrap w:val="0"/>
        <w:overflowPunct/>
        <w:topLinePunct w:val="0"/>
        <w:bidi w:val="0"/>
        <w:spacing w:line="256" w:lineRule="auto"/>
        <w:jc w:val="right"/>
        <w:rPr>
          <w:rFonts w:hint="eastAsia" w:ascii="宋体" w:hAnsi="宋体" w:eastAsia="宋体" w:cs="宋体"/>
          <w:color w:val="000000" w:themeColor="text1"/>
          <w:spacing w:val="0"/>
          <w:sz w:val="24"/>
          <w:szCs w:val="24"/>
          <w:highlight w:val="none"/>
          <w14:textFill>
            <w14:solidFill>
              <w14:schemeClr w14:val="tx1"/>
            </w14:solidFill>
          </w14:textFill>
        </w:rPr>
      </w:pPr>
    </w:p>
    <w:p w14:paraId="48E9D4AF">
      <w:pPr>
        <w:pStyle w:val="5"/>
        <w:keepNext w:val="0"/>
        <w:keepLines w:val="0"/>
        <w:pageBreakBefore w:val="0"/>
        <w:wordWrap w:val="0"/>
        <w:overflowPunct/>
        <w:topLinePunct w:val="0"/>
        <w:bidi w:val="0"/>
        <w:spacing w:line="257" w:lineRule="auto"/>
        <w:jc w:val="right"/>
        <w:rPr>
          <w:rFonts w:hint="eastAsia" w:ascii="宋体" w:hAnsi="宋体" w:eastAsia="宋体" w:cs="宋体"/>
          <w:color w:val="000000" w:themeColor="text1"/>
          <w:spacing w:val="0"/>
          <w:sz w:val="24"/>
          <w:szCs w:val="24"/>
          <w:highlight w:val="none"/>
          <w14:textFill>
            <w14:solidFill>
              <w14:schemeClr w14:val="tx1"/>
            </w14:solidFill>
          </w14:textFill>
        </w:rPr>
      </w:pPr>
    </w:p>
    <w:p w14:paraId="7AFA30EA">
      <w:pPr>
        <w:pStyle w:val="5"/>
        <w:keepNext w:val="0"/>
        <w:keepLines w:val="0"/>
        <w:pageBreakBefore w:val="0"/>
        <w:wordWrap w:val="0"/>
        <w:overflowPunct/>
        <w:topLinePunct w:val="0"/>
        <w:bidi w:val="0"/>
        <w:spacing w:line="254" w:lineRule="auto"/>
        <w:jc w:val="right"/>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年</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月</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日</w:t>
      </w:r>
    </w:p>
    <w:p w14:paraId="6EF6B21B">
      <w:pPr>
        <w:keepNext w:val="0"/>
        <w:keepLines w:val="0"/>
        <w:pageBreakBefore w:val="0"/>
        <w:widowControl/>
        <w:kinsoku w:val="0"/>
        <w:wordWrap w:val="0"/>
        <w:overflowPunct/>
        <w:topLinePunct w:val="0"/>
        <w:autoSpaceDE w:val="0"/>
        <w:autoSpaceDN w:val="0"/>
        <w:bidi w:val="0"/>
        <w:adjustRightInd/>
        <w:snapToGrid/>
        <w:spacing w:before="65" w:line="360" w:lineRule="auto"/>
        <w:ind w:left="0" w:right="0" w:firstLine="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说明：《项目技术负责人简历表》后应附拟派项目技术负责人以下资料：</w:t>
      </w:r>
    </w:p>
    <w:p w14:paraId="5ED95DA0">
      <w:pPr>
        <w:keepNext w:val="0"/>
        <w:keepLines w:val="0"/>
        <w:pageBreakBefore w:val="0"/>
        <w:widowControl/>
        <w:kinsoku w:val="0"/>
        <w:wordWrap w:val="0"/>
        <w:overflowPunct/>
        <w:topLinePunct w:val="0"/>
        <w:autoSpaceDE w:val="0"/>
        <w:autoSpaceDN w:val="0"/>
        <w:bidi w:val="0"/>
        <w:adjustRightInd/>
        <w:snapToGrid/>
        <w:spacing w:before="155" w:line="360" w:lineRule="auto"/>
        <w:ind w:left="0" w:right="0" w:firstLine="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 ．身份证彩色扫描件；</w:t>
      </w:r>
    </w:p>
    <w:p w14:paraId="1DB79E91">
      <w:pPr>
        <w:keepNext w:val="0"/>
        <w:keepLines w:val="0"/>
        <w:pageBreakBefore w:val="0"/>
        <w:widowControl/>
        <w:kinsoku w:val="0"/>
        <w:wordWrap w:val="0"/>
        <w:overflowPunct/>
        <w:topLinePunct w:val="0"/>
        <w:autoSpaceDE w:val="0"/>
        <w:autoSpaceDN w:val="0"/>
        <w:bidi w:val="0"/>
        <w:adjustRightInd/>
        <w:snapToGrid/>
        <w:spacing w:before="151" w:line="360" w:lineRule="auto"/>
        <w:ind w:left="0" w:right="0" w:firstLine="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 ．职称证彩色扫描件；</w:t>
      </w:r>
    </w:p>
    <w:p w14:paraId="21264357">
      <w:pPr>
        <w:keepNext w:val="0"/>
        <w:keepLines w:val="0"/>
        <w:pageBreakBefore w:val="0"/>
        <w:widowControl/>
        <w:kinsoku w:val="0"/>
        <w:wordWrap w:val="0"/>
        <w:overflowPunct/>
        <w:topLinePunct w:val="0"/>
        <w:autoSpaceDE w:val="0"/>
        <w:autoSpaceDN w:val="0"/>
        <w:bidi w:val="0"/>
        <w:adjustRightInd/>
        <w:snapToGrid/>
        <w:spacing w:before="153" w:line="360" w:lineRule="auto"/>
        <w:ind w:left="0" w:right="0" w:firstLine="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 ．在本单位缴纳社保的证明（</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至少</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个月</w:t>
      </w:r>
      <w:r>
        <w:rPr>
          <w:rFonts w:hint="eastAsia" w:ascii="宋体" w:hAnsi="宋体" w:eastAsia="宋体" w:cs="宋体"/>
          <w:color w:val="000000" w:themeColor="text1"/>
          <w:spacing w:val="0"/>
          <w:sz w:val="24"/>
          <w:szCs w:val="24"/>
          <w:highlight w:val="none"/>
          <w14:textFill>
            <w14:solidFill>
              <w14:schemeClr w14:val="tx1"/>
            </w14:solidFill>
          </w14:textFill>
        </w:rPr>
        <w:t xml:space="preserve">，其中必须有 </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202</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pacing w:val="0"/>
          <w:sz w:val="24"/>
          <w:szCs w:val="24"/>
          <w:highlight w:val="none"/>
          <w14:textFill>
            <w14:solidFill>
              <w14:schemeClr w14:val="tx1"/>
            </w14:solidFill>
          </w14:textFill>
        </w:rPr>
        <w:t>年</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pacing w:val="0"/>
          <w:sz w:val="24"/>
          <w:szCs w:val="24"/>
          <w:highlight w:val="none"/>
          <w14:textFill>
            <w14:solidFill>
              <w14:schemeClr w14:val="tx1"/>
            </w14:solidFill>
          </w14:textFill>
        </w:rPr>
        <w:t>月）扫描件</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或打印件</w:t>
      </w:r>
      <w:r>
        <w:rPr>
          <w:rFonts w:hint="eastAsia" w:ascii="宋体" w:hAnsi="宋体" w:eastAsia="宋体" w:cs="宋体"/>
          <w:color w:val="000000" w:themeColor="text1"/>
          <w:spacing w:val="0"/>
          <w:sz w:val="24"/>
          <w:szCs w:val="24"/>
          <w:highlight w:val="none"/>
          <w14:textFill>
            <w14:solidFill>
              <w14:schemeClr w14:val="tx1"/>
            </w14:solidFill>
          </w14:textFill>
        </w:rPr>
        <w:t>。 拟派项目技术负责人为退休返聘人员无法提供社保证明的，提供退休证和劳动合同彩色扫描件。</w:t>
      </w:r>
    </w:p>
    <w:p w14:paraId="6422CCA0">
      <w:pPr>
        <w:keepNext w:val="0"/>
        <w:keepLines w:val="0"/>
        <w:pageBreakBefore w:val="0"/>
        <w:widowControl/>
        <w:kinsoku w:val="0"/>
        <w:wordWrap w:val="0"/>
        <w:overflowPunct/>
        <w:topLinePunct w:val="0"/>
        <w:autoSpaceDE w:val="0"/>
        <w:autoSpaceDN w:val="0"/>
        <w:bidi w:val="0"/>
        <w:adjustRightInd/>
        <w:snapToGrid/>
        <w:spacing w:before="153" w:line="360" w:lineRule="auto"/>
        <w:ind w:left="0" w:right="0" w:firstLine="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 ．“进粤企业和人员诚信信息登记平台 ”个人信息情况截图。（适用于省外建筑企业）</w:t>
      </w:r>
    </w:p>
    <w:p w14:paraId="2833B1E2">
      <w:pPr>
        <w:keepNext w:val="0"/>
        <w:keepLines w:val="0"/>
        <w:pageBreakBefore w:val="0"/>
        <w:wordWrap w:val="0"/>
        <w:overflowPunct/>
        <w:topLinePunct w:val="0"/>
        <w:bidi w:val="0"/>
        <w:spacing w:line="228" w:lineRule="auto"/>
        <w:rPr>
          <w:rFonts w:hint="eastAsia" w:ascii="宋体" w:hAnsi="宋体" w:eastAsia="宋体" w:cs="宋体"/>
          <w:color w:val="000000" w:themeColor="text1"/>
          <w:spacing w:val="0"/>
          <w:sz w:val="20"/>
          <w:szCs w:val="20"/>
          <w:highlight w:val="none"/>
          <w14:textFill>
            <w14:solidFill>
              <w14:schemeClr w14:val="tx1"/>
            </w14:solidFill>
          </w14:textFill>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40C4B517">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56" w:name="_Toc10709"/>
      <w:r>
        <w:rPr>
          <w:rFonts w:hint="eastAsia" w:ascii="宋体" w:hAnsi="宋体" w:eastAsia="宋体" w:cs="宋体"/>
          <w:b/>
          <w:bCs/>
          <w:color w:val="000000" w:themeColor="text1"/>
          <w:spacing w:val="0"/>
          <w:sz w:val="24"/>
          <w:szCs w:val="24"/>
          <w:highlight w:val="none"/>
          <w14:textFill>
            <w14:solidFill>
              <w14:schemeClr w14:val="tx1"/>
            </w14:solidFill>
          </w14:textFill>
        </w:rPr>
        <w:t>格式十一 项目管理机构组成表</w:t>
      </w:r>
      <w:bookmarkEnd w:id="256"/>
    </w:p>
    <w:p w14:paraId="3B084A82">
      <w:pPr>
        <w:pStyle w:val="5"/>
        <w:keepNext w:val="0"/>
        <w:keepLines w:val="0"/>
        <w:pageBreakBefore w:val="0"/>
        <w:wordWrap w:val="0"/>
        <w:overflowPunct/>
        <w:topLinePunct w:val="0"/>
        <w:bidi w:val="0"/>
        <w:spacing w:line="351" w:lineRule="auto"/>
        <w:rPr>
          <w:rFonts w:hint="eastAsia" w:ascii="宋体" w:hAnsi="宋体" w:eastAsia="宋体" w:cs="宋体"/>
          <w:color w:val="000000" w:themeColor="text1"/>
          <w:spacing w:val="0"/>
          <w:highlight w:val="none"/>
          <w14:textFill>
            <w14:solidFill>
              <w14:schemeClr w14:val="tx1"/>
            </w14:solidFill>
          </w14:textFill>
        </w:rPr>
      </w:pPr>
    </w:p>
    <w:p w14:paraId="25B0F7B1">
      <w:pPr>
        <w:pStyle w:val="5"/>
        <w:keepNext w:val="0"/>
        <w:keepLines w:val="0"/>
        <w:pageBreakBefore w:val="0"/>
        <w:wordWrap w:val="0"/>
        <w:overflowPunct/>
        <w:topLinePunct w:val="0"/>
        <w:bidi w:val="0"/>
        <w:spacing w:line="351" w:lineRule="auto"/>
        <w:rPr>
          <w:rFonts w:hint="eastAsia" w:ascii="宋体" w:hAnsi="宋体" w:eastAsia="宋体" w:cs="宋体"/>
          <w:color w:val="000000" w:themeColor="text1"/>
          <w:spacing w:val="0"/>
          <w:highlight w:val="none"/>
          <w14:textFill>
            <w14:solidFill>
              <w14:schemeClr w14:val="tx1"/>
            </w14:solidFill>
          </w14:textFill>
        </w:rPr>
      </w:pPr>
    </w:p>
    <w:p w14:paraId="4DF3D9BA">
      <w:pPr>
        <w:keepNext w:val="0"/>
        <w:keepLines w:val="0"/>
        <w:pageBreakBefore w:val="0"/>
        <w:wordWrap w:val="0"/>
        <w:overflowPunct/>
        <w:topLinePunct w:val="0"/>
        <w:bidi w:val="0"/>
        <w:spacing w:before="97" w:line="219" w:lineRule="auto"/>
        <w:ind w:left="3200"/>
        <w:outlineLvl w:val="9"/>
        <w:rPr>
          <w:rFonts w:hint="eastAsia" w:ascii="宋体" w:hAnsi="宋体" w:eastAsia="宋体" w:cs="宋体"/>
          <w:color w:val="000000" w:themeColor="text1"/>
          <w:spacing w:val="0"/>
          <w:sz w:val="30"/>
          <w:szCs w:val="30"/>
          <w:highlight w:val="none"/>
          <w14:textFill>
            <w14:solidFill>
              <w14:schemeClr w14:val="tx1"/>
            </w14:solidFill>
          </w14:textFill>
        </w:rPr>
      </w:pPr>
      <w:bookmarkStart w:id="257" w:name="bookmark158"/>
      <w:bookmarkEnd w:id="257"/>
      <w:bookmarkStart w:id="258" w:name="_Toc19973"/>
      <w:bookmarkStart w:id="259" w:name="_Toc28765"/>
      <w:r>
        <w:rPr>
          <w:rFonts w:hint="eastAsia" w:ascii="宋体" w:hAnsi="宋体" w:eastAsia="宋体" w:cs="宋体"/>
          <w:b/>
          <w:bCs/>
          <w:color w:val="000000" w:themeColor="text1"/>
          <w:spacing w:val="0"/>
          <w:sz w:val="30"/>
          <w:szCs w:val="30"/>
          <w:highlight w:val="none"/>
          <w14:textFill>
            <w14:solidFill>
              <w14:schemeClr w14:val="tx1"/>
            </w14:solidFill>
          </w14:textFill>
        </w:rPr>
        <w:t>项目管理机构组成表</w:t>
      </w:r>
      <w:bookmarkEnd w:id="258"/>
      <w:bookmarkEnd w:id="259"/>
    </w:p>
    <w:p w14:paraId="14B78991">
      <w:pPr>
        <w:keepNext w:val="0"/>
        <w:keepLines w:val="0"/>
        <w:pageBreakBefore w:val="0"/>
        <w:wordWrap w:val="0"/>
        <w:overflowPunct/>
        <w:topLinePunct w:val="0"/>
        <w:bidi w:val="0"/>
        <w:spacing w:before="7"/>
        <w:rPr>
          <w:rFonts w:hint="eastAsia" w:ascii="宋体" w:hAnsi="宋体" w:eastAsia="宋体" w:cs="宋体"/>
          <w:color w:val="000000" w:themeColor="text1"/>
          <w:spacing w:val="0"/>
          <w:highlight w:val="none"/>
          <w14:textFill>
            <w14:solidFill>
              <w14:schemeClr w14:val="tx1"/>
            </w14:solidFill>
          </w14:textFill>
        </w:rPr>
      </w:pPr>
    </w:p>
    <w:tbl>
      <w:tblPr>
        <w:tblStyle w:val="14"/>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50326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center"/>
          </w:tcPr>
          <w:p w14:paraId="60869D9E">
            <w:pPr>
              <w:keepNext w:val="0"/>
              <w:keepLines w:val="0"/>
              <w:pageBreakBefore w:val="0"/>
              <w:widowControl/>
              <w:kinsoku w:val="0"/>
              <w:wordWrap w:val="0"/>
              <w:overflowPunct/>
              <w:topLinePunct w:val="0"/>
              <w:autoSpaceDE w:val="0"/>
              <w:autoSpaceDN w:val="0"/>
              <w:bidi w:val="0"/>
              <w:adjustRightInd w:val="0"/>
              <w:snapToGrid w:val="0"/>
              <w:spacing w:before="229" w:line="231" w:lineRule="auto"/>
              <w:ind w:left="0"/>
              <w:jc w:val="center"/>
              <w:textAlignment w:val="baseline"/>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序号</w:t>
            </w:r>
          </w:p>
        </w:tc>
        <w:tc>
          <w:tcPr>
            <w:tcW w:w="1939" w:type="dxa"/>
            <w:vAlign w:val="center"/>
          </w:tcPr>
          <w:p w14:paraId="7439BD66">
            <w:pPr>
              <w:keepNext w:val="0"/>
              <w:keepLines w:val="0"/>
              <w:pageBreakBefore w:val="0"/>
              <w:widowControl/>
              <w:kinsoku w:val="0"/>
              <w:wordWrap w:val="0"/>
              <w:overflowPunct/>
              <w:topLinePunct w:val="0"/>
              <w:autoSpaceDE w:val="0"/>
              <w:autoSpaceDN w:val="0"/>
              <w:bidi w:val="0"/>
              <w:adjustRightInd w:val="0"/>
              <w:snapToGrid w:val="0"/>
              <w:spacing w:before="228" w:line="231" w:lineRule="auto"/>
              <w:ind w:left="0"/>
              <w:jc w:val="center"/>
              <w:textAlignment w:val="baseline"/>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岗位</w:t>
            </w:r>
          </w:p>
        </w:tc>
        <w:tc>
          <w:tcPr>
            <w:tcW w:w="1567" w:type="dxa"/>
            <w:vAlign w:val="center"/>
          </w:tcPr>
          <w:p w14:paraId="7EBB74F3">
            <w:pPr>
              <w:keepNext w:val="0"/>
              <w:keepLines w:val="0"/>
              <w:pageBreakBefore w:val="0"/>
              <w:widowControl/>
              <w:kinsoku w:val="0"/>
              <w:wordWrap w:val="0"/>
              <w:overflowPunct/>
              <w:topLinePunct w:val="0"/>
              <w:autoSpaceDE w:val="0"/>
              <w:autoSpaceDN w:val="0"/>
              <w:bidi w:val="0"/>
              <w:adjustRightInd w:val="0"/>
              <w:snapToGrid w:val="0"/>
              <w:spacing w:before="228" w:line="231" w:lineRule="auto"/>
              <w:ind w:left="0"/>
              <w:jc w:val="center"/>
              <w:textAlignment w:val="baseline"/>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姓名</w:t>
            </w:r>
          </w:p>
        </w:tc>
        <w:tc>
          <w:tcPr>
            <w:tcW w:w="1017" w:type="dxa"/>
            <w:vAlign w:val="center"/>
          </w:tcPr>
          <w:p w14:paraId="3DE10A85">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性别</w:t>
            </w:r>
          </w:p>
        </w:tc>
        <w:tc>
          <w:tcPr>
            <w:tcW w:w="1002" w:type="dxa"/>
            <w:vAlign w:val="center"/>
          </w:tcPr>
          <w:p w14:paraId="3050ABB3">
            <w:pPr>
              <w:keepNext w:val="0"/>
              <w:keepLines w:val="0"/>
              <w:pageBreakBefore w:val="0"/>
              <w:widowControl/>
              <w:kinsoku w:val="0"/>
              <w:wordWrap w:val="0"/>
              <w:overflowPunct/>
              <w:topLinePunct w:val="0"/>
              <w:autoSpaceDE w:val="0"/>
              <w:autoSpaceDN w:val="0"/>
              <w:bidi w:val="0"/>
              <w:adjustRightInd w:val="0"/>
              <w:snapToGrid w:val="0"/>
              <w:spacing w:before="229" w:line="231" w:lineRule="auto"/>
              <w:ind w:left="0"/>
              <w:jc w:val="center"/>
              <w:textAlignment w:val="baseline"/>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年龄</w:t>
            </w:r>
          </w:p>
        </w:tc>
        <w:tc>
          <w:tcPr>
            <w:tcW w:w="1551" w:type="dxa"/>
            <w:vAlign w:val="center"/>
          </w:tcPr>
          <w:p w14:paraId="59C156EA">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职称</w:t>
            </w:r>
          </w:p>
        </w:tc>
        <w:tc>
          <w:tcPr>
            <w:tcW w:w="1926" w:type="dxa"/>
            <w:vAlign w:val="center"/>
          </w:tcPr>
          <w:p w14:paraId="7FE3C975">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备注</w:t>
            </w:r>
          </w:p>
        </w:tc>
      </w:tr>
      <w:tr w14:paraId="1711D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36AB410A">
            <w:pPr>
              <w:keepNext w:val="0"/>
              <w:keepLines w:val="0"/>
              <w:pageBreakBefore w:val="0"/>
              <w:widowControl/>
              <w:kinsoku w:val="0"/>
              <w:wordWrap w:val="0"/>
              <w:overflowPunct/>
              <w:topLinePunct w:val="0"/>
              <w:autoSpaceDE w:val="0"/>
              <w:autoSpaceDN w:val="0"/>
              <w:bidi w:val="0"/>
              <w:adjustRightInd w:val="0"/>
              <w:snapToGrid w:val="0"/>
              <w:spacing w:before="185" w:line="195"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w:t>
            </w:r>
          </w:p>
        </w:tc>
        <w:tc>
          <w:tcPr>
            <w:tcW w:w="1939" w:type="dxa"/>
            <w:vAlign w:val="center"/>
          </w:tcPr>
          <w:p w14:paraId="1997300C">
            <w:pPr>
              <w:keepNext w:val="0"/>
              <w:keepLines w:val="0"/>
              <w:pageBreakBefore w:val="0"/>
              <w:widowControl/>
              <w:kinsoku w:val="0"/>
              <w:wordWrap w:val="0"/>
              <w:overflowPunct/>
              <w:topLinePunct w:val="0"/>
              <w:autoSpaceDE w:val="0"/>
              <w:autoSpaceDN w:val="0"/>
              <w:bidi w:val="0"/>
              <w:adjustRightInd w:val="0"/>
              <w:snapToGrid w:val="0"/>
              <w:spacing w:before="150"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项目经理</w:t>
            </w:r>
          </w:p>
        </w:tc>
        <w:tc>
          <w:tcPr>
            <w:tcW w:w="1567" w:type="dxa"/>
            <w:vAlign w:val="center"/>
          </w:tcPr>
          <w:p w14:paraId="05C54733">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17" w:type="dxa"/>
            <w:vAlign w:val="center"/>
          </w:tcPr>
          <w:p w14:paraId="57F30F4D">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02" w:type="dxa"/>
            <w:vAlign w:val="center"/>
          </w:tcPr>
          <w:p w14:paraId="0F1D6EB1">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51" w:type="dxa"/>
            <w:vAlign w:val="center"/>
          </w:tcPr>
          <w:p w14:paraId="41672C6D">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926" w:type="dxa"/>
            <w:vAlign w:val="center"/>
          </w:tcPr>
          <w:p w14:paraId="4DE9F02B">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2165C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center"/>
          </w:tcPr>
          <w:p w14:paraId="31D50A1B">
            <w:pPr>
              <w:keepNext w:val="0"/>
              <w:keepLines w:val="0"/>
              <w:pageBreakBefore w:val="0"/>
              <w:widowControl/>
              <w:kinsoku w:val="0"/>
              <w:wordWrap w:val="0"/>
              <w:overflowPunct/>
              <w:topLinePunct w:val="0"/>
              <w:autoSpaceDE w:val="0"/>
              <w:autoSpaceDN w:val="0"/>
              <w:bidi w:val="0"/>
              <w:adjustRightInd w:val="0"/>
              <w:snapToGrid w:val="0"/>
              <w:spacing w:before="187" w:line="195"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w:t>
            </w:r>
          </w:p>
        </w:tc>
        <w:tc>
          <w:tcPr>
            <w:tcW w:w="1939" w:type="dxa"/>
            <w:vAlign w:val="center"/>
          </w:tcPr>
          <w:p w14:paraId="3A12DDFD">
            <w:pPr>
              <w:keepNext w:val="0"/>
              <w:keepLines w:val="0"/>
              <w:pageBreakBefore w:val="0"/>
              <w:widowControl/>
              <w:kinsoku w:val="0"/>
              <w:wordWrap w:val="0"/>
              <w:overflowPunct/>
              <w:topLinePunct w:val="0"/>
              <w:autoSpaceDE w:val="0"/>
              <w:autoSpaceDN w:val="0"/>
              <w:bidi w:val="0"/>
              <w:adjustRightInd w:val="0"/>
              <w:snapToGrid w:val="0"/>
              <w:spacing w:before="152"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项目技术负责人</w:t>
            </w:r>
          </w:p>
        </w:tc>
        <w:tc>
          <w:tcPr>
            <w:tcW w:w="1567" w:type="dxa"/>
            <w:vAlign w:val="center"/>
          </w:tcPr>
          <w:p w14:paraId="6A048FE5">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17" w:type="dxa"/>
            <w:vAlign w:val="center"/>
          </w:tcPr>
          <w:p w14:paraId="62616D65">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02" w:type="dxa"/>
            <w:vAlign w:val="center"/>
          </w:tcPr>
          <w:p w14:paraId="290403F3">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51" w:type="dxa"/>
            <w:vAlign w:val="center"/>
          </w:tcPr>
          <w:p w14:paraId="513D5740">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926" w:type="dxa"/>
            <w:vAlign w:val="center"/>
          </w:tcPr>
          <w:p w14:paraId="44350E5E">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7C2BE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7FC001D7">
            <w:pPr>
              <w:keepNext w:val="0"/>
              <w:keepLines w:val="0"/>
              <w:pageBreakBefore w:val="0"/>
              <w:widowControl/>
              <w:kinsoku w:val="0"/>
              <w:wordWrap w:val="0"/>
              <w:overflowPunct/>
              <w:topLinePunct w:val="0"/>
              <w:autoSpaceDE w:val="0"/>
              <w:autoSpaceDN w:val="0"/>
              <w:bidi w:val="0"/>
              <w:adjustRightInd w:val="0"/>
              <w:snapToGrid w:val="0"/>
              <w:spacing w:before="189" w:line="195" w:lineRule="auto"/>
              <w:ind w:left="0"/>
              <w:jc w:val="center"/>
              <w:textAlignment w:val="baseline"/>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3</w:t>
            </w:r>
          </w:p>
        </w:tc>
        <w:tc>
          <w:tcPr>
            <w:tcW w:w="1939" w:type="dxa"/>
            <w:vAlign w:val="center"/>
          </w:tcPr>
          <w:p w14:paraId="35920EAB">
            <w:pPr>
              <w:keepNext w:val="0"/>
              <w:keepLines w:val="0"/>
              <w:pageBreakBefore w:val="0"/>
              <w:widowControl/>
              <w:kinsoku w:val="0"/>
              <w:wordWrap w:val="0"/>
              <w:overflowPunct/>
              <w:topLinePunct w:val="0"/>
              <w:autoSpaceDE w:val="0"/>
              <w:autoSpaceDN w:val="0"/>
              <w:bidi w:val="0"/>
              <w:adjustRightInd w:val="0"/>
              <w:snapToGrid w:val="0"/>
              <w:spacing w:before="153"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专职安全员</w:t>
            </w:r>
          </w:p>
        </w:tc>
        <w:tc>
          <w:tcPr>
            <w:tcW w:w="1567" w:type="dxa"/>
            <w:vAlign w:val="center"/>
          </w:tcPr>
          <w:p w14:paraId="539D56FA">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17" w:type="dxa"/>
            <w:vAlign w:val="center"/>
          </w:tcPr>
          <w:p w14:paraId="106625F6">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02" w:type="dxa"/>
            <w:vAlign w:val="center"/>
          </w:tcPr>
          <w:p w14:paraId="1934B0B9">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51" w:type="dxa"/>
            <w:vAlign w:val="center"/>
          </w:tcPr>
          <w:p w14:paraId="733019E3">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926" w:type="dxa"/>
            <w:vAlign w:val="center"/>
          </w:tcPr>
          <w:p w14:paraId="2A7AA2AB">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10559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0773F671">
            <w:pPr>
              <w:keepNext w:val="0"/>
              <w:keepLines w:val="0"/>
              <w:pageBreakBefore w:val="0"/>
              <w:widowControl/>
              <w:kinsoku w:val="0"/>
              <w:wordWrap w:val="0"/>
              <w:overflowPunct/>
              <w:topLinePunct w:val="0"/>
              <w:autoSpaceDE w:val="0"/>
              <w:autoSpaceDN w:val="0"/>
              <w:bidi w:val="0"/>
              <w:adjustRightInd w:val="0"/>
              <w:snapToGrid w:val="0"/>
              <w:spacing w:before="188" w:line="195"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w:t>
            </w:r>
          </w:p>
        </w:tc>
        <w:tc>
          <w:tcPr>
            <w:tcW w:w="1939" w:type="dxa"/>
            <w:vAlign w:val="center"/>
          </w:tcPr>
          <w:p w14:paraId="30C10F88">
            <w:pPr>
              <w:keepNext w:val="0"/>
              <w:keepLines w:val="0"/>
              <w:pageBreakBefore w:val="0"/>
              <w:widowControl/>
              <w:kinsoku w:val="0"/>
              <w:wordWrap w:val="0"/>
              <w:overflowPunct/>
              <w:topLinePunct w:val="0"/>
              <w:autoSpaceDE w:val="0"/>
              <w:autoSpaceDN w:val="0"/>
              <w:bidi w:val="0"/>
              <w:adjustRightInd w:val="0"/>
              <w:snapToGrid w:val="0"/>
              <w:spacing w:before="152" w:line="230"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施工员</w:t>
            </w:r>
          </w:p>
        </w:tc>
        <w:tc>
          <w:tcPr>
            <w:tcW w:w="1567" w:type="dxa"/>
            <w:vAlign w:val="center"/>
          </w:tcPr>
          <w:p w14:paraId="05CA2BD4">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17" w:type="dxa"/>
            <w:vAlign w:val="center"/>
          </w:tcPr>
          <w:p w14:paraId="10108C0F">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02" w:type="dxa"/>
            <w:vAlign w:val="center"/>
          </w:tcPr>
          <w:p w14:paraId="34A0A4E6">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51" w:type="dxa"/>
            <w:vAlign w:val="center"/>
          </w:tcPr>
          <w:p w14:paraId="2D97556B">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926" w:type="dxa"/>
            <w:vAlign w:val="center"/>
          </w:tcPr>
          <w:p w14:paraId="48296E49">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131EE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1C720381">
            <w:pPr>
              <w:keepNext w:val="0"/>
              <w:keepLines w:val="0"/>
              <w:pageBreakBefore w:val="0"/>
              <w:widowControl/>
              <w:kinsoku w:val="0"/>
              <w:wordWrap w:val="0"/>
              <w:overflowPunct/>
              <w:topLinePunct w:val="0"/>
              <w:autoSpaceDE w:val="0"/>
              <w:autoSpaceDN w:val="0"/>
              <w:bidi w:val="0"/>
              <w:adjustRightInd w:val="0"/>
              <w:snapToGrid w:val="0"/>
              <w:spacing w:before="193" w:line="192"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w:t>
            </w:r>
          </w:p>
        </w:tc>
        <w:tc>
          <w:tcPr>
            <w:tcW w:w="1939" w:type="dxa"/>
            <w:vAlign w:val="center"/>
          </w:tcPr>
          <w:p w14:paraId="3CAE22C0">
            <w:pPr>
              <w:keepNext w:val="0"/>
              <w:keepLines w:val="0"/>
              <w:pageBreakBefore w:val="0"/>
              <w:widowControl/>
              <w:kinsoku w:val="0"/>
              <w:wordWrap w:val="0"/>
              <w:overflowPunct/>
              <w:topLinePunct w:val="0"/>
              <w:autoSpaceDE w:val="0"/>
              <w:autoSpaceDN w:val="0"/>
              <w:bidi w:val="0"/>
              <w:adjustRightInd w:val="0"/>
              <w:snapToGrid w:val="0"/>
              <w:spacing w:before="154"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质量员</w:t>
            </w:r>
          </w:p>
        </w:tc>
        <w:tc>
          <w:tcPr>
            <w:tcW w:w="1567" w:type="dxa"/>
            <w:vAlign w:val="center"/>
          </w:tcPr>
          <w:p w14:paraId="16086B64">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17" w:type="dxa"/>
            <w:vAlign w:val="center"/>
          </w:tcPr>
          <w:p w14:paraId="203D9B6F">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02" w:type="dxa"/>
            <w:vAlign w:val="center"/>
          </w:tcPr>
          <w:p w14:paraId="465E5073">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51" w:type="dxa"/>
            <w:vAlign w:val="center"/>
          </w:tcPr>
          <w:p w14:paraId="1AC236B1">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926" w:type="dxa"/>
            <w:vAlign w:val="center"/>
          </w:tcPr>
          <w:p w14:paraId="1B74D74B">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3A35A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2DD916FB">
            <w:pPr>
              <w:keepNext w:val="0"/>
              <w:keepLines w:val="0"/>
              <w:pageBreakBefore w:val="0"/>
              <w:widowControl/>
              <w:kinsoku w:val="0"/>
              <w:wordWrap w:val="0"/>
              <w:overflowPunct/>
              <w:topLinePunct w:val="0"/>
              <w:autoSpaceDE w:val="0"/>
              <w:autoSpaceDN w:val="0"/>
              <w:bidi w:val="0"/>
              <w:adjustRightInd w:val="0"/>
              <w:snapToGrid w:val="0"/>
              <w:spacing w:before="191" w:line="195"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w:t>
            </w:r>
          </w:p>
        </w:tc>
        <w:tc>
          <w:tcPr>
            <w:tcW w:w="1939" w:type="dxa"/>
            <w:vAlign w:val="center"/>
          </w:tcPr>
          <w:p w14:paraId="00D908A3">
            <w:pPr>
              <w:keepNext w:val="0"/>
              <w:keepLines w:val="0"/>
              <w:pageBreakBefore w:val="0"/>
              <w:widowControl/>
              <w:kinsoku w:val="0"/>
              <w:wordWrap w:val="0"/>
              <w:overflowPunct/>
              <w:topLinePunct w:val="0"/>
              <w:autoSpaceDE w:val="0"/>
              <w:autoSpaceDN w:val="0"/>
              <w:bidi w:val="0"/>
              <w:adjustRightInd w:val="0"/>
              <w:snapToGrid w:val="0"/>
              <w:spacing w:before="155"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材料员</w:t>
            </w:r>
          </w:p>
        </w:tc>
        <w:tc>
          <w:tcPr>
            <w:tcW w:w="1567" w:type="dxa"/>
            <w:vAlign w:val="center"/>
          </w:tcPr>
          <w:p w14:paraId="7A4124E4">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17" w:type="dxa"/>
            <w:vAlign w:val="center"/>
          </w:tcPr>
          <w:p w14:paraId="21B90CFC">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02" w:type="dxa"/>
            <w:vAlign w:val="center"/>
          </w:tcPr>
          <w:p w14:paraId="7429CA6B">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51" w:type="dxa"/>
            <w:vAlign w:val="center"/>
          </w:tcPr>
          <w:p w14:paraId="355EF2BE">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926" w:type="dxa"/>
            <w:vAlign w:val="center"/>
          </w:tcPr>
          <w:p w14:paraId="3D80AEAF">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596C3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4F1DC0C4">
            <w:pPr>
              <w:keepNext w:val="0"/>
              <w:keepLines w:val="0"/>
              <w:pageBreakBefore w:val="0"/>
              <w:widowControl/>
              <w:kinsoku w:val="0"/>
              <w:wordWrap w:val="0"/>
              <w:overflowPunct/>
              <w:topLinePunct w:val="0"/>
              <w:autoSpaceDE w:val="0"/>
              <w:autoSpaceDN w:val="0"/>
              <w:bidi w:val="0"/>
              <w:adjustRightInd w:val="0"/>
              <w:snapToGrid w:val="0"/>
              <w:spacing w:before="192" w:line="192"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w:t>
            </w:r>
          </w:p>
        </w:tc>
        <w:tc>
          <w:tcPr>
            <w:tcW w:w="1939" w:type="dxa"/>
            <w:vAlign w:val="center"/>
          </w:tcPr>
          <w:p w14:paraId="2B81E2B2">
            <w:pPr>
              <w:keepNext w:val="0"/>
              <w:keepLines w:val="0"/>
              <w:pageBreakBefore w:val="0"/>
              <w:widowControl/>
              <w:kinsoku w:val="0"/>
              <w:wordWrap w:val="0"/>
              <w:overflowPunct/>
              <w:topLinePunct w:val="0"/>
              <w:autoSpaceDE w:val="0"/>
              <w:autoSpaceDN w:val="0"/>
              <w:bidi w:val="0"/>
              <w:adjustRightInd w:val="0"/>
              <w:snapToGrid w:val="0"/>
              <w:spacing w:before="154"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资料员</w:t>
            </w:r>
          </w:p>
        </w:tc>
        <w:tc>
          <w:tcPr>
            <w:tcW w:w="1567" w:type="dxa"/>
            <w:vAlign w:val="center"/>
          </w:tcPr>
          <w:p w14:paraId="5830ACFC">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17" w:type="dxa"/>
            <w:vAlign w:val="center"/>
          </w:tcPr>
          <w:p w14:paraId="2BE2E7C7">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02" w:type="dxa"/>
            <w:vAlign w:val="center"/>
          </w:tcPr>
          <w:p w14:paraId="1AEE4D9D">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51" w:type="dxa"/>
            <w:vAlign w:val="center"/>
          </w:tcPr>
          <w:p w14:paraId="462B06F0">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926" w:type="dxa"/>
            <w:vAlign w:val="center"/>
          </w:tcPr>
          <w:p w14:paraId="75D8694A">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66E88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center"/>
          </w:tcPr>
          <w:p w14:paraId="01C28551">
            <w:pPr>
              <w:keepNext w:val="0"/>
              <w:keepLines w:val="0"/>
              <w:pageBreakBefore w:val="0"/>
              <w:widowControl/>
              <w:kinsoku w:val="0"/>
              <w:wordWrap w:val="0"/>
              <w:overflowPunct/>
              <w:topLinePunct w:val="0"/>
              <w:autoSpaceDE w:val="0"/>
              <w:autoSpaceDN w:val="0"/>
              <w:bidi w:val="0"/>
              <w:adjustRightInd w:val="0"/>
              <w:snapToGrid w:val="0"/>
              <w:spacing w:before="154" w:line="325" w:lineRule="exact"/>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3"/>
                <w:sz w:val="24"/>
                <w:szCs w:val="24"/>
                <w:highlight w:val="none"/>
                <w14:textFill>
                  <w14:solidFill>
                    <w14:schemeClr w14:val="tx1"/>
                  </w14:solidFill>
                </w14:textFill>
              </w:rPr>
              <w:t>……</w:t>
            </w:r>
          </w:p>
        </w:tc>
        <w:tc>
          <w:tcPr>
            <w:tcW w:w="1939" w:type="dxa"/>
            <w:vAlign w:val="center"/>
          </w:tcPr>
          <w:p w14:paraId="40723A72">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67" w:type="dxa"/>
            <w:vAlign w:val="center"/>
          </w:tcPr>
          <w:p w14:paraId="7F1F6AE8">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17" w:type="dxa"/>
            <w:vAlign w:val="center"/>
          </w:tcPr>
          <w:p w14:paraId="77322F0D">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02" w:type="dxa"/>
            <w:vAlign w:val="center"/>
          </w:tcPr>
          <w:p w14:paraId="62FB4EA3">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51" w:type="dxa"/>
            <w:vAlign w:val="center"/>
          </w:tcPr>
          <w:p w14:paraId="2D6E46A7">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926" w:type="dxa"/>
            <w:vAlign w:val="center"/>
          </w:tcPr>
          <w:p w14:paraId="52450073">
            <w:pPr>
              <w:pStyle w:val="27"/>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bl>
    <w:p w14:paraId="1A2216AD">
      <w:pPr>
        <w:pStyle w:val="5"/>
        <w:keepNext w:val="0"/>
        <w:keepLines w:val="0"/>
        <w:pageBreakBefore w:val="0"/>
        <w:wordWrap w:val="0"/>
        <w:overflowPunct/>
        <w:topLinePunct w:val="0"/>
        <w:bidi w:val="0"/>
        <w:spacing w:line="395"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3469D01B">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说明：</w:t>
      </w:r>
    </w:p>
    <w:p w14:paraId="39CA077E">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 ．《项目管理机构组成表》后应附表中拟派人员（项目经理、项目技术负责人除外）以下资料：</w:t>
      </w:r>
    </w:p>
    <w:p w14:paraId="0CE589C1">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身份证彩色扫描件；</w:t>
      </w:r>
    </w:p>
    <w:p w14:paraId="02AA64CE">
      <w:pPr>
        <w:keepNext w:val="0"/>
        <w:keepLines w:val="0"/>
        <w:pageBreakBefore w:val="0"/>
        <w:widowControl/>
        <w:kinsoku w:val="0"/>
        <w:wordWrap w:val="0"/>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专职安全员须提供C类安全生产考核合格证书扫描件或“建筑施工企业管理人员安全生产考核信息系统”考核合格信息扫描件；施工员、质量员、材料员、资料员附岗位证书或培训证书彩色扫描件或打印件；</w:t>
      </w:r>
    </w:p>
    <w:p w14:paraId="3CEAFCD3">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在本单位缴纳社保的证明（</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至少</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个月</w:t>
      </w:r>
      <w:r>
        <w:rPr>
          <w:rFonts w:hint="eastAsia" w:ascii="宋体" w:hAnsi="宋体" w:eastAsia="宋体" w:cs="宋体"/>
          <w:color w:val="000000" w:themeColor="text1"/>
          <w:spacing w:val="0"/>
          <w:sz w:val="24"/>
          <w:szCs w:val="24"/>
          <w:highlight w:val="none"/>
          <w14:textFill>
            <w14:solidFill>
              <w14:schemeClr w14:val="tx1"/>
            </w14:solidFill>
          </w14:textFill>
        </w:rPr>
        <w:t>，其中必须有</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202</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年</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pacing w:val="0"/>
          <w:sz w:val="24"/>
          <w:szCs w:val="24"/>
          <w:highlight w:val="none"/>
          <w14:textFill>
            <w14:solidFill>
              <w14:schemeClr w14:val="tx1"/>
            </w14:solidFill>
          </w14:textFill>
        </w:rPr>
        <w:t>月）扫描件</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或打印件</w:t>
      </w:r>
      <w:r>
        <w:rPr>
          <w:rFonts w:hint="eastAsia" w:ascii="宋体" w:hAnsi="宋体" w:eastAsia="宋体" w:cs="宋体"/>
          <w:color w:val="000000" w:themeColor="text1"/>
          <w:spacing w:val="0"/>
          <w:sz w:val="24"/>
          <w:szCs w:val="24"/>
          <w:highlight w:val="none"/>
          <w14:textFill>
            <w14:solidFill>
              <w14:schemeClr w14:val="tx1"/>
            </w14:solidFill>
          </w14:textFill>
        </w:rPr>
        <w:t>。拟派</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人员</w:t>
      </w:r>
      <w:r>
        <w:rPr>
          <w:rFonts w:hint="eastAsia" w:ascii="宋体" w:hAnsi="宋体" w:eastAsia="宋体" w:cs="宋体"/>
          <w:color w:val="000000" w:themeColor="text1"/>
          <w:spacing w:val="0"/>
          <w:sz w:val="24"/>
          <w:szCs w:val="24"/>
          <w:highlight w:val="none"/>
          <w14:textFill>
            <w14:solidFill>
              <w14:schemeClr w14:val="tx1"/>
            </w14:solidFill>
          </w14:textFill>
        </w:rPr>
        <w:t>为退休返聘人员无法提供社保证明的，提供退休证和劳动合同彩色扫描件。</w:t>
      </w:r>
    </w:p>
    <w:p w14:paraId="61E286EA">
      <w:pPr>
        <w:keepNext w:val="0"/>
        <w:keepLines w:val="0"/>
        <w:pageBreakBefore w:val="0"/>
        <w:widowControl/>
        <w:kinsoku w:val="0"/>
        <w:wordWrap w:val="0"/>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（4）“进粤企业和人员诚信信息登记平台 ”个人信息情况截图。（适用于省外建筑企业）</w:t>
      </w:r>
    </w:p>
    <w:p w14:paraId="73BD7082">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sz w:val="24"/>
          <w:szCs w:val="24"/>
          <w:highlight w:val="none"/>
          <w14:textFill>
            <w14:solidFill>
              <w14:schemeClr w14:val="tx1"/>
            </w14:solidFill>
          </w14:textFill>
        </w:rPr>
        <w:t>联合体投标的，《项目管理机构组成表》应包括联合体成员单位参与项目管理机构的人员，并提供以上所需资料。</w:t>
      </w:r>
    </w:p>
    <w:p w14:paraId="487C8DAA">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60" w:name="_Toc16536"/>
      <w:r>
        <w:rPr>
          <w:rFonts w:hint="eastAsia" w:ascii="宋体" w:hAnsi="宋体" w:eastAsia="宋体" w:cs="宋体"/>
          <w:b/>
          <w:bCs/>
          <w:color w:val="000000" w:themeColor="text1"/>
          <w:spacing w:val="0"/>
          <w:sz w:val="24"/>
          <w:szCs w:val="24"/>
          <w:highlight w:val="none"/>
          <w14:textFill>
            <w14:solidFill>
              <w14:schemeClr w14:val="tx1"/>
            </w14:solidFill>
          </w14:textFill>
        </w:rPr>
        <w:t>格式十二 建造师查询页（有效期+建造师签字）</w:t>
      </w:r>
      <w:bookmarkEnd w:id="260"/>
    </w:p>
    <w:p w14:paraId="734EE390">
      <w:pPr>
        <w:keepNext w:val="0"/>
        <w:keepLines w:val="0"/>
        <w:pageBreakBefore w:val="0"/>
        <w:wordWrap w:val="0"/>
        <w:overflowPunct/>
        <w:topLinePunct w:val="0"/>
        <w:bidi w:val="0"/>
        <w:outlineLvl w:val="9"/>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position w:val="-235"/>
          <w:highlight w:val="none"/>
          <w14:textFill>
            <w14:solidFill>
              <w14:schemeClr w14:val="tx1"/>
            </w14:solidFill>
          </w14:textFill>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5"/>
                    <a:stretch>
                      <a:fillRect/>
                    </a:stretch>
                  </pic:blipFill>
                  <pic:spPr>
                    <a:xfrm>
                      <a:off x="0" y="0"/>
                      <a:ext cx="6239510" cy="8013700"/>
                    </a:xfrm>
                    <a:prstGeom prst="rect">
                      <a:avLst/>
                    </a:prstGeom>
                    <a:noFill/>
                    <a:ln>
                      <a:noFill/>
                    </a:ln>
                  </pic:spPr>
                </pic:pic>
              </a:graphicData>
            </a:graphic>
          </wp:inline>
        </w:drawing>
      </w:r>
    </w:p>
    <w:p w14:paraId="64B4C367">
      <w:pPr>
        <w:keepNext w:val="0"/>
        <w:keepLines w:val="0"/>
        <w:pageBreakBefore w:val="0"/>
        <w:wordWrap w:val="0"/>
        <w:overflowPunct/>
        <w:topLinePunct w:val="0"/>
        <w:bidi w:val="0"/>
        <w:spacing w:line="220" w:lineRule="auto"/>
        <w:rPr>
          <w:rFonts w:hint="eastAsia" w:ascii="宋体" w:hAnsi="宋体" w:eastAsia="宋体" w:cs="宋体"/>
          <w:color w:val="000000" w:themeColor="text1"/>
          <w:spacing w:val="0"/>
          <w:sz w:val="24"/>
          <w:szCs w:val="24"/>
          <w:highlight w:val="none"/>
          <w14:textFill>
            <w14:solidFill>
              <w14:schemeClr w14:val="tx1"/>
            </w14:solidFill>
          </w14:textFill>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D37CFE7">
      <w:pPr>
        <w:keepNext w:val="0"/>
        <w:keepLines w:val="0"/>
        <w:pageBreakBefore w:val="0"/>
        <w:wordWrap w:val="0"/>
        <w:overflowPunct/>
        <w:topLinePunct w:val="0"/>
        <w:bidi w:val="0"/>
        <w:spacing w:line="10744" w:lineRule="exact"/>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position w:val="-214"/>
          <w:highlight w:val="none"/>
          <w14:textFill>
            <w14:solidFill>
              <w14:schemeClr w14:val="tx1"/>
            </w14:solidFill>
          </w14:textFill>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6"/>
                    <a:stretch>
                      <a:fillRect/>
                    </a:stretch>
                  </pic:blipFill>
                  <pic:spPr>
                    <a:xfrm>
                      <a:off x="0" y="0"/>
                      <a:ext cx="6285865" cy="6925310"/>
                    </a:xfrm>
                    <a:prstGeom prst="rect">
                      <a:avLst/>
                    </a:prstGeom>
                    <a:noFill/>
                    <a:ln>
                      <a:noFill/>
                    </a:ln>
                  </pic:spPr>
                </pic:pic>
              </a:graphicData>
            </a:graphic>
          </wp:inline>
        </w:drawing>
      </w:r>
    </w:p>
    <w:p w14:paraId="174F9627">
      <w:pPr>
        <w:keepNext w:val="0"/>
        <w:keepLines w:val="0"/>
        <w:pageBreakBefore w:val="0"/>
        <w:wordWrap w:val="0"/>
        <w:overflowPunct/>
        <w:topLinePunct w:val="0"/>
        <w:bidi w:val="0"/>
        <w:spacing w:line="10744" w:lineRule="exact"/>
        <w:rPr>
          <w:rFonts w:hint="eastAsia" w:ascii="宋体" w:hAnsi="宋体" w:eastAsia="宋体" w:cs="宋体"/>
          <w:color w:val="000000" w:themeColor="text1"/>
          <w:spacing w:val="0"/>
          <w:highlight w:val="none"/>
          <w14:textFill>
            <w14:solidFill>
              <w14:schemeClr w14:val="tx1"/>
            </w14:solidFill>
          </w14:textFill>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79F1B678">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61" w:name="_Toc24700"/>
      <w:r>
        <w:rPr>
          <w:rFonts w:hint="eastAsia" w:ascii="宋体" w:hAnsi="宋体" w:eastAsia="宋体" w:cs="宋体"/>
          <w:b/>
          <w:bCs/>
          <w:color w:val="000000" w:themeColor="text1"/>
          <w:spacing w:val="0"/>
          <w:sz w:val="24"/>
          <w:szCs w:val="24"/>
          <w:highlight w:val="none"/>
          <w14:textFill>
            <w14:solidFill>
              <w14:schemeClr w14:val="tx1"/>
            </w14:solidFill>
          </w14:textFill>
        </w:rPr>
        <w:t>格式十三</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0"/>
          <w:sz w:val="22"/>
          <w:szCs w:val="22"/>
          <w:highlight w:val="none"/>
          <w14:textFill>
            <w14:solidFill>
              <w14:schemeClr w14:val="tx1"/>
            </w14:solidFill>
          </w14:textFill>
        </w:rPr>
        <w:t>危险性较大的分部分项工程清单及超过一定规模的危险性较大的分部分项工程清单</w:t>
      </w:r>
      <w:bookmarkEnd w:id="261"/>
    </w:p>
    <w:p w14:paraId="4E20E0E7">
      <w:pPr>
        <w:pStyle w:val="5"/>
        <w:keepNext w:val="0"/>
        <w:keepLines w:val="0"/>
        <w:pageBreakBefore w:val="0"/>
        <w:wordWrap w:val="0"/>
        <w:overflowPunct/>
        <w:topLinePunct w:val="0"/>
        <w:bidi w:val="0"/>
        <w:spacing w:line="269" w:lineRule="auto"/>
        <w:rPr>
          <w:rFonts w:hint="eastAsia" w:ascii="宋体" w:hAnsi="宋体" w:eastAsia="宋体" w:cs="宋体"/>
          <w:color w:val="000000" w:themeColor="text1"/>
          <w:spacing w:val="0"/>
          <w:highlight w:val="none"/>
          <w14:textFill>
            <w14:solidFill>
              <w14:schemeClr w14:val="tx1"/>
            </w14:solidFill>
          </w14:textFill>
        </w:rPr>
      </w:pPr>
    </w:p>
    <w:p w14:paraId="0DB6A583">
      <w:pPr>
        <w:keepNext w:val="0"/>
        <w:keepLines w:val="0"/>
        <w:pageBreakBefore w:val="0"/>
        <w:tabs>
          <w:tab w:val="left" w:pos="2940"/>
        </w:tabs>
        <w:wordWrap w:val="0"/>
        <w:overflowPunct/>
        <w:topLinePunct w:val="0"/>
        <w:bidi w:val="0"/>
        <w:spacing w:before="101" w:line="377" w:lineRule="auto"/>
        <w:ind w:left="3179" w:leftChars="0" w:right="41" w:hanging="3133" w:firstLineChars="0"/>
        <w:rPr>
          <w:rFonts w:hint="eastAsia" w:ascii="宋体" w:hAnsi="宋体" w:eastAsia="宋体" w:cs="宋体"/>
          <w:color w:val="000000" w:themeColor="text1"/>
          <w:spacing w:val="0"/>
          <w:sz w:val="31"/>
          <w:szCs w:val="31"/>
          <w:highlight w:val="none"/>
          <w14:textFill>
            <w14:solidFill>
              <w14:schemeClr w14:val="tx1"/>
            </w14:solidFill>
          </w14:textFill>
        </w:rPr>
      </w:pPr>
      <w:bookmarkStart w:id="262" w:name="bookmark160"/>
      <w:bookmarkEnd w:id="262"/>
      <w:bookmarkStart w:id="263" w:name="OLE_LINK41"/>
      <w:r>
        <w:rPr>
          <w:rFonts w:hint="eastAsia" w:ascii="宋体" w:hAnsi="宋体" w:eastAsia="宋体" w:cs="宋体"/>
          <w:b/>
          <w:bCs/>
          <w:color w:val="000000" w:themeColor="text1"/>
          <w:spacing w:val="0"/>
          <w:sz w:val="31"/>
          <w:szCs w:val="31"/>
          <w:highlight w:val="none"/>
          <w14:textFill>
            <w14:solidFill>
              <w14:schemeClr w14:val="tx1"/>
            </w14:solidFill>
          </w14:textFill>
        </w:rPr>
        <w:t>危险性较大的分部分项工程清单及超过一定规模的危险性较大的分部分项工程清单</w:t>
      </w:r>
    </w:p>
    <w:bookmarkEnd w:id="263"/>
    <w:p w14:paraId="5004DA81">
      <w:pPr>
        <w:keepNext w:val="0"/>
        <w:keepLines w:val="0"/>
        <w:pageBreakBefore w:val="0"/>
        <w:wordWrap w:val="0"/>
        <w:overflowPunct/>
        <w:topLinePunct w:val="0"/>
        <w:bidi w:val="0"/>
        <w:spacing w:before="6" w:line="326" w:lineRule="auto"/>
        <w:ind w:left="5" w:firstLine="49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1、根据中华人民共和国住房和城乡建设部令第37号《危险性较大的分部分项工程安全管理规定》（以下简称“37号文 ”），投标人在投标时须补充完善危大工程清单并明确相应的安全管理措施。</w:t>
      </w:r>
    </w:p>
    <w:p w14:paraId="39C98E84">
      <w:pPr>
        <w:keepNext w:val="0"/>
        <w:keepLines w:val="0"/>
        <w:pageBreakBefore w:val="0"/>
        <w:wordWrap w:val="0"/>
        <w:overflowPunct/>
        <w:topLinePunct w:val="0"/>
        <w:bidi w:val="0"/>
        <w:spacing w:before="208" w:line="326" w:lineRule="auto"/>
        <w:ind w:left="1" w:firstLine="48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2、招标人根据设计文件的要求及37号文、粤建规范〔2019〕2号文的规定列出“危险性较大的分部分项工程清单及超过一定规模的危险性较大的分部分项工程清单 ”中与 本招标项目相关的清单项，具体详见第5点“打 √ ”标识。</w:t>
      </w:r>
    </w:p>
    <w:p w14:paraId="3676768B">
      <w:pPr>
        <w:keepNext w:val="0"/>
        <w:keepLines w:val="0"/>
        <w:pageBreakBefore w:val="0"/>
        <w:wordWrap w:val="0"/>
        <w:overflowPunct/>
        <w:topLinePunct w:val="0"/>
        <w:bidi w:val="0"/>
        <w:spacing w:before="209" w:line="299" w:lineRule="auto"/>
        <w:ind w:left="3" w:right="72" w:firstLine="48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（1）投标单位同意建设单位在清单中标识的该项请在对应项打“ √ ”标识，并与投标文件中提供相应的安全管理措施。</w:t>
      </w:r>
    </w:p>
    <w:p w14:paraId="1C2AFCFC">
      <w:pPr>
        <w:keepNext w:val="0"/>
        <w:keepLines w:val="0"/>
        <w:pageBreakBefore w:val="0"/>
        <w:wordWrap w:val="0"/>
        <w:overflowPunct/>
        <w:topLinePunct w:val="0"/>
        <w:bidi w:val="0"/>
        <w:spacing w:before="208" w:line="299" w:lineRule="auto"/>
        <w:ind w:left="2" w:right="72" w:firstLine="48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（2）投标单位对清单中认为需要补充的该项请在对应项打“ √ ”标识，并与投标文件中提供相应的安全管理措施。</w:t>
      </w:r>
    </w:p>
    <w:p w14:paraId="2C57E579">
      <w:pPr>
        <w:keepNext w:val="0"/>
        <w:keepLines w:val="0"/>
        <w:pageBreakBefore w:val="0"/>
        <w:wordWrap w:val="0"/>
        <w:overflowPunct/>
        <w:topLinePunct w:val="0"/>
        <w:bidi w:val="0"/>
        <w:spacing w:before="210" w:line="300" w:lineRule="auto"/>
        <w:ind w:right="72" w:firstLine="49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（3）投标单位不同意建设单位在清单中标识的该项请在对应项打“ × ”标识，并在备注栏填上相关说明。</w:t>
      </w:r>
    </w:p>
    <w:p w14:paraId="14B36F6D">
      <w:pPr>
        <w:keepNext w:val="0"/>
        <w:keepLines w:val="0"/>
        <w:pageBreakBefore w:val="0"/>
        <w:wordWrap w:val="0"/>
        <w:overflowPunct/>
        <w:topLinePunct w:val="0"/>
        <w:bidi w:val="0"/>
        <w:spacing w:before="207" w:line="371" w:lineRule="auto"/>
        <w:ind w:firstLine="484"/>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u w:val="single"/>
          <w14:textFill>
            <w14:solidFill>
              <w14:schemeClr w14:val="tx1"/>
            </w14:solidFill>
          </w14:textFill>
        </w:rPr>
        <w:t>3、投标单位应当在投标时根据招标人提供的下述第5点清单，在投标施工组织中回应建设单位提供的危大工程清单，补充相应的安全管理措施。（为减轻标书编制的工作量，投标单位回应的危大工程清单该部分的页数应控制在3页内）</w:t>
      </w:r>
    </w:p>
    <w:p w14:paraId="74C7E91A">
      <w:pPr>
        <w:keepNext w:val="0"/>
        <w:keepLines w:val="0"/>
        <w:pageBreakBefore w:val="0"/>
        <w:wordWrap w:val="0"/>
        <w:overflowPunct/>
        <w:topLinePunct w:val="0"/>
        <w:bidi w:val="0"/>
        <w:spacing w:before="33" w:line="326" w:lineRule="auto"/>
        <w:ind w:left="1" w:firstLine="47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798FF3E3">
      <w:pPr>
        <w:keepNext w:val="0"/>
        <w:keepLines w:val="0"/>
        <w:pageBreakBefore w:val="0"/>
        <w:wordWrap w:val="0"/>
        <w:overflowPunct/>
        <w:topLinePunct w:val="0"/>
        <w:bidi w:val="0"/>
        <w:spacing w:before="208" w:line="301" w:lineRule="auto"/>
        <w:ind w:firstLine="484"/>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5、危险性较大的分部分项工程清单及超过一定规模的危险性较大的分部分项工程清单</w:t>
      </w:r>
    </w:p>
    <w:p w14:paraId="211A5215">
      <w:pPr>
        <w:keepNext w:val="0"/>
        <w:keepLines w:val="0"/>
        <w:pageBreakBefore w:val="0"/>
        <w:wordWrap w:val="0"/>
        <w:overflowPunct/>
        <w:topLinePunct w:val="0"/>
        <w:bidi w:val="0"/>
        <w:spacing w:before="40"/>
        <w:rPr>
          <w:rFonts w:hint="eastAsia" w:ascii="宋体" w:hAnsi="宋体" w:eastAsia="宋体" w:cs="宋体"/>
          <w:color w:val="000000" w:themeColor="text1"/>
          <w:spacing w:val="0"/>
          <w:highlight w:val="none"/>
          <w14:textFill>
            <w14:solidFill>
              <w14:schemeClr w14:val="tx1"/>
            </w14:solidFill>
          </w14:textFill>
        </w:rPr>
      </w:pPr>
    </w:p>
    <w:tbl>
      <w:tblPr>
        <w:tblStyle w:val="14"/>
        <w:tblW w:w="98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4862"/>
        <w:gridCol w:w="1294"/>
        <w:gridCol w:w="1294"/>
        <w:gridCol w:w="2428"/>
      </w:tblGrid>
      <w:tr w14:paraId="1D6B3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C0C1314">
            <w:pPr>
              <w:keepNext w:val="0"/>
              <w:keepLines w:val="0"/>
              <w:pageBreakBefore w:val="0"/>
              <w:wordWrap w:val="0"/>
              <w:overflowPunct/>
              <w:topLinePunct w:val="0"/>
              <w:bidi w:val="0"/>
              <w:spacing w:before="133" w:line="220" w:lineRule="auto"/>
              <w:ind w:firstLine="241" w:firstLineChars="1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一、危险性较大的分部分项工程清单</w:t>
            </w:r>
          </w:p>
        </w:tc>
        <w:tc>
          <w:tcPr>
            <w:tcW w:w="1294" w:type="dxa"/>
            <w:vAlign w:val="top"/>
          </w:tcPr>
          <w:p w14:paraId="786821EB">
            <w:pPr>
              <w:keepNext w:val="0"/>
              <w:keepLines w:val="0"/>
              <w:pageBreakBefore w:val="0"/>
              <w:wordWrap w:val="0"/>
              <w:overflowPunct/>
              <w:topLinePunct w:val="0"/>
              <w:bidi w:val="0"/>
              <w:spacing w:before="133" w:line="221" w:lineRule="auto"/>
              <w:ind w:left="206" w:leftChars="0"/>
              <w:rPr>
                <w:rFonts w:hint="eastAsia" w:ascii="宋体" w:hAnsi="宋体" w:eastAsia="宋体" w:cs="宋体"/>
                <w:color w:val="000000" w:themeColor="text1"/>
                <w:spacing w:val="0"/>
                <w:w w:val="94"/>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建设单位</w:t>
            </w:r>
          </w:p>
        </w:tc>
        <w:tc>
          <w:tcPr>
            <w:tcW w:w="1294" w:type="dxa"/>
            <w:vAlign w:val="top"/>
          </w:tcPr>
          <w:p w14:paraId="088710BC">
            <w:pPr>
              <w:keepNext w:val="0"/>
              <w:keepLines w:val="0"/>
              <w:pageBreakBefore w:val="0"/>
              <w:wordWrap w:val="0"/>
              <w:overflowPunct/>
              <w:topLinePunct w:val="0"/>
              <w:bidi w:val="0"/>
              <w:spacing w:before="133" w:line="221" w:lineRule="auto"/>
              <w:ind w:left="205" w:leftChars="0"/>
              <w:rPr>
                <w:rFonts w:hint="eastAsia" w:ascii="宋体" w:hAnsi="宋体" w:eastAsia="宋体" w:cs="宋体"/>
                <w:color w:val="000000" w:themeColor="text1"/>
                <w:spacing w:val="0"/>
                <w:w w:val="94"/>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投标单位</w:t>
            </w:r>
          </w:p>
        </w:tc>
        <w:tc>
          <w:tcPr>
            <w:tcW w:w="2428" w:type="dxa"/>
            <w:vAlign w:val="top"/>
          </w:tcPr>
          <w:p w14:paraId="5305F236">
            <w:pPr>
              <w:keepNext w:val="0"/>
              <w:keepLines w:val="0"/>
              <w:pageBreakBefore w:val="0"/>
              <w:wordWrap w:val="0"/>
              <w:overflowPunct/>
              <w:topLinePunct w:val="0"/>
              <w:bidi w:val="0"/>
              <w:spacing w:before="133" w:line="222" w:lineRule="auto"/>
              <w:ind w:left="360" w:leftChars="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备注</w:t>
            </w:r>
          </w:p>
        </w:tc>
      </w:tr>
      <w:tr w14:paraId="7851F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12B4333">
            <w:pPr>
              <w:keepNext w:val="0"/>
              <w:keepLines w:val="0"/>
              <w:pageBreakBefore w:val="0"/>
              <w:wordWrap w:val="0"/>
              <w:overflowPunct/>
              <w:topLinePunct w:val="0"/>
              <w:bidi w:val="0"/>
              <w:spacing w:before="128" w:line="221" w:lineRule="auto"/>
              <w:ind w:left="120" w:leftChars="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一、基坑支护</w:t>
            </w:r>
          </w:p>
        </w:tc>
        <w:tc>
          <w:tcPr>
            <w:tcW w:w="1294" w:type="dxa"/>
            <w:vAlign w:val="top"/>
          </w:tcPr>
          <w:p w14:paraId="40D210A2">
            <w:pPr>
              <w:keepNext w:val="0"/>
              <w:keepLines w:val="0"/>
              <w:pageBreakBefore w:val="0"/>
              <w:wordWrap w:val="0"/>
              <w:overflowPunct/>
              <w:topLinePunct w:val="0"/>
              <w:bidi w:val="0"/>
              <w:spacing w:before="128" w:line="223" w:lineRule="auto"/>
              <w:jc w:val="center"/>
              <w:rPr>
                <w:rFonts w:hint="eastAsia" w:ascii="宋体" w:hAnsi="宋体" w:eastAsia="宋体" w:cs="宋体"/>
                <w:color w:val="000000" w:themeColor="text1"/>
                <w:spacing w:val="0"/>
                <w:w w:val="94"/>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bookmarkStart w:id="264" w:name="OLE_LINK39"/>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bookmarkEnd w:id="264"/>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790D24ED">
            <w:pPr>
              <w:keepNext w:val="0"/>
              <w:keepLines w:val="0"/>
              <w:pageBreakBefore w:val="0"/>
              <w:wordWrap w:val="0"/>
              <w:overflowPunct/>
              <w:topLinePunct w:val="0"/>
              <w:bidi w:val="0"/>
              <w:spacing w:before="128" w:line="223" w:lineRule="auto"/>
              <w:ind w:left="367" w:leftChars="0"/>
              <w:rPr>
                <w:rFonts w:hint="eastAsia" w:ascii="宋体" w:hAnsi="宋体" w:eastAsia="宋体" w:cs="宋体"/>
                <w:color w:val="000000" w:themeColor="text1"/>
                <w:spacing w:val="0"/>
                <w:w w:val="94"/>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5DE86A91">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17532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9197831">
            <w:pPr>
              <w:keepNext w:val="0"/>
              <w:keepLines w:val="0"/>
              <w:pageBreakBefore w:val="0"/>
              <w:wordWrap w:val="0"/>
              <w:overflowPunct/>
              <w:topLinePunct w:val="0"/>
              <w:bidi w:val="0"/>
              <w:spacing w:before="129" w:line="328" w:lineRule="auto"/>
              <w:ind w:left="135" w:leftChars="0" w:right="68" w:rightChars="0" w:hanging="8" w:firstLineChars="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（一）开挖深度超过 3m（含 3m）的基坑（槽） 的土方开挖、支护、降水工程。</w:t>
            </w:r>
          </w:p>
        </w:tc>
        <w:tc>
          <w:tcPr>
            <w:tcW w:w="1294" w:type="dxa"/>
            <w:vAlign w:val="top"/>
          </w:tcPr>
          <w:p w14:paraId="5B778EA3">
            <w:pPr>
              <w:pStyle w:val="27"/>
              <w:keepNext w:val="0"/>
              <w:keepLines w:val="0"/>
              <w:pageBreakBefore w:val="0"/>
              <w:wordWrap w:val="0"/>
              <w:overflowPunct/>
              <w:topLinePunct w:val="0"/>
              <w:bidi w:val="0"/>
              <w:spacing w:line="297"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80472A7">
            <w:pPr>
              <w:keepNext w:val="0"/>
              <w:keepLines w:val="0"/>
              <w:pageBreakBefore w:val="0"/>
              <w:wordWrap w:val="0"/>
              <w:overflowPunct/>
              <w:topLinePunct w:val="0"/>
              <w:bidi w:val="0"/>
              <w:spacing w:before="78" w:line="223" w:lineRule="auto"/>
              <w:ind w:left="396" w:leftChars="0"/>
              <w:rPr>
                <w:rFonts w:hint="eastAsia" w:ascii="宋体" w:hAnsi="宋体" w:eastAsia="宋体" w:cs="宋体"/>
                <w:color w:val="000000" w:themeColor="text1"/>
                <w:spacing w:val="0"/>
                <w:w w:val="94"/>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2CF74172">
            <w:pPr>
              <w:pStyle w:val="27"/>
              <w:keepNext w:val="0"/>
              <w:keepLines w:val="0"/>
              <w:pageBreakBefore w:val="0"/>
              <w:wordWrap w:val="0"/>
              <w:overflowPunct/>
              <w:topLinePunct w:val="0"/>
              <w:bidi w:val="0"/>
              <w:spacing w:line="297"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3E2C041A">
            <w:pPr>
              <w:keepNext w:val="0"/>
              <w:keepLines w:val="0"/>
              <w:pageBreakBefore w:val="0"/>
              <w:wordWrap w:val="0"/>
              <w:overflowPunct/>
              <w:topLinePunct w:val="0"/>
              <w:bidi w:val="0"/>
              <w:spacing w:before="78" w:line="223" w:lineRule="auto"/>
              <w:ind w:left="367" w:leftChars="0"/>
              <w:rPr>
                <w:rFonts w:hint="eastAsia" w:ascii="宋体" w:hAnsi="宋体" w:eastAsia="宋体" w:cs="宋体"/>
                <w:color w:val="000000" w:themeColor="text1"/>
                <w:spacing w:val="0"/>
                <w:w w:val="94"/>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577920F0">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3C180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5D2C12B">
            <w:pPr>
              <w:keepNext w:val="0"/>
              <w:keepLines w:val="0"/>
              <w:pageBreakBefore w:val="0"/>
              <w:wordWrap w:val="0"/>
              <w:overflowPunct/>
              <w:topLinePunct w:val="0"/>
              <w:bidi w:val="0"/>
              <w:spacing w:before="132" w:line="354" w:lineRule="auto"/>
              <w:ind w:left="116" w:right="108" w:firstLine="11"/>
              <w:jc w:val="both"/>
              <w:rPr>
                <w:rFonts w:hint="eastAsia" w:ascii="宋体" w:hAnsi="宋体" w:eastAsia="宋体" w:cs="宋体"/>
                <w:color w:val="000000" w:themeColor="text1"/>
                <w:spacing w:val="0"/>
                <w:sz w:val="24"/>
                <w:szCs w:val="24"/>
                <w:highlight w:val="none"/>
                <w14:textFill>
                  <w14:solidFill>
                    <w14:schemeClr w14:val="tx1"/>
                  </w14:solidFill>
                </w14:textFill>
              </w:rPr>
            </w:pPr>
            <w:bookmarkStart w:id="265" w:name="bookmark161"/>
            <w:bookmarkEnd w:id="265"/>
            <w:r>
              <w:rPr>
                <w:rFonts w:hint="eastAsia" w:ascii="宋体" w:hAnsi="宋体" w:eastAsia="宋体" w:cs="宋体"/>
                <w:color w:val="000000" w:themeColor="text1"/>
                <w:spacing w:val="0"/>
                <w:sz w:val="24"/>
                <w:szCs w:val="24"/>
                <w:highlight w:val="none"/>
                <w14:textFill>
                  <w14:solidFill>
                    <w14:schemeClr w14:val="tx1"/>
                  </w14:solidFill>
                </w14:textFill>
              </w:rPr>
              <w:t>（二）开挖深度虽未超过 3m，但地质条件、周 围环境和地下管线复杂，或影响毗邻建、构筑 物安全的基坑（槽）的土方开挖、支护、降水 工程。</w:t>
            </w:r>
          </w:p>
        </w:tc>
        <w:tc>
          <w:tcPr>
            <w:tcW w:w="1294" w:type="dxa"/>
            <w:vAlign w:val="top"/>
          </w:tcPr>
          <w:p w14:paraId="678E3335">
            <w:pPr>
              <w:pStyle w:val="27"/>
              <w:keepNext w:val="0"/>
              <w:keepLines w:val="0"/>
              <w:pageBreakBefore w:val="0"/>
              <w:wordWrap w:val="0"/>
              <w:overflowPunct/>
              <w:topLinePunct w:val="0"/>
              <w:bidi w:val="0"/>
              <w:spacing w:line="263"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03E3E37B">
            <w:pPr>
              <w:pStyle w:val="27"/>
              <w:keepNext w:val="0"/>
              <w:keepLines w:val="0"/>
              <w:pageBreakBefore w:val="0"/>
              <w:wordWrap w:val="0"/>
              <w:overflowPunct/>
              <w:topLinePunct w:val="0"/>
              <w:bidi w:val="0"/>
              <w:spacing w:line="263"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07B348AA">
            <w:pPr>
              <w:pStyle w:val="27"/>
              <w:keepNext w:val="0"/>
              <w:keepLines w:val="0"/>
              <w:pageBreakBefore w:val="0"/>
              <w:wordWrap w:val="0"/>
              <w:overflowPunct/>
              <w:topLinePunct w:val="0"/>
              <w:bidi w:val="0"/>
              <w:spacing w:line="264"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09F5F156">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bookmarkStart w:id="266" w:name="OLE_LINK40"/>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bookmarkEnd w:id="266"/>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49FC468F">
            <w:pPr>
              <w:pStyle w:val="27"/>
              <w:keepNext w:val="0"/>
              <w:keepLines w:val="0"/>
              <w:pageBreakBefore w:val="0"/>
              <w:wordWrap w:val="0"/>
              <w:overflowPunct/>
              <w:topLinePunct w:val="0"/>
              <w:bidi w:val="0"/>
              <w:spacing w:line="263"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573D6FDA">
            <w:pPr>
              <w:pStyle w:val="27"/>
              <w:keepNext w:val="0"/>
              <w:keepLines w:val="0"/>
              <w:pageBreakBefore w:val="0"/>
              <w:wordWrap w:val="0"/>
              <w:overflowPunct/>
              <w:topLinePunct w:val="0"/>
              <w:bidi w:val="0"/>
              <w:spacing w:line="263"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4B2551ED">
            <w:pPr>
              <w:pStyle w:val="27"/>
              <w:keepNext w:val="0"/>
              <w:keepLines w:val="0"/>
              <w:pageBreakBefore w:val="0"/>
              <w:wordWrap w:val="0"/>
              <w:overflowPunct/>
              <w:topLinePunct w:val="0"/>
              <w:bidi w:val="0"/>
              <w:spacing w:line="264"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036E5E26">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45D403E2">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04CB8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FF3CCA3">
            <w:pPr>
              <w:keepNext w:val="0"/>
              <w:keepLines w:val="0"/>
              <w:pageBreakBefore w:val="0"/>
              <w:wordWrap w:val="0"/>
              <w:overflowPunct/>
              <w:topLinePunct w:val="0"/>
              <w:bidi w:val="0"/>
              <w:spacing w:before="128" w:line="219" w:lineRule="auto"/>
              <w:ind w:left="12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二、模板工程及支撑体系</w:t>
            </w:r>
          </w:p>
        </w:tc>
        <w:tc>
          <w:tcPr>
            <w:tcW w:w="1294" w:type="dxa"/>
            <w:vAlign w:val="top"/>
          </w:tcPr>
          <w:p w14:paraId="4F83F1A7">
            <w:pPr>
              <w:keepNext w:val="0"/>
              <w:keepLines w:val="0"/>
              <w:pageBreakBefore w:val="0"/>
              <w:wordWrap w:val="0"/>
              <w:overflowPunct/>
              <w:topLinePunct w:val="0"/>
              <w:bidi w:val="0"/>
              <w:spacing w:before="12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21DEA9D7">
            <w:pPr>
              <w:keepNext w:val="0"/>
              <w:keepLines w:val="0"/>
              <w:pageBreakBefore w:val="0"/>
              <w:wordWrap w:val="0"/>
              <w:overflowPunct/>
              <w:topLinePunct w:val="0"/>
              <w:bidi w:val="0"/>
              <w:spacing w:before="12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23E66751">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15F75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B42EF94">
            <w:pPr>
              <w:keepNext w:val="0"/>
              <w:keepLines w:val="0"/>
              <w:pageBreakBefore w:val="0"/>
              <w:wordWrap w:val="0"/>
              <w:overflowPunct/>
              <w:topLinePunct w:val="0"/>
              <w:bidi w:val="0"/>
              <w:spacing w:before="128" w:line="328" w:lineRule="auto"/>
              <w:ind w:left="123" w:right="25" w:firstLine="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（一）各类工具式模板工程：包括滑模、爬模、 飞模、隧道模等工程。</w:t>
            </w:r>
          </w:p>
        </w:tc>
        <w:tc>
          <w:tcPr>
            <w:tcW w:w="1294" w:type="dxa"/>
            <w:vAlign w:val="top"/>
          </w:tcPr>
          <w:p w14:paraId="62BE616C">
            <w:pPr>
              <w:pStyle w:val="27"/>
              <w:keepNext w:val="0"/>
              <w:keepLines w:val="0"/>
              <w:pageBreakBefore w:val="0"/>
              <w:wordWrap w:val="0"/>
              <w:overflowPunct/>
              <w:topLinePunct w:val="0"/>
              <w:bidi w:val="0"/>
              <w:spacing w:line="293"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20787877">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30A3A5B2">
            <w:pPr>
              <w:pStyle w:val="27"/>
              <w:keepNext w:val="0"/>
              <w:keepLines w:val="0"/>
              <w:pageBreakBefore w:val="0"/>
              <w:wordWrap w:val="0"/>
              <w:overflowPunct/>
              <w:topLinePunct w:val="0"/>
              <w:bidi w:val="0"/>
              <w:spacing w:line="293"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4BAF713B">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76A6A71B">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41E75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F44FF8A">
            <w:pPr>
              <w:keepNext w:val="0"/>
              <w:keepLines w:val="0"/>
              <w:pageBreakBefore w:val="0"/>
              <w:wordWrap w:val="0"/>
              <w:overflowPunct/>
              <w:topLinePunct w:val="0"/>
              <w:bidi w:val="0"/>
              <w:spacing w:before="131" w:line="362" w:lineRule="auto"/>
              <w:ind w:left="115" w:right="105" w:firstLine="1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（二）混凝土模板支撑工程：搭设高度 5m 及以 上，或搭设跨度 10m 及以上，或施工总荷载（荷 载效应基本组合的设计值，以下简称设计值） 10kN/m2 及以上，或集中线荷载（设计值）15kN/m 及以上，或高度大于支撑水平投影宽度且相对 独立无联系构件的混凝土模板支撑工程。</w:t>
            </w:r>
          </w:p>
        </w:tc>
        <w:tc>
          <w:tcPr>
            <w:tcW w:w="1294" w:type="dxa"/>
            <w:vAlign w:val="top"/>
          </w:tcPr>
          <w:p w14:paraId="06D081D3">
            <w:pPr>
              <w:pStyle w:val="27"/>
              <w:keepNext w:val="0"/>
              <w:keepLines w:val="0"/>
              <w:pageBreakBefore w:val="0"/>
              <w:wordWrap w:val="0"/>
              <w:overflowPunct/>
              <w:topLinePunct w:val="0"/>
              <w:bidi w:val="0"/>
              <w:spacing w:line="255"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4A16BFFE">
            <w:pPr>
              <w:pStyle w:val="27"/>
              <w:keepNext w:val="0"/>
              <w:keepLines w:val="0"/>
              <w:pageBreakBefore w:val="0"/>
              <w:wordWrap w:val="0"/>
              <w:overflowPunct/>
              <w:topLinePunct w:val="0"/>
              <w:bidi w:val="0"/>
              <w:spacing w:line="255"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3A0F5923">
            <w:pPr>
              <w:pStyle w:val="27"/>
              <w:keepNext w:val="0"/>
              <w:keepLines w:val="0"/>
              <w:pageBreakBefore w:val="0"/>
              <w:wordWrap w:val="0"/>
              <w:overflowPunct/>
              <w:topLinePunct w:val="0"/>
              <w:bidi w:val="0"/>
              <w:spacing w:line="255"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0E04FF9F">
            <w:pPr>
              <w:pStyle w:val="27"/>
              <w:keepNext w:val="0"/>
              <w:keepLines w:val="0"/>
              <w:pageBreakBefore w:val="0"/>
              <w:wordWrap w:val="0"/>
              <w:overflowPunct/>
              <w:topLinePunct w:val="0"/>
              <w:bidi w:val="0"/>
              <w:spacing w:line="255"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14B37184">
            <w:pPr>
              <w:pStyle w:val="27"/>
              <w:keepNext w:val="0"/>
              <w:keepLines w:val="0"/>
              <w:pageBreakBefore w:val="0"/>
              <w:wordWrap w:val="0"/>
              <w:overflowPunct/>
              <w:topLinePunct w:val="0"/>
              <w:bidi w:val="0"/>
              <w:spacing w:line="256"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5A4F6FF6">
            <w:pPr>
              <w:keepNext w:val="0"/>
              <w:keepLines w:val="0"/>
              <w:pageBreakBefore w:val="0"/>
              <w:wordWrap w:val="0"/>
              <w:overflowPunct/>
              <w:topLinePunct w:val="0"/>
              <w:bidi w:val="0"/>
              <w:spacing w:before="78" w:line="223" w:lineRule="auto"/>
              <w:ind w:left="42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2BC45176">
            <w:pPr>
              <w:pStyle w:val="27"/>
              <w:keepNext w:val="0"/>
              <w:keepLines w:val="0"/>
              <w:pageBreakBefore w:val="0"/>
              <w:wordWrap w:val="0"/>
              <w:overflowPunct/>
              <w:topLinePunct w:val="0"/>
              <w:bidi w:val="0"/>
              <w:spacing w:line="255"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D487157">
            <w:pPr>
              <w:pStyle w:val="27"/>
              <w:keepNext w:val="0"/>
              <w:keepLines w:val="0"/>
              <w:pageBreakBefore w:val="0"/>
              <w:wordWrap w:val="0"/>
              <w:overflowPunct/>
              <w:topLinePunct w:val="0"/>
              <w:bidi w:val="0"/>
              <w:spacing w:line="255"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3E1CE66E">
            <w:pPr>
              <w:pStyle w:val="27"/>
              <w:keepNext w:val="0"/>
              <w:keepLines w:val="0"/>
              <w:pageBreakBefore w:val="0"/>
              <w:wordWrap w:val="0"/>
              <w:overflowPunct/>
              <w:topLinePunct w:val="0"/>
              <w:bidi w:val="0"/>
              <w:spacing w:line="255"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A7FA7A1">
            <w:pPr>
              <w:pStyle w:val="27"/>
              <w:keepNext w:val="0"/>
              <w:keepLines w:val="0"/>
              <w:pageBreakBefore w:val="0"/>
              <w:wordWrap w:val="0"/>
              <w:overflowPunct/>
              <w:topLinePunct w:val="0"/>
              <w:bidi w:val="0"/>
              <w:spacing w:line="255"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12434D3D">
            <w:pPr>
              <w:pStyle w:val="27"/>
              <w:keepNext w:val="0"/>
              <w:keepLines w:val="0"/>
              <w:pageBreakBefore w:val="0"/>
              <w:wordWrap w:val="0"/>
              <w:overflowPunct/>
              <w:topLinePunct w:val="0"/>
              <w:bidi w:val="0"/>
              <w:spacing w:line="256"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1980D964">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1456E965">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4EC0E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F43D72D">
            <w:pPr>
              <w:keepNext w:val="0"/>
              <w:keepLines w:val="0"/>
              <w:pageBreakBefore w:val="0"/>
              <w:wordWrap w:val="0"/>
              <w:overflowPunct/>
              <w:topLinePunct w:val="0"/>
              <w:bidi w:val="0"/>
              <w:spacing w:before="130" w:line="327" w:lineRule="auto"/>
              <w:ind w:left="117" w:right="168" w:firstLine="1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（三）承重支撑体系：用于钢结构安装等满堂 支撑体系。</w:t>
            </w:r>
          </w:p>
        </w:tc>
        <w:tc>
          <w:tcPr>
            <w:tcW w:w="1294" w:type="dxa"/>
            <w:vAlign w:val="top"/>
          </w:tcPr>
          <w:p w14:paraId="511D615D">
            <w:pPr>
              <w:pStyle w:val="27"/>
              <w:keepNext w:val="0"/>
              <w:keepLines w:val="0"/>
              <w:pageBreakBefore w:val="0"/>
              <w:wordWrap w:val="0"/>
              <w:overflowPunct/>
              <w:topLinePunct w:val="0"/>
              <w:bidi w:val="0"/>
              <w:spacing w:line="296"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5F0F42D">
            <w:pPr>
              <w:keepNext w:val="0"/>
              <w:keepLines w:val="0"/>
              <w:pageBreakBefore w:val="0"/>
              <w:wordWrap w:val="0"/>
              <w:overflowPunct/>
              <w:topLinePunct w:val="0"/>
              <w:bidi w:val="0"/>
              <w:spacing w:before="78" w:line="223" w:lineRule="auto"/>
              <w:ind w:left="3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433D5358">
            <w:pPr>
              <w:pStyle w:val="27"/>
              <w:keepNext w:val="0"/>
              <w:keepLines w:val="0"/>
              <w:pageBreakBefore w:val="0"/>
              <w:wordWrap w:val="0"/>
              <w:overflowPunct/>
              <w:topLinePunct w:val="0"/>
              <w:bidi w:val="0"/>
              <w:spacing w:line="296"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0B3D0D91">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4DF9CE6A">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3A456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E79A01C">
            <w:pPr>
              <w:keepNext w:val="0"/>
              <w:keepLines w:val="0"/>
              <w:pageBreakBefore w:val="0"/>
              <w:wordWrap w:val="0"/>
              <w:overflowPunct/>
              <w:topLinePunct w:val="0"/>
              <w:bidi w:val="0"/>
              <w:spacing w:before="130" w:line="219" w:lineRule="auto"/>
              <w:ind w:left="35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三、起重吊装及起重机械安装拆卸工程</w:t>
            </w:r>
          </w:p>
        </w:tc>
        <w:tc>
          <w:tcPr>
            <w:tcW w:w="1294" w:type="dxa"/>
            <w:vAlign w:val="top"/>
          </w:tcPr>
          <w:p w14:paraId="76D8EB27">
            <w:pPr>
              <w:keepNext w:val="0"/>
              <w:keepLines w:val="0"/>
              <w:pageBreakBefore w:val="0"/>
              <w:wordWrap w:val="0"/>
              <w:overflowPunct/>
              <w:topLinePunct w:val="0"/>
              <w:bidi w:val="0"/>
              <w:spacing w:before="129"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684F6761">
            <w:pPr>
              <w:keepNext w:val="0"/>
              <w:keepLines w:val="0"/>
              <w:pageBreakBefore w:val="0"/>
              <w:wordWrap w:val="0"/>
              <w:overflowPunct/>
              <w:topLinePunct w:val="0"/>
              <w:bidi w:val="0"/>
              <w:spacing w:before="129"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1AB0041E">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1C2E0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CDD2F61">
            <w:pPr>
              <w:keepNext w:val="0"/>
              <w:keepLines w:val="0"/>
              <w:pageBreakBefore w:val="0"/>
              <w:wordWrap w:val="0"/>
              <w:overflowPunct/>
              <w:topLinePunct w:val="0"/>
              <w:bidi w:val="0"/>
              <w:spacing w:before="131" w:line="327" w:lineRule="auto"/>
              <w:ind w:left="144" w:right="168" w:hanging="1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（一）采用非常规起重设备、方法，且单件起 吊重量在 10kN 及以上的起重吊装工程。</w:t>
            </w:r>
          </w:p>
        </w:tc>
        <w:tc>
          <w:tcPr>
            <w:tcW w:w="1294" w:type="dxa"/>
            <w:vAlign w:val="top"/>
          </w:tcPr>
          <w:p w14:paraId="29DAD9F8">
            <w:pPr>
              <w:pStyle w:val="27"/>
              <w:keepNext w:val="0"/>
              <w:keepLines w:val="0"/>
              <w:pageBreakBefore w:val="0"/>
              <w:wordWrap w:val="0"/>
              <w:overflowPunct/>
              <w:topLinePunct w:val="0"/>
              <w:bidi w:val="0"/>
              <w:spacing w:line="297"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399CF0AA">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3537BA4B">
            <w:pPr>
              <w:pStyle w:val="27"/>
              <w:keepNext w:val="0"/>
              <w:keepLines w:val="0"/>
              <w:pageBreakBefore w:val="0"/>
              <w:wordWrap w:val="0"/>
              <w:overflowPunct/>
              <w:topLinePunct w:val="0"/>
              <w:bidi w:val="0"/>
              <w:spacing w:line="297"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4107995C">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2189630F">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0CF08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0DA6BEA">
            <w:pPr>
              <w:keepNext w:val="0"/>
              <w:keepLines w:val="0"/>
              <w:pageBreakBefore w:val="0"/>
              <w:wordWrap w:val="0"/>
              <w:overflowPunct/>
              <w:topLinePunct w:val="0"/>
              <w:bidi w:val="0"/>
              <w:spacing w:before="132" w:line="219" w:lineRule="auto"/>
              <w:ind w:left="12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（二）采用起重机械进行安装的工程。</w:t>
            </w:r>
          </w:p>
        </w:tc>
        <w:tc>
          <w:tcPr>
            <w:tcW w:w="1294" w:type="dxa"/>
            <w:vAlign w:val="top"/>
          </w:tcPr>
          <w:p w14:paraId="05D8A463">
            <w:pPr>
              <w:keepNext w:val="0"/>
              <w:keepLines w:val="0"/>
              <w:pageBreakBefore w:val="0"/>
              <w:wordWrap w:val="0"/>
              <w:overflowPunct/>
              <w:topLinePunct w:val="0"/>
              <w:bidi w:val="0"/>
              <w:spacing w:before="131" w:line="223" w:lineRule="auto"/>
              <w:ind w:left="3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0902B328">
            <w:pPr>
              <w:keepNext w:val="0"/>
              <w:keepLines w:val="0"/>
              <w:pageBreakBefore w:val="0"/>
              <w:wordWrap w:val="0"/>
              <w:overflowPunct/>
              <w:topLinePunct w:val="0"/>
              <w:bidi w:val="0"/>
              <w:spacing w:before="131"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363D3528">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1DB15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2F4B30C">
            <w:pPr>
              <w:keepNext w:val="0"/>
              <w:keepLines w:val="0"/>
              <w:pageBreakBefore w:val="0"/>
              <w:wordWrap w:val="0"/>
              <w:overflowPunct/>
              <w:topLinePunct w:val="0"/>
              <w:bidi w:val="0"/>
              <w:spacing w:before="130" w:line="219" w:lineRule="auto"/>
              <w:ind w:left="12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（三）起重机械安装和拆卸工程。</w:t>
            </w:r>
          </w:p>
        </w:tc>
        <w:tc>
          <w:tcPr>
            <w:tcW w:w="1294" w:type="dxa"/>
            <w:vAlign w:val="top"/>
          </w:tcPr>
          <w:p w14:paraId="429C4D99">
            <w:pPr>
              <w:keepNext w:val="0"/>
              <w:keepLines w:val="0"/>
              <w:pageBreakBefore w:val="0"/>
              <w:wordWrap w:val="0"/>
              <w:overflowPunct/>
              <w:topLinePunct w:val="0"/>
              <w:bidi w:val="0"/>
              <w:spacing w:before="129" w:line="223" w:lineRule="auto"/>
              <w:ind w:left="3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6E377759">
            <w:pPr>
              <w:keepNext w:val="0"/>
              <w:keepLines w:val="0"/>
              <w:pageBreakBefore w:val="0"/>
              <w:wordWrap w:val="0"/>
              <w:overflowPunct/>
              <w:topLinePunct w:val="0"/>
              <w:bidi w:val="0"/>
              <w:spacing w:before="129"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2D68036D">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09A8E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3B4E193">
            <w:pPr>
              <w:keepNext w:val="0"/>
              <w:keepLines w:val="0"/>
              <w:pageBreakBefore w:val="0"/>
              <w:wordWrap w:val="0"/>
              <w:overflowPunct/>
              <w:topLinePunct w:val="0"/>
              <w:bidi w:val="0"/>
              <w:spacing w:before="131" w:line="219" w:lineRule="auto"/>
              <w:ind w:left="13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四、脚手架工程</w:t>
            </w:r>
          </w:p>
        </w:tc>
        <w:tc>
          <w:tcPr>
            <w:tcW w:w="1294" w:type="dxa"/>
            <w:vAlign w:val="top"/>
          </w:tcPr>
          <w:p w14:paraId="4B0E76C9">
            <w:pPr>
              <w:keepNext w:val="0"/>
              <w:keepLines w:val="0"/>
              <w:pageBreakBefore w:val="0"/>
              <w:wordWrap w:val="0"/>
              <w:overflowPunct/>
              <w:topLinePunct w:val="0"/>
              <w:bidi w:val="0"/>
              <w:spacing w:before="130" w:line="223" w:lineRule="auto"/>
              <w:ind w:left="48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35E1DB8D">
            <w:pPr>
              <w:keepNext w:val="0"/>
              <w:keepLines w:val="0"/>
              <w:pageBreakBefore w:val="0"/>
              <w:wordWrap w:val="0"/>
              <w:overflowPunct/>
              <w:topLinePunct w:val="0"/>
              <w:bidi w:val="0"/>
              <w:spacing w:before="130"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1596A5DC">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50A15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15C7215">
            <w:pPr>
              <w:keepNext w:val="0"/>
              <w:keepLines w:val="0"/>
              <w:pageBreakBefore w:val="0"/>
              <w:wordWrap w:val="0"/>
              <w:overflowPunct/>
              <w:topLinePunct w:val="0"/>
              <w:bidi w:val="0"/>
              <w:spacing w:before="130" w:line="327" w:lineRule="auto"/>
              <w:ind w:left="117" w:right="168" w:firstLine="1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（一）搭设高度 24m 及以上的落地式钢管脚手 架工程（包括采光井、电梯井脚手架）。</w:t>
            </w:r>
          </w:p>
        </w:tc>
        <w:tc>
          <w:tcPr>
            <w:tcW w:w="1294" w:type="dxa"/>
            <w:vAlign w:val="top"/>
          </w:tcPr>
          <w:p w14:paraId="321FD4AD">
            <w:pPr>
              <w:pStyle w:val="27"/>
              <w:keepNext w:val="0"/>
              <w:keepLines w:val="0"/>
              <w:pageBreakBefore w:val="0"/>
              <w:wordWrap w:val="0"/>
              <w:overflowPunct/>
              <w:topLinePunct w:val="0"/>
              <w:bidi w:val="0"/>
              <w:spacing w:line="297"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79F5793">
            <w:pPr>
              <w:keepNext w:val="0"/>
              <w:keepLines w:val="0"/>
              <w:pageBreakBefore w:val="0"/>
              <w:wordWrap w:val="0"/>
              <w:overflowPunct/>
              <w:topLinePunct w:val="0"/>
              <w:bidi w:val="0"/>
              <w:spacing w:before="78" w:line="223" w:lineRule="auto"/>
              <w:ind w:left="42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0CD0218D">
            <w:pPr>
              <w:pStyle w:val="27"/>
              <w:keepNext w:val="0"/>
              <w:keepLines w:val="0"/>
              <w:pageBreakBefore w:val="0"/>
              <w:wordWrap w:val="0"/>
              <w:overflowPunct/>
              <w:topLinePunct w:val="0"/>
              <w:bidi w:val="0"/>
              <w:spacing w:line="297"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34A98EC">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5D925227">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09B47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79A4E32">
            <w:pPr>
              <w:keepNext w:val="0"/>
              <w:keepLines w:val="0"/>
              <w:pageBreakBefore w:val="0"/>
              <w:wordWrap w:val="0"/>
              <w:overflowPunct/>
              <w:topLinePunct w:val="0"/>
              <w:bidi w:val="0"/>
              <w:spacing w:before="131" w:line="219" w:lineRule="auto"/>
              <w:ind w:left="12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（二）附着式升降脚手架工程。</w:t>
            </w:r>
          </w:p>
        </w:tc>
        <w:tc>
          <w:tcPr>
            <w:tcW w:w="1294" w:type="dxa"/>
            <w:vAlign w:val="top"/>
          </w:tcPr>
          <w:p w14:paraId="2834041E">
            <w:pPr>
              <w:keepNext w:val="0"/>
              <w:keepLines w:val="0"/>
              <w:pageBreakBefore w:val="0"/>
              <w:wordWrap w:val="0"/>
              <w:overflowPunct/>
              <w:topLinePunct w:val="0"/>
              <w:bidi w:val="0"/>
              <w:spacing w:before="130" w:line="223" w:lineRule="auto"/>
              <w:ind w:left="24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19E1B740">
            <w:pPr>
              <w:keepNext w:val="0"/>
              <w:keepLines w:val="0"/>
              <w:pageBreakBefore w:val="0"/>
              <w:wordWrap w:val="0"/>
              <w:overflowPunct/>
              <w:topLinePunct w:val="0"/>
              <w:bidi w:val="0"/>
              <w:spacing w:before="130"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0CAC225D">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236F1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74FFC9B">
            <w:pPr>
              <w:keepNext w:val="0"/>
              <w:keepLines w:val="0"/>
              <w:pageBreakBefore w:val="0"/>
              <w:wordWrap w:val="0"/>
              <w:overflowPunct/>
              <w:topLinePunct w:val="0"/>
              <w:bidi w:val="0"/>
              <w:spacing w:before="132" w:line="219" w:lineRule="auto"/>
              <w:ind w:left="12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（三）悬挑式脚手架工程。</w:t>
            </w:r>
          </w:p>
        </w:tc>
        <w:tc>
          <w:tcPr>
            <w:tcW w:w="1294" w:type="dxa"/>
            <w:vAlign w:val="top"/>
          </w:tcPr>
          <w:p w14:paraId="5E7432E5">
            <w:pPr>
              <w:keepNext w:val="0"/>
              <w:keepLines w:val="0"/>
              <w:pageBreakBefore w:val="0"/>
              <w:wordWrap w:val="0"/>
              <w:overflowPunct/>
              <w:topLinePunct w:val="0"/>
              <w:bidi w:val="0"/>
              <w:spacing w:before="131" w:line="223" w:lineRule="auto"/>
              <w:ind w:left="24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07D49CBE">
            <w:pPr>
              <w:keepNext w:val="0"/>
              <w:keepLines w:val="0"/>
              <w:pageBreakBefore w:val="0"/>
              <w:wordWrap w:val="0"/>
              <w:overflowPunct/>
              <w:topLinePunct w:val="0"/>
              <w:bidi w:val="0"/>
              <w:spacing w:before="131"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06E687F2">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5EB78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0A65585">
            <w:pPr>
              <w:keepNext w:val="0"/>
              <w:keepLines w:val="0"/>
              <w:pageBreakBefore w:val="0"/>
              <w:wordWrap w:val="0"/>
              <w:overflowPunct/>
              <w:topLinePunct w:val="0"/>
              <w:bidi w:val="0"/>
              <w:spacing w:before="131" w:line="220" w:lineRule="auto"/>
              <w:ind w:left="12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（四）高处作业吊篮。</w:t>
            </w:r>
          </w:p>
        </w:tc>
        <w:tc>
          <w:tcPr>
            <w:tcW w:w="1294" w:type="dxa"/>
            <w:vAlign w:val="top"/>
          </w:tcPr>
          <w:p w14:paraId="14F1C253">
            <w:pPr>
              <w:keepNext w:val="0"/>
              <w:keepLines w:val="0"/>
              <w:pageBreakBefore w:val="0"/>
              <w:wordWrap w:val="0"/>
              <w:overflowPunct/>
              <w:topLinePunct w:val="0"/>
              <w:bidi w:val="0"/>
              <w:spacing w:before="131"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355D4A21">
            <w:pPr>
              <w:keepNext w:val="0"/>
              <w:keepLines w:val="0"/>
              <w:pageBreakBefore w:val="0"/>
              <w:wordWrap w:val="0"/>
              <w:overflowPunct/>
              <w:topLinePunct w:val="0"/>
              <w:bidi w:val="0"/>
              <w:spacing w:before="131"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671AEFFD">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5BFCB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6D85820">
            <w:pPr>
              <w:keepNext w:val="0"/>
              <w:keepLines w:val="0"/>
              <w:pageBreakBefore w:val="0"/>
              <w:wordWrap w:val="0"/>
              <w:overflowPunct/>
              <w:topLinePunct w:val="0"/>
              <w:bidi w:val="0"/>
              <w:spacing w:before="132" w:line="220" w:lineRule="auto"/>
              <w:ind w:left="12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（五）卸料平台、操作平台工程。</w:t>
            </w:r>
          </w:p>
        </w:tc>
        <w:tc>
          <w:tcPr>
            <w:tcW w:w="1294" w:type="dxa"/>
            <w:vAlign w:val="top"/>
          </w:tcPr>
          <w:p w14:paraId="24DA6B96">
            <w:pPr>
              <w:keepNext w:val="0"/>
              <w:keepLines w:val="0"/>
              <w:pageBreakBefore w:val="0"/>
              <w:wordWrap w:val="0"/>
              <w:overflowPunct/>
              <w:topLinePunct w:val="0"/>
              <w:bidi w:val="0"/>
              <w:spacing w:before="132" w:line="223" w:lineRule="auto"/>
              <w:ind w:left="24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5972CBB8">
            <w:pPr>
              <w:keepNext w:val="0"/>
              <w:keepLines w:val="0"/>
              <w:pageBreakBefore w:val="0"/>
              <w:wordWrap w:val="0"/>
              <w:overflowPunct/>
              <w:topLinePunct w:val="0"/>
              <w:bidi w:val="0"/>
              <w:spacing w:before="132"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3D335B2E">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19049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C96EB0E">
            <w:pPr>
              <w:keepNext w:val="0"/>
              <w:keepLines w:val="0"/>
              <w:pageBreakBefore w:val="0"/>
              <w:wordWrap w:val="0"/>
              <w:overflowPunct/>
              <w:topLinePunct w:val="0"/>
              <w:bidi w:val="0"/>
              <w:spacing w:before="133" w:line="219" w:lineRule="auto"/>
              <w:ind w:left="12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（六）异型脚手架工程。</w:t>
            </w:r>
          </w:p>
        </w:tc>
        <w:tc>
          <w:tcPr>
            <w:tcW w:w="1294" w:type="dxa"/>
            <w:vAlign w:val="top"/>
          </w:tcPr>
          <w:p w14:paraId="2920519C">
            <w:pPr>
              <w:keepNext w:val="0"/>
              <w:keepLines w:val="0"/>
              <w:pageBreakBefore w:val="0"/>
              <w:wordWrap w:val="0"/>
              <w:overflowPunct/>
              <w:topLinePunct w:val="0"/>
              <w:bidi w:val="0"/>
              <w:spacing w:before="132"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66F0ED25">
            <w:pPr>
              <w:keepNext w:val="0"/>
              <w:keepLines w:val="0"/>
              <w:pageBreakBefore w:val="0"/>
              <w:wordWrap w:val="0"/>
              <w:overflowPunct/>
              <w:topLinePunct w:val="0"/>
              <w:bidi w:val="0"/>
              <w:spacing w:before="132"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616F9989">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7684B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DB2BD6B">
            <w:pPr>
              <w:keepNext w:val="0"/>
              <w:keepLines w:val="0"/>
              <w:pageBreakBefore w:val="0"/>
              <w:wordWrap w:val="0"/>
              <w:overflowPunct/>
              <w:topLinePunct w:val="0"/>
              <w:bidi w:val="0"/>
              <w:spacing w:before="131" w:line="220" w:lineRule="auto"/>
              <w:ind w:left="120"/>
              <w:rPr>
                <w:rFonts w:hint="eastAsia" w:ascii="宋体" w:hAnsi="宋体" w:eastAsia="宋体" w:cs="宋体"/>
                <w:color w:val="000000" w:themeColor="text1"/>
                <w:spacing w:val="0"/>
                <w:sz w:val="24"/>
                <w:szCs w:val="24"/>
                <w:highlight w:val="none"/>
                <w14:textFill>
                  <w14:solidFill>
                    <w14:schemeClr w14:val="tx1"/>
                  </w14:solidFill>
                </w14:textFill>
              </w:rPr>
            </w:pPr>
            <w:bookmarkStart w:id="267" w:name="bookmark162"/>
            <w:bookmarkEnd w:id="267"/>
            <w:r>
              <w:rPr>
                <w:rFonts w:hint="eastAsia" w:ascii="宋体" w:hAnsi="宋体" w:eastAsia="宋体" w:cs="宋体"/>
                <w:color w:val="000000" w:themeColor="text1"/>
                <w:spacing w:val="0"/>
                <w:sz w:val="24"/>
                <w:szCs w:val="24"/>
                <w:highlight w:val="none"/>
                <w14:textFill>
                  <w14:solidFill>
                    <w14:schemeClr w14:val="tx1"/>
                  </w14:solidFill>
                </w14:textFill>
              </w:rPr>
              <w:t>五、拆除工程</w:t>
            </w:r>
          </w:p>
        </w:tc>
        <w:tc>
          <w:tcPr>
            <w:tcW w:w="1294" w:type="dxa"/>
            <w:vAlign w:val="top"/>
          </w:tcPr>
          <w:p w14:paraId="1F592663">
            <w:pPr>
              <w:keepNext w:val="0"/>
              <w:keepLines w:val="0"/>
              <w:pageBreakBefore w:val="0"/>
              <w:wordWrap w:val="0"/>
              <w:overflowPunct/>
              <w:topLinePunct w:val="0"/>
              <w:bidi w:val="0"/>
              <w:spacing w:before="131" w:line="223" w:lineRule="auto"/>
              <w:ind w:left="48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397AE92B">
            <w:pPr>
              <w:keepNext w:val="0"/>
              <w:keepLines w:val="0"/>
              <w:pageBreakBefore w:val="0"/>
              <w:wordWrap w:val="0"/>
              <w:overflowPunct/>
              <w:topLinePunct w:val="0"/>
              <w:bidi w:val="0"/>
              <w:spacing w:before="131"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6B23CF5F">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4E835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355B08F">
            <w:pPr>
              <w:keepNext w:val="0"/>
              <w:keepLines w:val="0"/>
              <w:pageBreakBefore w:val="0"/>
              <w:wordWrap w:val="0"/>
              <w:overflowPunct/>
              <w:topLinePunct w:val="0"/>
              <w:bidi w:val="0"/>
              <w:spacing w:before="126" w:line="329" w:lineRule="auto"/>
              <w:ind w:left="117" w:right="16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可能影响行人、交通、电力设施、通讯设施或 其它建、构筑物安全的拆除工程。</w:t>
            </w:r>
          </w:p>
        </w:tc>
        <w:tc>
          <w:tcPr>
            <w:tcW w:w="1294" w:type="dxa"/>
            <w:vAlign w:val="top"/>
          </w:tcPr>
          <w:p w14:paraId="0A9FAFF7">
            <w:pPr>
              <w:pStyle w:val="27"/>
              <w:keepNext w:val="0"/>
              <w:keepLines w:val="0"/>
              <w:pageBreakBefore w:val="0"/>
              <w:wordWrap w:val="0"/>
              <w:overflowPunct/>
              <w:topLinePunct w:val="0"/>
              <w:bidi w:val="0"/>
              <w:spacing w:line="294"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34B3FB96">
            <w:pPr>
              <w:keepNext w:val="0"/>
              <w:keepLines w:val="0"/>
              <w:pageBreakBefore w:val="0"/>
              <w:wordWrap w:val="0"/>
              <w:overflowPunct/>
              <w:topLinePunct w:val="0"/>
              <w:bidi w:val="0"/>
              <w:spacing w:before="78" w:line="223" w:lineRule="auto"/>
              <w:ind w:left="3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6D9904E6">
            <w:pPr>
              <w:pStyle w:val="27"/>
              <w:keepNext w:val="0"/>
              <w:keepLines w:val="0"/>
              <w:pageBreakBefore w:val="0"/>
              <w:wordWrap w:val="0"/>
              <w:overflowPunct/>
              <w:topLinePunct w:val="0"/>
              <w:bidi w:val="0"/>
              <w:spacing w:line="294"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4D0D520C">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650FEA8A">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66C11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0BEE0B8">
            <w:pPr>
              <w:keepNext w:val="0"/>
              <w:keepLines w:val="0"/>
              <w:pageBreakBefore w:val="0"/>
              <w:wordWrap w:val="0"/>
              <w:overflowPunct/>
              <w:topLinePunct w:val="0"/>
              <w:bidi w:val="0"/>
              <w:spacing w:before="126" w:line="221" w:lineRule="auto"/>
              <w:ind w:left="35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六、暗挖工程</w:t>
            </w:r>
          </w:p>
        </w:tc>
        <w:tc>
          <w:tcPr>
            <w:tcW w:w="1294" w:type="dxa"/>
            <w:vAlign w:val="top"/>
          </w:tcPr>
          <w:p w14:paraId="096738AD">
            <w:pPr>
              <w:keepNext w:val="0"/>
              <w:keepLines w:val="0"/>
              <w:pageBreakBefore w:val="0"/>
              <w:wordWrap w:val="0"/>
              <w:overflowPunct/>
              <w:topLinePunct w:val="0"/>
              <w:bidi w:val="0"/>
              <w:spacing w:before="126"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62FCEA97">
            <w:pPr>
              <w:keepNext w:val="0"/>
              <w:keepLines w:val="0"/>
              <w:pageBreakBefore w:val="0"/>
              <w:wordWrap w:val="0"/>
              <w:overflowPunct/>
              <w:topLinePunct w:val="0"/>
              <w:bidi w:val="0"/>
              <w:spacing w:before="126"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5EFB7B18">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050D5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DD12E32">
            <w:pPr>
              <w:keepNext w:val="0"/>
              <w:keepLines w:val="0"/>
              <w:pageBreakBefore w:val="0"/>
              <w:wordWrap w:val="0"/>
              <w:overflowPunct/>
              <w:topLinePunct w:val="0"/>
              <w:bidi w:val="0"/>
              <w:spacing w:before="128" w:line="328" w:lineRule="auto"/>
              <w:ind w:left="119" w:right="168" w:hanging="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采用矿山法、盾构法、顶管法施工的隧道、洞 室工程。</w:t>
            </w:r>
          </w:p>
        </w:tc>
        <w:tc>
          <w:tcPr>
            <w:tcW w:w="1294" w:type="dxa"/>
            <w:vAlign w:val="top"/>
          </w:tcPr>
          <w:p w14:paraId="41A2393E">
            <w:pPr>
              <w:pStyle w:val="27"/>
              <w:keepNext w:val="0"/>
              <w:keepLines w:val="0"/>
              <w:pageBreakBefore w:val="0"/>
              <w:wordWrap w:val="0"/>
              <w:overflowPunct/>
              <w:topLinePunct w:val="0"/>
              <w:bidi w:val="0"/>
              <w:spacing w:line="294"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3183CE4F">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2B4F68CC">
            <w:pPr>
              <w:pStyle w:val="27"/>
              <w:keepNext w:val="0"/>
              <w:keepLines w:val="0"/>
              <w:pageBreakBefore w:val="0"/>
              <w:wordWrap w:val="0"/>
              <w:overflowPunct/>
              <w:topLinePunct w:val="0"/>
              <w:bidi w:val="0"/>
              <w:spacing w:line="294"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1E79BD64">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2A19A2ED">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5B294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FE7E493">
            <w:pPr>
              <w:keepNext w:val="0"/>
              <w:keepLines w:val="0"/>
              <w:pageBreakBefore w:val="0"/>
              <w:wordWrap w:val="0"/>
              <w:overflowPunct/>
              <w:topLinePunct w:val="0"/>
              <w:bidi w:val="0"/>
              <w:spacing w:before="129" w:line="222" w:lineRule="auto"/>
              <w:ind w:left="11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七、其它</w:t>
            </w:r>
          </w:p>
        </w:tc>
        <w:tc>
          <w:tcPr>
            <w:tcW w:w="1294" w:type="dxa"/>
            <w:vAlign w:val="top"/>
          </w:tcPr>
          <w:p w14:paraId="277DB7A9">
            <w:pPr>
              <w:keepNext w:val="0"/>
              <w:keepLines w:val="0"/>
              <w:pageBreakBefore w:val="0"/>
              <w:wordWrap w:val="0"/>
              <w:overflowPunct/>
              <w:topLinePunct w:val="0"/>
              <w:bidi w:val="0"/>
              <w:spacing w:before="129"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45BBDAB4">
            <w:pPr>
              <w:keepNext w:val="0"/>
              <w:keepLines w:val="0"/>
              <w:pageBreakBefore w:val="0"/>
              <w:wordWrap w:val="0"/>
              <w:overflowPunct/>
              <w:topLinePunct w:val="0"/>
              <w:bidi w:val="0"/>
              <w:spacing w:before="129"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29140078">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08706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247EBC8">
            <w:pPr>
              <w:keepNext w:val="0"/>
              <w:keepLines w:val="0"/>
              <w:pageBreakBefore w:val="0"/>
              <w:wordWrap w:val="0"/>
              <w:overflowPunct/>
              <w:topLinePunct w:val="0"/>
              <w:bidi w:val="0"/>
              <w:spacing w:before="128" w:line="219" w:lineRule="auto"/>
              <w:ind w:left="12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（一）建筑幕墙安装工程。</w:t>
            </w:r>
          </w:p>
        </w:tc>
        <w:tc>
          <w:tcPr>
            <w:tcW w:w="1294" w:type="dxa"/>
            <w:vAlign w:val="top"/>
          </w:tcPr>
          <w:p w14:paraId="594F7240">
            <w:pPr>
              <w:keepNext w:val="0"/>
              <w:keepLines w:val="0"/>
              <w:pageBreakBefore w:val="0"/>
              <w:wordWrap w:val="0"/>
              <w:overflowPunct/>
              <w:topLinePunct w:val="0"/>
              <w:bidi w:val="0"/>
              <w:spacing w:before="127"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63358343">
            <w:pPr>
              <w:keepNext w:val="0"/>
              <w:keepLines w:val="0"/>
              <w:pageBreakBefore w:val="0"/>
              <w:wordWrap w:val="0"/>
              <w:overflowPunct/>
              <w:topLinePunct w:val="0"/>
              <w:bidi w:val="0"/>
              <w:spacing w:before="127"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1A6B694E">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40834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6116876">
            <w:pPr>
              <w:keepNext w:val="0"/>
              <w:keepLines w:val="0"/>
              <w:pageBreakBefore w:val="0"/>
              <w:wordWrap w:val="0"/>
              <w:overflowPunct/>
              <w:topLinePunct w:val="0"/>
              <w:bidi w:val="0"/>
              <w:spacing w:before="128" w:line="221" w:lineRule="auto"/>
              <w:ind w:left="12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（二）钢结构、网架和索膜结构安装工程。</w:t>
            </w:r>
          </w:p>
        </w:tc>
        <w:tc>
          <w:tcPr>
            <w:tcW w:w="1294" w:type="dxa"/>
            <w:vAlign w:val="top"/>
          </w:tcPr>
          <w:p w14:paraId="571DD0F6">
            <w:pPr>
              <w:keepNext w:val="0"/>
              <w:keepLines w:val="0"/>
              <w:pageBreakBefore w:val="0"/>
              <w:wordWrap w:val="0"/>
              <w:overflowPunct/>
              <w:topLinePunct w:val="0"/>
              <w:bidi w:val="0"/>
              <w:spacing w:before="12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7B1AA7CA">
            <w:pPr>
              <w:keepNext w:val="0"/>
              <w:keepLines w:val="0"/>
              <w:pageBreakBefore w:val="0"/>
              <w:wordWrap w:val="0"/>
              <w:overflowPunct/>
              <w:topLinePunct w:val="0"/>
              <w:bidi w:val="0"/>
              <w:spacing w:before="12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56810C91">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2E9BE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0279A1D">
            <w:pPr>
              <w:keepNext w:val="0"/>
              <w:keepLines w:val="0"/>
              <w:pageBreakBefore w:val="0"/>
              <w:wordWrap w:val="0"/>
              <w:overflowPunct/>
              <w:topLinePunct w:val="0"/>
              <w:bidi w:val="0"/>
              <w:spacing w:before="128" w:line="220" w:lineRule="auto"/>
              <w:ind w:left="12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（三）人工挖孔桩工程。</w:t>
            </w:r>
          </w:p>
        </w:tc>
        <w:tc>
          <w:tcPr>
            <w:tcW w:w="1294" w:type="dxa"/>
            <w:vAlign w:val="top"/>
          </w:tcPr>
          <w:p w14:paraId="68A4C3FD">
            <w:pPr>
              <w:keepNext w:val="0"/>
              <w:keepLines w:val="0"/>
              <w:pageBreakBefore w:val="0"/>
              <w:wordWrap w:val="0"/>
              <w:overflowPunct/>
              <w:topLinePunct w:val="0"/>
              <w:bidi w:val="0"/>
              <w:spacing w:before="12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0D9EDFFA">
            <w:pPr>
              <w:keepNext w:val="0"/>
              <w:keepLines w:val="0"/>
              <w:pageBreakBefore w:val="0"/>
              <w:wordWrap w:val="0"/>
              <w:overflowPunct/>
              <w:topLinePunct w:val="0"/>
              <w:bidi w:val="0"/>
              <w:spacing w:before="12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628B0F19">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38173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7968F35">
            <w:pPr>
              <w:keepNext w:val="0"/>
              <w:keepLines w:val="0"/>
              <w:pageBreakBefore w:val="0"/>
              <w:wordWrap w:val="0"/>
              <w:overflowPunct/>
              <w:topLinePunct w:val="0"/>
              <w:bidi w:val="0"/>
              <w:spacing w:before="129" w:line="220" w:lineRule="auto"/>
              <w:ind w:left="12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（四）水下作业工程。</w:t>
            </w:r>
          </w:p>
        </w:tc>
        <w:tc>
          <w:tcPr>
            <w:tcW w:w="1294" w:type="dxa"/>
            <w:vAlign w:val="top"/>
          </w:tcPr>
          <w:p w14:paraId="5BBFC845">
            <w:pPr>
              <w:keepNext w:val="0"/>
              <w:keepLines w:val="0"/>
              <w:pageBreakBefore w:val="0"/>
              <w:wordWrap w:val="0"/>
              <w:overflowPunct/>
              <w:topLinePunct w:val="0"/>
              <w:bidi w:val="0"/>
              <w:spacing w:before="129"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211E41E3">
            <w:pPr>
              <w:keepNext w:val="0"/>
              <w:keepLines w:val="0"/>
              <w:pageBreakBefore w:val="0"/>
              <w:wordWrap w:val="0"/>
              <w:overflowPunct/>
              <w:topLinePunct w:val="0"/>
              <w:bidi w:val="0"/>
              <w:spacing w:before="129"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2287899C">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6CE42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E2EB51E">
            <w:pPr>
              <w:keepNext w:val="0"/>
              <w:keepLines w:val="0"/>
              <w:pageBreakBefore w:val="0"/>
              <w:wordWrap w:val="0"/>
              <w:overflowPunct/>
              <w:topLinePunct w:val="0"/>
              <w:bidi w:val="0"/>
              <w:spacing w:before="129" w:line="220" w:lineRule="auto"/>
              <w:ind w:left="12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（五）装配式建筑混凝土预制构件安装工程。</w:t>
            </w:r>
          </w:p>
        </w:tc>
        <w:tc>
          <w:tcPr>
            <w:tcW w:w="1294" w:type="dxa"/>
            <w:vAlign w:val="top"/>
          </w:tcPr>
          <w:p w14:paraId="0335193E">
            <w:pPr>
              <w:keepNext w:val="0"/>
              <w:keepLines w:val="0"/>
              <w:pageBreakBefore w:val="0"/>
              <w:wordWrap w:val="0"/>
              <w:overflowPunct/>
              <w:topLinePunct w:val="0"/>
              <w:bidi w:val="0"/>
              <w:spacing w:before="129"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288C26DB">
            <w:pPr>
              <w:keepNext w:val="0"/>
              <w:keepLines w:val="0"/>
              <w:pageBreakBefore w:val="0"/>
              <w:wordWrap w:val="0"/>
              <w:overflowPunct/>
              <w:topLinePunct w:val="0"/>
              <w:bidi w:val="0"/>
              <w:spacing w:before="129"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0AE26D27">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60BAC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42918A5">
            <w:pPr>
              <w:keepNext w:val="0"/>
              <w:keepLines w:val="0"/>
              <w:pageBreakBefore w:val="0"/>
              <w:wordWrap w:val="0"/>
              <w:overflowPunct/>
              <w:topLinePunct w:val="0"/>
              <w:bidi w:val="0"/>
              <w:spacing w:before="129" w:line="345" w:lineRule="auto"/>
              <w:ind w:left="117" w:right="168" w:firstLine="1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（六）采用新技术、新工艺、新材料、新设备 可能影响工程施工安全，尚无国家、行业及地 方技术标准的分部分项工程。</w:t>
            </w:r>
          </w:p>
        </w:tc>
        <w:tc>
          <w:tcPr>
            <w:tcW w:w="1294" w:type="dxa"/>
            <w:vAlign w:val="top"/>
          </w:tcPr>
          <w:p w14:paraId="496F222B">
            <w:pPr>
              <w:pStyle w:val="27"/>
              <w:keepNext w:val="0"/>
              <w:keepLines w:val="0"/>
              <w:pageBreakBefore w:val="0"/>
              <w:wordWrap w:val="0"/>
              <w:overflowPunct/>
              <w:topLinePunct w:val="0"/>
              <w:bidi w:val="0"/>
              <w:spacing w:line="270"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4BE76F41">
            <w:pPr>
              <w:pStyle w:val="27"/>
              <w:keepNext w:val="0"/>
              <w:keepLines w:val="0"/>
              <w:pageBreakBefore w:val="0"/>
              <w:wordWrap w:val="0"/>
              <w:overflowPunct/>
              <w:topLinePunct w:val="0"/>
              <w:bidi w:val="0"/>
              <w:spacing w:line="271"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239AC87B">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382C1EFD">
            <w:pPr>
              <w:pStyle w:val="27"/>
              <w:keepNext w:val="0"/>
              <w:keepLines w:val="0"/>
              <w:pageBreakBefore w:val="0"/>
              <w:wordWrap w:val="0"/>
              <w:overflowPunct/>
              <w:topLinePunct w:val="0"/>
              <w:bidi w:val="0"/>
              <w:spacing w:line="270"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7FBE4FE4">
            <w:pPr>
              <w:pStyle w:val="27"/>
              <w:keepNext w:val="0"/>
              <w:keepLines w:val="0"/>
              <w:pageBreakBefore w:val="0"/>
              <w:wordWrap w:val="0"/>
              <w:overflowPunct/>
              <w:topLinePunct w:val="0"/>
              <w:bidi w:val="0"/>
              <w:spacing w:line="271"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232EE85F">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0D9EE8AB">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113E8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264981E">
            <w:pPr>
              <w:keepNext w:val="0"/>
              <w:keepLines w:val="0"/>
              <w:pageBreakBefore w:val="0"/>
              <w:wordWrap w:val="0"/>
              <w:overflowPunct/>
              <w:topLinePunct w:val="0"/>
              <w:bidi w:val="0"/>
              <w:spacing w:before="129" w:line="328" w:lineRule="auto"/>
              <w:ind w:left="115" w:right="108" w:firstLine="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二、超过一定规模的危险性较大的分部分项工程清单</w:t>
            </w:r>
          </w:p>
        </w:tc>
        <w:tc>
          <w:tcPr>
            <w:tcW w:w="1294" w:type="dxa"/>
            <w:vAlign w:val="top"/>
          </w:tcPr>
          <w:p w14:paraId="52EDDCE6">
            <w:pPr>
              <w:pStyle w:val="27"/>
              <w:keepNext w:val="0"/>
              <w:keepLines w:val="0"/>
              <w:pageBreakBefore w:val="0"/>
              <w:wordWrap w:val="0"/>
              <w:overflowPunct/>
              <w:topLinePunct w:val="0"/>
              <w:bidi w:val="0"/>
              <w:spacing w:line="295"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45015D35">
            <w:pPr>
              <w:keepNext w:val="0"/>
              <w:keepLines w:val="0"/>
              <w:pageBreakBefore w:val="0"/>
              <w:wordWrap w:val="0"/>
              <w:overflowPunct/>
              <w:topLinePunct w:val="0"/>
              <w:bidi w:val="0"/>
              <w:spacing w:before="78" w:line="221" w:lineRule="auto"/>
              <w:ind w:left="20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建设单位</w:t>
            </w:r>
          </w:p>
        </w:tc>
        <w:tc>
          <w:tcPr>
            <w:tcW w:w="1294" w:type="dxa"/>
            <w:vAlign w:val="top"/>
          </w:tcPr>
          <w:p w14:paraId="7D2CDEE2">
            <w:pPr>
              <w:pStyle w:val="27"/>
              <w:keepNext w:val="0"/>
              <w:keepLines w:val="0"/>
              <w:pageBreakBefore w:val="0"/>
              <w:wordWrap w:val="0"/>
              <w:overflowPunct/>
              <w:topLinePunct w:val="0"/>
              <w:bidi w:val="0"/>
              <w:spacing w:line="295"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09D2C904">
            <w:pPr>
              <w:keepNext w:val="0"/>
              <w:keepLines w:val="0"/>
              <w:pageBreakBefore w:val="0"/>
              <w:wordWrap w:val="0"/>
              <w:overflowPunct/>
              <w:topLinePunct w:val="0"/>
              <w:bidi w:val="0"/>
              <w:spacing w:before="78" w:line="221" w:lineRule="auto"/>
              <w:ind w:left="11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投标单位</w:t>
            </w:r>
          </w:p>
        </w:tc>
        <w:tc>
          <w:tcPr>
            <w:tcW w:w="2428" w:type="dxa"/>
            <w:vAlign w:val="top"/>
          </w:tcPr>
          <w:p w14:paraId="0E9BBCA9">
            <w:pPr>
              <w:pStyle w:val="27"/>
              <w:keepNext w:val="0"/>
              <w:keepLines w:val="0"/>
              <w:pageBreakBefore w:val="0"/>
              <w:wordWrap w:val="0"/>
              <w:overflowPunct/>
              <w:topLinePunct w:val="0"/>
              <w:bidi w:val="0"/>
              <w:spacing w:line="295"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562A97E9">
            <w:pPr>
              <w:keepNext w:val="0"/>
              <w:keepLines w:val="0"/>
              <w:pageBreakBefore w:val="0"/>
              <w:wordWrap w:val="0"/>
              <w:overflowPunct/>
              <w:topLinePunct w:val="0"/>
              <w:bidi w:val="0"/>
              <w:spacing w:before="78" w:line="222" w:lineRule="auto"/>
              <w:ind w:left="3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备注</w:t>
            </w:r>
          </w:p>
        </w:tc>
      </w:tr>
      <w:tr w14:paraId="09383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2FC6A74">
            <w:pPr>
              <w:keepNext w:val="0"/>
              <w:keepLines w:val="0"/>
              <w:pageBreakBefore w:val="0"/>
              <w:wordWrap w:val="0"/>
              <w:overflowPunct/>
              <w:topLinePunct w:val="0"/>
              <w:bidi w:val="0"/>
              <w:spacing w:before="129" w:line="221" w:lineRule="auto"/>
              <w:ind w:left="12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一、深基坑工程</w:t>
            </w:r>
          </w:p>
        </w:tc>
        <w:tc>
          <w:tcPr>
            <w:tcW w:w="1294" w:type="dxa"/>
            <w:vAlign w:val="top"/>
          </w:tcPr>
          <w:p w14:paraId="0FD5C757">
            <w:pPr>
              <w:keepNext w:val="0"/>
              <w:keepLines w:val="0"/>
              <w:pageBreakBefore w:val="0"/>
              <w:wordWrap w:val="0"/>
              <w:overflowPunct/>
              <w:topLinePunct w:val="0"/>
              <w:bidi w:val="0"/>
              <w:spacing w:before="129" w:line="223" w:lineRule="auto"/>
              <w:ind w:left="3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315D0C9B">
            <w:pPr>
              <w:keepNext w:val="0"/>
              <w:keepLines w:val="0"/>
              <w:pageBreakBefore w:val="0"/>
              <w:wordWrap w:val="0"/>
              <w:overflowPunct/>
              <w:topLinePunct w:val="0"/>
              <w:bidi w:val="0"/>
              <w:spacing w:before="129"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1CBB58B3">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73503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045EE0E">
            <w:pPr>
              <w:keepNext w:val="0"/>
              <w:keepLines w:val="0"/>
              <w:pageBreakBefore w:val="0"/>
              <w:wordWrap w:val="0"/>
              <w:overflowPunct/>
              <w:topLinePunct w:val="0"/>
              <w:bidi w:val="0"/>
              <w:spacing w:before="131" w:line="327" w:lineRule="auto"/>
              <w:ind w:left="117" w:right="1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开挖深度超过 5m（含 5m）的基坑（槽）的土方 开挖、支护、降水工程。</w:t>
            </w:r>
          </w:p>
        </w:tc>
        <w:tc>
          <w:tcPr>
            <w:tcW w:w="1294" w:type="dxa"/>
            <w:vAlign w:val="top"/>
          </w:tcPr>
          <w:p w14:paraId="507AE1DC">
            <w:pPr>
              <w:pStyle w:val="27"/>
              <w:keepNext w:val="0"/>
              <w:keepLines w:val="0"/>
              <w:pageBreakBefore w:val="0"/>
              <w:wordWrap w:val="0"/>
              <w:overflowPunct/>
              <w:topLinePunct w:val="0"/>
              <w:bidi w:val="0"/>
              <w:spacing w:line="295"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3F469623">
            <w:pPr>
              <w:keepNext w:val="0"/>
              <w:keepLines w:val="0"/>
              <w:pageBreakBefore w:val="0"/>
              <w:wordWrap w:val="0"/>
              <w:overflowPunct/>
              <w:topLinePunct w:val="0"/>
              <w:bidi w:val="0"/>
              <w:spacing w:before="78" w:line="223" w:lineRule="auto"/>
              <w:ind w:left="3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021BD327">
            <w:pPr>
              <w:pStyle w:val="27"/>
              <w:keepNext w:val="0"/>
              <w:keepLines w:val="0"/>
              <w:pageBreakBefore w:val="0"/>
              <w:wordWrap w:val="0"/>
              <w:overflowPunct/>
              <w:topLinePunct w:val="0"/>
              <w:bidi w:val="0"/>
              <w:spacing w:line="295"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51AD1680">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5FCDD85F">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0328A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627481A">
            <w:pPr>
              <w:keepNext w:val="0"/>
              <w:keepLines w:val="0"/>
              <w:pageBreakBefore w:val="0"/>
              <w:wordWrap w:val="0"/>
              <w:overflowPunct/>
              <w:topLinePunct w:val="0"/>
              <w:bidi w:val="0"/>
              <w:spacing w:before="130" w:line="219" w:lineRule="auto"/>
              <w:ind w:left="12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二、模板工程及支撑体系</w:t>
            </w:r>
          </w:p>
        </w:tc>
        <w:tc>
          <w:tcPr>
            <w:tcW w:w="1294" w:type="dxa"/>
            <w:vAlign w:val="top"/>
          </w:tcPr>
          <w:p w14:paraId="4297BDAC">
            <w:pPr>
              <w:keepNext w:val="0"/>
              <w:keepLines w:val="0"/>
              <w:pageBreakBefore w:val="0"/>
              <w:wordWrap w:val="0"/>
              <w:overflowPunct/>
              <w:topLinePunct w:val="0"/>
              <w:bidi w:val="0"/>
              <w:spacing w:before="129" w:line="223" w:lineRule="auto"/>
              <w:ind w:left="3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lang w:val="en-US"/>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1E5FCAEB">
            <w:pPr>
              <w:keepNext w:val="0"/>
              <w:keepLines w:val="0"/>
              <w:pageBreakBefore w:val="0"/>
              <w:wordWrap w:val="0"/>
              <w:overflowPunct/>
              <w:topLinePunct w:val="0"/>
              <w:bidi w:val="0"/>
              <w:spacing w:before="129"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63E9C002">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41D0B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D300C9C">
            <w:pPr>
              <w:keepNext w:val="0"/>
              <w:keepLines w:val="0"/>
              <w:pageBreakBefore w:val="0"/>
              <w:wordWrap w:val="0"/>
              <w:overflowPunct/>
              <w:topLinePunct w:val="0"/>
              <w:bidi w:val="0"/>
              <w:spacing w:before="130" w:line="327" w:lineRule="auto"/>
              <w:ind w:left="123" w:right="25" w:firstLine="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（一）各类工具式模板工程：包括滑模、爬模、 飞模、隧道模等工程。</w:t>
            </w:r>
          </w:p>
        </w:tc>
        <w:tc>
          <w:tcPr>
            <w:tcW w:w="1294" w:type="dxa"/>
            <w:vAlign w:val="top"/>
          </w:tcPr>
          <w:p w14:paraId="01D661E1">
            <w:pPr>
              <w:pStyle w:val="27"/>
              <w:keepNext w:val="0"/>
              <w:keepLines w:val="0"/>
              <w:pageBreakBefore w:val="0"/>
              <w:wordWrap w:val="0"/>
              <w:overflowPunct/>
              <w:topLinePunct w:val="0"/>
              <w:bidi w:val="0"/>
              <w:spacing w:line="294"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1DDA3CCD">
            <w:pPr>
              <w:keepNext w:val="0"/>
              <w:keepLines w:val="0"/>
              <w:pageBreakBefore w:val="0"/>
              <w:wordWrap w:val="0"/>
              <w:overflowPunct/>
              <w:topLinePunct w:val="0"/>
              <w:bidi w:val="0"/>
              <w:spacing w:before="78" w:line="223" w:lineRule="auto"/>
              <w:ind w:left="3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44A02DEB">
            <w:pPr>
              <w:pStyle w:val="27"/>
              <w:keepNext w:val="0"/>
              <w:keepLines w:val="0"/>
              <w:pageBreakBefore w:val="0"/>
              <w:wordWrap w:val="0"/>
              <w:overflowPunct/>
              <w:topLinePunct w:val="0"/>
              <w:bidi w:val="0"/>
              <w:spacing w:line="294"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514A516E">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2E381ED2">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5FC89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92E50BC">
            <w:pPr>
              <w:keepNext w:val="0"/>
              <w:keepLines w:val="0"/>
              <w:pageBreakBefore w:val="0"/>
              <w:wordWrap w:val="0"/>
              <w:overflowPunct/>
              <w:topLinePunct w:val="0"/>
              <w:bidi w:val="0"/>
              <w:spacing w:before="132" w:line="353" w:lineRule="auto"/>
              <w:ind w:left="116" w:right="6" w:firstLine="11"/>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（二）混凝土模板支撑工程：搭设高度8m 及以 上，或搭设跨度 18m 及以上，或施工总荷载（设计值）15kN/m2 及以上，或集中线荷载（设计值） 20kN/m 及以上。</w:t>
            </w:r>
          </w:p>
        </w:tc>
        <w:tc>
          <w:tcPr>
            <w:tcW w:w="1294" w:type="dxa"/>
            <w:vAlign w:val="top"/>
          </w:tcPr>
          <w:p w14:paraId="6C626011">
            <w:pPr>
              <w:pStyle w:val="27"/>
              <w:keepNext w:val="0"/>
              <w:keepLines w:val="0"/>
              <w:pageBreakBefore w:val="0"/>
              <w:wordWrap w:val="0"/>
              <w:overflowPunct/>
              <w:topLinePunct w:val="0"/>
              <w:bidi w:val="0"/>
              <w:spacing w:line="262"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3B16BE2">
            <w:pPr>
              <w:pStyle w:val="27"/>
              <w:keepNext w:val="0"/>
              <w:keepLines w:val="0"/>
              <w:pageBreakBefore w:val="0"/>
              <w:wordWrap w:val="0"/>
              <w:overflowPunct/>
              <w:topLinePunct w:val="0"/>
              <w:bidi w:val="0"/>
              <w:spacing w:line="263"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2DC2A742">
            <w:pPr>
              <w:pStyle w:val="27"/>
              <w:keepNext w:val="0"/>
              <w:keepLines w:val="0"/>
              <w:pageBreakBefore w:val="0"/>
              <w:wordWrap w:val="0"/>
              <w:overflowPunct/>
              <w:topLinePunct w:val="0"/>
              <w:bidi w:val="0"/>
              <w:spacing w:line="263"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2401A348">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7D4918F3">
            <w:pPr>
              <w:pStyle w:val="27"/>
              <w:keepNext w:val="0"/>
              <w:keepLines w:val="0"/>
              <w:pageBreakBefore w:val="0"/>
              <w:wordWrap w:val="0"/>
              <w:overflowPunct/>
              <w:topLinePunct w:val="0"/>
              <w:bidi w:val="0"/>
              <w:spacing w:line="262"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22A75233">
            <w:pPr>
              <w:pStyle w:val="27"/>
              <w:keepNext w:val="0"/>
              <w:keepLines w:val="0"/>
              <w:pageBreakBefore w:val="0"/>
              <w:wordWrap w:val="0"/>
              <w:overflowPunct/>
              <w:topLinePunct w:val="0"/>
              <w:bidi w:val="0"/>
              <w:spacing w:line="263"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835FC2C">
            <w:pPr>
              <w:pStyle w:val="27"/>
              <w:keepNext w:val="0"/>
              <w:keepLines w:val="0"/>
              <w:pageBreakBefore w:val="0"/>
              <w:wordWrap w:val="0"/>
              <w:overflowPunct/>
              <w:topLinePunct w:val="0"/>
              <w:bidi w:val="0"/>
              <w:spacing w:line="263"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065FF7AF">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7B509C14">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218BD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jc w:val="center"/>
        </w:trPr>
        <w:tc>
          <w:tcPr>
            <w:tcW w:w="4864" w:type="dxa"/>
            <w:gridSpan w:val="2"/>
            <w:vAlign w:val="top"/>
          </w:tcPr>
          <w:p w14:paraId="49E32F9C">
            <w:pPr>
              <w:keepNext w:val="0"/>
              <w:keepLines w:val="0"/>
              <w:pageBreakBefore w:val="0"/>
              <w:wordWrap w:val="0"/>
              <w:overflowPunct/>
              <w:topLinePunct w:val="0"/>
              <w:bidi w:val="0"/>
              <w:spacing w:before="131" w:line="220" w:lineRule="auto"/>
              <w:ind w:left="12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（三）承重支撑体系：用于钢结构安装等满堂</w:t>
            </w:r>
          </w:p>
          <w:p w14:paraId="78F9700A">
            <w:pPr>
              <w:keepNext w:val="0"/>
              <w:keepLines w:val="0"/>
              <w:pageBreakBefore w:val="0"/>
              <w:wordWrap w:val="0"/>
              <w:overflowPunct/>
              <w:topLinePunct w:val="0"/>
              <w:bidi w:val="0"/>
              <w:spacing w:before="131" w:line="220" w:lineRule="auto"/>
              <w:ind w:left="11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支撑体系，承受单点集中荷载 7kN 及以上。</w:t>
            </w:r>
          </w:p>
        </w:tc>
        <w:tc>
          <w:tcPr>
            <w:tcW w:w="1294" w:type="dxa"/>
            <w:vAlign w:val="top"/>
          </w:tcPr>
          <w:p w14:paraId="553E2DF0">
            <w:pPr>
              <w:keepNext w:val="0"/>
              <w:keepLines w:val="0"/>
              <w:pageBreakBefore w:val="0"/>
              <w:wordWrap w:val="0"/>
              <w:overflowPunct/>
              <w:topLinePunct w:val="0"/>
              <w:bidi w:val="0"/>
              <w:spacing w:before="131"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1C72B68A">
            <w:pPr>
              <w:keepNext w:val="0"/>
              <w:keepLines w:val="0"/>
              <w:pageBreakBefore w:val="0"/>
              <w:wordWrap w:val="0"/>
              <w:overflowPunct/>
              <w:topLinePunct w:val="0"/>
              <w:bidi w:val="0"/>
              <w:spacing w:before="131"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1BCEDFE2">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12615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43B4A7F">
            <w:pPr>
              <w:keepNext w:val="0"/>
              <w:keepLines w:val="0"/>
              <w:pageBreakBefore w:val="0"/>
              <w:wordWrap w:val="0"/>
              <w:overflowPunct/>
              <w:topLinePunct w:val="0"/>
              <w:bidi w:val="0"/>
              <w:spacing w:before="128" w:line="219" w:lineRule="auto"/>
              <w:ind w:left="35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三、起重吊装及起重机械安装拆卸工程</w:t>
            </w:r>
          </w:p>
        </w:tc>
        <w:tc>
          <w:tcPr>
            <w:tcW w:w="1294" w:type="dxa"/>
            <w:vAlign w:val="top"/>
          </w:tcPr>
          <w:p w14:paraId="7C46839F">
            <w:pPr>
              <w:keepNext w:val="0"/>
              <w:keepLines w:val="0"/>
              <w:pageBreakBefore w:val="0"/>
              <w:wordWrap w:val="0"/>
              <w:overflowPunct/>
              <w:topLinePunct w:val="0"/>
              <w:bidi w:val="0"/>
              <w:spacing w:before="127" w:line="223" w:lineRule="auto"/>
              <w:ind w:left="42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1E954BA4">
            <w:pPr>
              <w:keepNext w:val="0"/>
              <w:keepLines w:val="0"/>
              <w:pageBreakBefore w:val="0"/>
              <w:wordWrap w:val="0"/>
              <w:overflowPunct/>
              <w:topLinePunct w:val="0"/>
              <w:bidi w:val="0"/>
              <w:spacing w:before="127"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3BEF426E">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48715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8715B81">
            <w:pPr>
              <w:keepNext w:val="0"/>
              <w:keepLines w:val="0"/>
              <w:pageBreakBefore w:val="0"/>
              <w:wordWrap w:val="0"/>
              <w:overflowPunct/>
              <w:topLinePunct w:val="0"/>
              <w:bidi w:val="0"/>
              <w:spacing w:before="129" w:line="328" w:lineRule="auto"/>
              <w:ind w:left="144" w:right="168" w:hanging="1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（一）采用非常规起重设备、方法，且单件起 吊重量在 100kN 及以上的起重吊装工程。</w:t>
            </w:r>
          </w:p>
        </w:tc>
        <w:tc>
          <w:tcPr>
            <w:tcW w:w="1294" w:type="dxa"/>
            <w:vAlign w:val="top"/>
          </w:tcPr>
          <w:p w14:paraId="62176862">
            <w:pPr>
              <w:pStyle w:val="27"/>
              <w:keepNext w:val="0"/>
              <w:keepLines w:val="0"/>
              <w:pageBreakBefore w:val="0"/>
              <w:wordWrap w:val="0"/>
              <w:overflowPunct/>
              <w:topLinePunct w:val="0"/>
              <w:bidi w:val="0"/>
              <w:spacing w:line="295"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48EFCFE9">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323FF28E">
            <w:pPr>
              <w:pStyle w:val="27"/>
              <w:keepNext w:val="0"/>
              <w:keepLines w:val="0"/>
              <w:pageBreakBefore w:val="0"/>
              <w:wordWrap w:val="0"/>
              <w:overflowPunct/>
              <w:topLinePunct w:val="0"/>
              <w:bidi w:val="0"/>
              <w:spacing w:line="295"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3385602F">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778E792E">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3819C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32EB0C9">
            <w:pPr>
              <w:keepNext w:val="0"/>
              <w:keepLines w:val="0"/>
              <w:pageBreakBefore w:val="0"/>
              <w:wordWrap w:val="0"/>
              <w:overflowPunct/>
              <w:topLinePunct w:val="0"/>
              <w:bidi w:val="0"/>
              <w:spacing w:before="129" w:line="345" w:lineRule="auto"/>
              <w:ind w:left="115" w:right="105" w:firstLine="1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（二）起重量 300kN 及以上，或搭设总高度 200m 及以上，或搭设基础标高在 200m 及以上的起重 机械安装和拆卸工程。</w:t>
            </w:r>
          </w:p>
        </w:tc>
        <w:tc>
          <w:tcPr>
            <w:tcW w:w="1294" w:type="dxa"/>
            <w:vAlign w:val="top"/>
          </w:tcPr>
          <w:p w14:paraId="5762D0E9">
            <w:pPr>
              <w:pStyle w:val="27"/>
              <w:keepNext w:val="0"/>
              <w:keepLines w:val="0"/>
              <w:pageBreakBefore w:val="0"/>
              <w:wordWrap w:val="0"/>
              <w:overflowPunct/>
              <w:topLinePunct w:val="0"/>
              <w:bidi w:val="0"/>
              <w:spacing w:line="270"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40C634B">
            <w:pPr>
              <w:pStyle w:val="27"/>
              <w:keepNext w:val="0"/>
              <w:keepLines w:val="0"/>
              <w:pageBreakBefore w:val="0"/>
              <w:wordWrap w:val="0"/>
              <w:overflowPunct/>
              <w:topLinePunct w:val="0"/>
              <w:bidi w:val="0"/>
              <w:spacing w:line="270"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85B83EE">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529E055E">
            <w:pPr>
              <w:pStyle w:val="27"/>
              <w:keepNext w:val="0"/>
              <w:keepLines w:val="0"/>
              <w:pageBreakBefore w:val="0"/>
              <w:wordWrap w:val="0"/>
              <w:overflowPunct/>
              <w:topLinePunct w:val="0"/>
              <w:bidi w:val="0"/>
              <w:spacing w:line="270"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292B70A0">
            <w:pPr>
              <w:pStyle w:val="27"/>
              <w:keepNext w:val="0"/>
              <w:keepLines w:val="0"/>
              <w:pageBreakBefore w:val="0"/>
              <w:wordWrap w:val="0"/>
              <w:overflowPunct/>
              <w:topLinePunct w:val="0"/>
              <w:bidi w:val="0"/>
              <w:spacing w:line="270"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06C60C1D">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47ACFA6F">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11C3B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F30D083">
            <w:pPr>
              <w:keepNext w:val="0"/>
              <w:keepLines w:val="0"/>
              <w:pageBreakBefore w:val="0"/>
              <w:wordWrap w:val="0"/>
              <w:overflowPunct/>
              <w:topLinePunct w:val="0"/>
              <w:bidi w:val="0"/>
              <w:spacing w:before="128" w:line="219" w:lineRule="auto"/>
              <w:ind w:left="13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四、脚手架工程</w:t>
            </w:r>
          </w:p>
        </w:tc>
        <w:tc>
          <w:tcPr>
            <w:tcW w:w="1294" w:type="dxa"/>
            <w:vAlign w:val="top"/>
          </w:tcPr>
          <w:p w14:paraId="2881CCAF">
            <w:pPr>
              <w:keepNext w:val="0"/>
              <w:keepLines w:val="0"/>
              <w:pageBreakBefore w:val="0"/>
              <w:wordWrap w:val="0"/>
              <w:overflowPunct/>
              <w:topLinePunct w:val="0"/>
              <w:bidi w:val="0"/>
              <w:spacing w:before="127"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7B9B1B91">
            <w:pPr>
              <w:keepNext w:val="0"/>
              <w:keepLines w:val="0"/>
              <w:pageBreakBefore w:val="0"/>
              <w:wordWrap w:val="0"/>
              <w:overflowPunct/>
              <w:topLinePunct w:val="0"/>
              <w:bidi w:val="0"/>
              <w:spacing w:before="127"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20DC304E">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0B14B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8AA96E6">
            <w:pPr>
              <w:keepNext w:val="0"/>
              <w:keepLines w:val="0"/>
              <w:pageBreakBefore w:val="0"/>
              <w:wordWrap w:val="0"/>
              <w:overflowPunct/>
              <w:topLinePunct w:val="0"/>
              <w:bidi w:val="0"/>
              <w:spacing w:before="128" w:line="328" w:lineRule="auto"/>
              <w:ind w:left="117" w:right="168" w:firstLine="1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（一）搭设高度 50m 及以上的落地式钢管脚手 架工程。</w:t>
            </w:r>
          </w:p>
        </w:tc>
        <w:tc>
          <w:tcPr>
            <w:tcW w:w="1294" w:type="dxa"/>
            <w:vAlign w:val="top"/>
          </w:tcPr>
          <w:p w14:paraId="38CA0E74">
            <w:pPr>
              <w:pStyle w:val="27"/>
              <w:keepNext w:val="0"/>
              <w:keepLines w:val="0"/>
              <w:pageBreakBefore w:val="0"/>
              <w:wordWrap w:val="0"/>
              <w:overflowPunct/>
              <w:topLinePunct w:val="0"/>
              <w:bidi w:val="0"/>
              <w:spacing w:line="296"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14F42D08">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3486B799">
            <w:pPr>
              <w:pStyle w:val="27"/>
              <w:keepNext w:val="0"/>
              <w:keepLines w:val="0"/>
              <w:pageBreakBefore w:val="0"/>
              <w:wordWrap w:val="0"/>
              <w:overflowPunct/>
              <w:topLinePunct w:val="0"/>
              <w:bidi w:val="0"/>
              <w:spacing w:line="296"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9F43BD7">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0DCFD441">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5FA03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DA8149A">
            <w:pPr>
              <w:keepNext w:val="0"/>
              <w:keepLines w:val="0"/>
              <w:pageBreakBefore w:val="0"/>
              <w:wordWrap w:val="0"/>
              <w:overflowPunct/>
              <w:topLinePunct w:val="0"/>
              <w:bidi w:val="0"/>
              <w:spacing w:before="131" w:line="327" w:lineRule="auto"/>
              <w:ind w:left="116" w:right="105" w:firstLine="1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（二）提升高度在 </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450</w:t>
            </w:r>
            <w:r>
              <w:rPr>
                <w:rFonts w:hint="eastAsia" w:ascii="宋体" w:hAnsi="宋体" w:eastAsia="宋体" w:cs="宋体"/>
                <w:color w:val="000000" w:themeColor="text1"/>
                <w:spacing w:val="0"/>
                <w:sz w:val="24"/>
                <w:szCs w:val="24"/>
                <w:highlight w:val="none"/>
                <w14:textFill>
                  <w14:solidFill>
                    <w14:schemeClr w14:val="tx1"/>
                  </w14:solidFill>
                </w14:textFill>
              </w:rPr>
              <w:t>m 及以上的附着式升降脚 手架工程或附着式升降操作平台工程。</w:t>
            </w:r>
          </w:p>
        </w:tc>
        <w:tc>
          <w:tcPr>
            <w:tcW w:w="1294" w:type="dxa"/>
            <w:vAlign w:val="top"/>
          </w:tcPr>
          <w:p w14:paraId="6C44A919">
            <w:pPr>
              <w:pStyle w:val="27"/>
              <w:keepNext w:val="0"/>
              <w:keepLines w:val="0"/>
              <w:pageBreakBefore w:val="0"/>
              <w:wordWrap w:val="0"/>
              <w:overflowPunct/>
              <w:topLinePunct w:val="0"/>
              <w:bidi w:val="0"/>
              <w:spacing w:line="296"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5C3F305">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314626CA">
            <w:pPr>
              <w:pStyle w:val="27"/>
              <w:keepNext w:val="0"/>
              <w:keepLines w:val="0"/>
              <w:pageBreakBefore w:val="0"/>
              <w:wordWrap w:val="0"/>
              <w:overflowPunct/>
              <w:topLinePunct w:val="0"/>
              <w:bidi w:val="0"/>
              <w:spacing w:line="296"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77E009AF">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6D109652">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5BD5D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B1E5B3D">
            <w:pPr>
              <w:keepNext w:val="0"/>
              <w:keepLines w:val="0"/>
              <w:pageBreakBefore w:val="0"/>
              <w:wordWrap w:val="0"/>
              <w:overflowPunct/>
              <w:topLinePunct w:val="0"/>
              <w:bidi w:val="0"/>
              <w:spacing w:before="129" w:line="328" w:lineRule="auto"/>
              <w:ind w:left="115" w:right="168" w:firstLine="1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（三）分段架体搭设高度 20m 及以上的悬挑式 脚手架工程。</w:t>
            </w:r>
          </w:p>
        </w:tc>
        <w:tc>
          <w:tcPr>
            <w:tcW w:w="1294" w:type="dxa"/>
            <w:vAlign w:val="top"/>
          </w:tcPr>
          <w:p w14:paraId="4AB79A12">
            <w:pPr>
              <w:pStyle w:val="27"/>
              <w:keepNext w:val="0"/>
              <w:keepLines w:val="0"/>
              <w:pageBreakBefore w:val="0"/>
              <w:wordWrap w:val="0"/>
              <w:overflowPunct/>
              <w:topLinePunct w:val="0"/>
              <w:bidi w:val="0"/>
              <w:spacing w:line="297"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37005039">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4ACFD169">
            <w:pPr>
              <w:pStyle w:val="27"/>
              <w:keepNext w:val="0"/>
              <w:keepLines w:val="0"/>
              <w:pageBreakBefore w:val="0"/>
              <w:wordWrap w:val="0"/>
              <w:overflowPunct/>
              <w:topLinePunct w:val="0"/>
              <w:bidi w:val="0"/>
              <w:spacing w:line="297"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0F5EF920">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662CF69C">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04E8E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C785A81">
            <w:pPr>
              <w:keepNext w:val="0"/>
              <w:keepLines w:val="0"/>
              <w:pageBreakBefore w:val="0"/>
              <w:wordWrap w:val="0"/>
              <w:overflowPunct/>
              <w:topLinePunct w:val="0"/>
              <w:bidi w:val="0"/>
              <w:spacing w:before="131" w:line="220" w:lineRule="auto"/>
              <w:ind w:left="12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五、拆除工程</w:t>
            </w:r>
          </w:p>
        </w:tc>
        <w:tc>
          <w:tcPr>
            <w:tcW w:w="1294" w:type="dxa"/>
            <w:vAlign w:val="top"/>
          </w:tcPr>
          <w:p w14:paraId="2B410AE1">
            <w:pPr>
              <w:keepNext w:val="0"/>
              <w:keepLines w:val="0"/>
              <w:pageBreakBefore w:val="0"/>
              <w:wordWrap w:val="0"/>
              <w:overflowPunct/>
              <w:topLinePunct w:val="0"/>
              <w:bidi w:val="0"/>
              <w:spacing w:before="158" w:line="223" w:lineRule="auto"/>
              <w:ind w:left="42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57B38F25">
            <w:pPr>
              <w:keepNext w:val="0"/>
              <w:keepLines w:val="0"/>
              <w:pageBreakBefore w:val="0"/>
              <w:wordWrap w:val="0"/>
              <w:overflowPunct/>
              <w:topLinePunct w:val="0"/>
              <w:bidi w:val="0"/>
              <w:spacing w:before="15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18E3645D">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33198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D620B92">
            <w:pPr>
              <w:keepNext w:val="0"/>
              <w:keepLines w:val="0"/>
              <w:pageBreakBefore w:val="0"/>
              <w:wordWrap w:val="0"/>
              <w:overflowPunct/>
              <w:topLinePunct w:val="0"/>
              <w:bidi w:val="0"/>
              <w:spacing w:before="132" w:line="353" w:lineRule="auto"/>
              <w:ind w:left="115" w:right="168" w:firstLine="1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（一）码头、桥梁、高架、烟囱、水塔或拆除 中容易引起有毒有害气（液）体或粉尘扩散、 易燃易爆事故发生的特殊建、构筑物的拆除工 程。</w:t>
            </w:r>
          </w:p>
        </w:tc>
        <w:tc>
          <w:tcPr>
            <w:tcW w:w="1294" w:type="dxa"/>
            <w:vAlign w:val="top"/>
          </w:tcPr>
          <w:p w14:paraId="62837129">
            <w:pPr>
              <w:pStyle w:val="27"/>
              <w:keepNext w:val="0"/>
              <w:keepLines w:val="0"/>
              <w:pageBreakBefore w:val="0"/>
              <w:wordWrap w:val="0"/>
              <w:overflowPunct/>
              <w:topLinePunct w:val="0"/>
              <w:bidi w:val="0"/>
              <w:spacing w:line="262"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5E2C6B65">
            <w:pPr>
              <w:pStyle w:val="27"/>
              <w:keepNext w:val="0"/>
              <w:keepLines w:val="0"/>
              <w:pageBreakBefore w:val="0"/>
              <w:wordWrap w:val="0"/>
              <w:overflowPunct/>
              <w:topLinePunct w:val="0"/>
              <w:bidi w:val="0"/>
              <w:spacing w:line="262"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4237685B">
            <w:pPr>
              <w:pStyle w:val="27"/>
              <w:keepNext w:val="0"/>
              <w:keepLines w:val="0"/>
              <w:pageBreakBefore w:val="0"/>
              <w:wordWrap w:val="0"/>
              <w:overflowPunct/>
              <w:topLinePunct w:val="0"/>
              <w:bidi w:val="0"/>
              <w:spacing w:line="262"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5E1C9159">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42F70B0D">
            <w:pPr>
              <w:pStyle w:val="27"/>
              <w:keepNext w:val="0"/>
              <w:keepLines w:val="0"/>
              <w:pageBreakBefore w:val="0"/>
              <w:wordWrap w:val="0"/>
              <w:overflowPunct/>
              <w:topLinePunct w:val="0"/>
              <w:bidi w:val="0"/>
              <w:spacing w:line="262"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1459CE9C">
            <w:pPr>
              <w:pStyle w:val="27"/>
              <w:keepNext w:val="0"/>
              <w:keepLines w:val="0"/>
              <w:pageBreakBefore w:val="0"/>
              <w:wordWrap w:val="0"/>
              <w:overflowPunct/>
              <w:topLinePunct w:val="0"/>
              <w:bidi w:val="0"/>
              <w:spacing w:line="262"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7D26B224">
            <w:pPr>
              <w:pStyle w:val="27"/>
              <w:keepNext w:val="0"/>
              <w:keepLines w:val="0"/>
              <w:pageBreakBefore w:val="0"/>
              <w:wordWrap w:val="0"/>
              <w:overflowPunct/>
              <w:topLinePunct w:val="0"/>
              <w:bidi w:val="0"/>
              <w:spacing w:line="262"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2ABE716F">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4E13D582">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47EF3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250F9E3">
            <w:pPr>
              <w:keepNext w:val="0"/>
              <w:keepLines w:val="0"/>
              <w:pageBreakBefore w:val="0"/>
              <w:wordWrap w:val="0"/>
              <w:overflowPunct/>
              <w:topLinePunct w:val="0"/>
              <w:bidi w:val="0"/>
              <w:spacing w:before="131" w:line="327" w:lineRule="auto"/>
              <w:ind w:left="117" w:right="168" w:firstLine="1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（二）文物保护建筑、优秀历史建筑或历史文 化风貌区影响范围内的拆除工程。</w:t>
            </w:r>
          </w:p>
        </w:tc>
        <w:tc>
          <w:tcPr>
            <w:tcW w:w="1294" w:type="dxa"/>
            <w:vAlign w:val="top"/>
          </w:tcPr>
          <w:p w14:paraId="1D4EC9B1">
            <w:pPr>
              <w:pStyle w:val="27"/>
              <w:keepNext w:val="0"/>
              <w:keepLines w:val="0"/>
              <w:pageBreakBefore w:val="0"/>
              <w:wordWrap w:val="0"/>
              <w:overflowPunct/>
              <w:topLinePunct w:val="0"/>
              <w:bidi w:val="0"/>
              <w:spacing w:line="297"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3A03CFE">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02888C22">
            <w:pPr>
              <w:pStyle w:val="27"/>
              <w:keepNext w:val="0"/>
              <w:keepLines w:val="0"/>
              <w:pageBreakBefore w:val="0"/>
              <w:wordWrap w:val="0"/>
              <w:overflowPunct/>
              <w:topLinePunct w:val="0"/>
              <w:bidi w:val="0"/>
              <w:spacing w:line="297"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1B856F29">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43226493">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4AB33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FB23701">
            <w:pPr>
              <w:keepNext w:val="0"/>
              <w:keepLines w:val="0"/>
              <w:pageBreakBefore w:val="0"/>
              <w:wordWrap w:val="0"/>
              <w:overflowPunct/>
              <w:topLinePunct w:val="0"/>
              <w:bidi w:val="0"/>
              <w:spacing w:before="131" w:line="221" w:lineRule="auto"/>
              <w:ind w:left="11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六、暗挖工程</w:t>
            </w:r>
          </w:p>
        </w:tc>
        <w:tc>
          <w:tcPr>
            <w:tcW w:w="1294" w:type="dxa"/>
            <w:vAlign w:val="top"/>
          </w:tcPr>
          <w:p w14:paraId="3B13018B">
            <w:pPr>
              <w:keepNext w:val="0"/>
              <w:keepLines w:val="0"/>
              <w:pageBreakBefore w:val="0"/>
              <w:wordWrap w:val="0"/>
              <w:overflowPunct/>
              <w:topLinePunct w:val="0"/>
              <w:bidi w:val="0"/>
              <w:spacing w:before="140"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51E32A96">
            <w:pPr>
              <w:keepNext w:val="0"/>
              <w:keepLines w:val="0"/>
              <w:pageBreakBefore w:val="0"/>
              <w:wordWrap w:val="0"/>
              <w:overflowPunct/>
              <w:topLinePunct w:val="0"/>
              <w:bidi w:val="0"/>
              <w:spacing w:before="140"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2BEFE76D">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25277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C421DB8">
            <w:pPr>
              <w:keepNext w:val="0"/>
              <w:keepLines w:val="0"/>
              <w:pageBreakBefore w:val="0"/>
              <w:wordWrap w:val="0"/>
              <w:overflowPunct/>
              <w:topLinePunct w:val="0"/>
              <w:bidi w:val="0"/>
              <w:spacing w:before="131" w:line="327" w:lineRule="auto"/>
              <w:ind w:left="119" w:right="168" w:hanging="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采用矿山法、盾构法、顶管法施工的隧道、洞 室工程。</w:t>
            </w:r>
          </w:p>
        </w:tc>
        <w:tc>
          <w:tcPr>
            <w:tcW w:w="1294" w:type="dxa"/>
            <w:vAlign w:val="top"/>
          </w:tcPr>
          <w:p w14:paraId="2955C1FF">
            <w:pPr>
              <w:pStyle w:val="27"/>
              <w:keepNext w:val="0"/>
              <w:keepLines w:val="0"/>
              <w:pageBreakBefore w:val="0"/>
              <w:wordWrap w:val="0"/>
              <w:overflowPunct/>
              <w:topLinePunct w:val="0"/>
              <w:bidi w:val="0"/>
              <w:spacing w:line="298"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4C4C9825">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337FC5FC">
            <w:pPr>
              <w:pStyle w:val="27"/>
              <w:keepNext w:val="0"/>
              <w:keepLines w:val="0"/>
              <w:pageBreakBefore w:val="0"/>
              <w:wordWrap w:val="0"/>
              <w:overflowPunct/>
              <w:topLinePunct w:val="0"/>
              <w:bidi w:val="0"/>
              <w:spacing w:line="298"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7873351B">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0739747C">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23CBE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F3B8926">
            <w:pPr>
              <w:keepNext w:val="0"/>
              <w:keepLines w:val="0"/>
              <w:pageBreakBefore w:val="0"/>
              <w:wordWrap w:val="0"/>
              <w:overflowPunct/>
              <w:topLinePunct w:val="0"/>
              <w:bidi w:val="0"/>
              <w:spacing w:before="130" w:line="222" w:lineRule="auto"/>
              <w:ind w:left="11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七、其它</w:t>
            </w:r>
          </w:p>
        </w:tc>
        <w:tc>
          <w:tcPr>
            <w:tcW w:w="1294" w:type="dxa"/>
            <w:vAlign w:val="top"/>
          </w:tcPr>
          <w:p w14:paraId="4D77A95B">
            <w:pPr>
              <w:keepNext w:val="0"/>
              <w:keepLines w:val="0"/>
              <w:pageBreakBefore w:val="0"/>
              <w:wordWrap w:val="0"/>
              <w:overflowPunct/>
              <w:topLinePunct w:val="0"/>
              <w:bidi w:val="0"/>
              <w:spacing w:before="130"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2185F8E5">
            <w:pPr>
              <w:keepNext w:val="0"/>
              <w:keepLines w:val="0"/>
              <w:pageBreakBefore w:val="0"/>
              <w:wordWrap w:val="0"/>
              <w:overflowPunct/>
              <w:topLinePunct w:val="0"/>
              <w:bidi w:val="0"/>
              <w:spacing w:before="130"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28A326B1">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36214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FF8FAEC">
            <w:pPr>
              <w:keepNext w:val="0"/>
              <w:keepLines w:val="0"/>
              <w:pageBreakBefore w:val="0"/>
              <w:wordWrap w:val="0"/>
              <w:overflowPunct/>
              <w:topLinePunct w:val="0"/>
              <w:bidi w:val="0"/>
              <w:spacing w:before="130" w:line="327" w:lineRule="auto"/>
              <w:ind w:left="115" w:right="168" w:firstLine="1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（一）施工高度 50m 及以上的建筑幕墙安装工 程。</w:t>
            </w:r>
          </w:p>
        </w:tc>
        <w:tc>
          <w:tcPr>
            <w:tcW w:w="1294" w:type="dxa"/>
            <w:vAlign w:val="top"/>
          </w:tcPr>
          <w:p w14:paraId="79731486">
            <w:pPr>
              <w:pStyle w:val="27"/>
              <w:keepNext w:val="0"/>
              <w:keepLines w:val="0"/>
              <w:pageBreakBefore w:val="0"/>
              <w:wordWrap w:val="0"/>
              <w:overflowPunct/>
              <w:topLinePunct w:val="0"/>
              <w:bidi w:val="0"/>
              <w:spacing w:line="297"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06B1EF7E">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0F023B34">
            <w:pPr>
              <w:pStyle w:val="27"/>
              <w:keepNext w:val="0"/>
              <w:keepLines w:val="0"/>
              <w:pageBreakBefore w:val="0"/>
              <w:wordWrap w:val="0"/>
              <w:overflowPunct/>
              <w:topLinePunct w:val="0"/>
              <w:bidi w:val="0"/>
              <w:spacing w:line="297"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0642A23D">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39FC3417">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3255E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5A9370B">
            <w:pPr>
              <w:keepNext w:val="0"/>
              <w:keepLines w:val="0"/>
              <w:pageBreakBefore w:val="0"/>
              <w:wordWrap w:val="0"/>
              <w:overflowPunct/>
              <w:topLinePunct w:val="0"/>
              <w:bidi w:val="0"/>
              <w:spacing w:before="130" w:line="221" w:lineRule="auto"/>
              <w:ind w:left="12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（二）跨度 36m 及以上的钢结构安装工程，或</w:t>
            </w:r>
          </w:p>
        </w:tc>
        <w:tc>
          <w:tcPr>
            <w:tcW w:w="1294" w:type="dxa"/>
            <w:vAlign w:val="top"/>
          </w:tcPr>
          <w:p w14:paraId="0E28B8BF">
            <w:pPr>
              <w:keepNext w:val="0"/>
              <w:keepLines w:val="0"/>
              <w:pageBreakBefore w:val="0"/>
              <w:wordWrap w:val="0"/>
              <w:overflowPunct/>
              <w:topLinePunct w:val="0"/>
              <w:bidi w:val="0"/>
              <w:spacing w:before="130"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65DB057B">
            <w:pPr>
              <w:keepNext w:val="0"/>
              <w:keepLines w:val="0"/>
              <w:pageBreakBefore w:val="0"/>
              <w:wordWrap w:val="0"/>
              <w:overflowPunct/>
              <w:topLinePunct w:val="0"/>
              <w:bidi w:val="0"/>
              <w:spacing w:before="130"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23DB903A">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648D8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41E2AF4">
            <w:pPr>
              <w:keepNext w:val="0"/>
              <w:keepLines w:val="0"/>
              <w:pageBreakBefore w:val="0"/>
              <w:wordWrap w:val="0"/>
              <w:overflowPunct/>
              <w:topLinePunct w:val="0"/>
              <w:bidi w:val="0"/>
              <w:spacing w:before="131" w:line="221" w:lineRule="auto"/>
              <w:ind w:left="11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跨度 60m 及以上的网架和索膜结构安装工程。</w:t>
            </w:r>
          </w:p>
        </w:tc>
        <w:tc>
          <w:tcPr>
            <w:tcW w:w="1294" w:type="dxa"/>
            <w:vAlign w:val="top"/>
          </w:tcPr>
          <w:p w14:paraId="64B97050">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294" w:type="dxa"/>
            <w:vAlign w:val="top"/>
          </w:tcPr>
          <w:p w14:paraId="002E0645">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428" w:type="dxa"/>
            <w:vAlign w:val="top"/>
          </w:tcPr>
          <w:p w14:paraId="044C4BAC">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6EB4F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1B8FBFF">
            <w:pPr>
              <w:keepNext w:val="0"/>
              <w:keepLines w:val="0"/>
              <w:pageBreakBefore w:val="0"/>
              <w:wordWrap w:val="0"/>
              <w:overflowPunct/>
              <w:topLinePunct w:val="0"/>
              <w:bidi w:val="0"/>
              <w:spacing w:before="127" w:line="220" w:lineRule="auto"/>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（三）开挖深度 16m 及以上的人工挖孔桩工程。</w:t>
            </w:r>
          </w:p>
        </w:tc>
        <w:tc>
          <w:tcPr>
            <w:tcW w:w="1294" w:type="dxa"/>
            <w:vAlign w:val="top"/>
          </w:tcPr>
          <w:p w14:paraId="62C02099">
            <w:pPr>
              <w:keepNext w:val="0"/>
              <w:keepLines w:val="0"/>
              <w:pageBreakBefore w:val="0"/>
              <w:wordWrap w:val="0"/>
              <w:overflowPunct/>
              <w:topLinePunct w:val="0"/>
              <w:bidi w:val="0"/>
              <w:spacing w:before="127"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241BE568">
            <w:pPr>
              <w:keepNext w:val="0"/>
              <w:keepLines w:val="0"/>
              <w:pageBreakBefore w:val="0"/>
              <w:wordWrap w:val="0"/>
              <w:overflowPunct/>
              <w:topLinePunct w:val="0"/>
              <w:bidi w:val="0"/>
              <w:spacing w:before="127"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1B3ECDA4">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0A9F4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C8AFDA4">
            <w:pPr>
              <w:keepNext w:val="0"/>
              <w:keepLines w:val="0"/>
              <w:pageBreakBefore w:val="0"/>
              <w:wordWrap w:val="0"/>
              <w:overflowPunct/>
              <w:topLinePunct w:val="0"/>
              <w:bidi w:val="0"/>
              <w:spacing w:before="129" w:line="220" w:lineRule="auto"/>
              <w:ind w:left="12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（四）水下作业工程。</w:t>
            </w:r>
          </w:p>
        </w:tc>
        <w:tc>
          <w:tcPr>
            <w:tcW w:w="1294" w:type="dxa"/>
            <w:vAlign w:val="top"/>
          </w:tcPr>
          <w:p w14:paraId="3067C02F">
            <w:pPr>
              <w:keepNext w:val="0"/>
              <w:keepLines w:val="0"/>
              <w:pageBreakBefore w:val="0"/>
              <w:wordWrap w:val="0"/>
              <w:overflowPunct/>
              <w:topLinePunct w:val="0"/>
              <w:bidi w:val="0"/>
              <w:spacing w:before="163"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52CEF54C">
            <w:pPr>
              <w:keepNext w:val="0"/>
              <w:keepLines w:val="0"/>
              <w:pageBreakBefore w:val="0"/>
              <w:wordWrap w:val="0"/>
              <w:overflowPunct/>
              <w:topLinePunct w:val="0"/>
              <w:bidi w:val="0"/>
              <w:spacing w:before="163"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4B56A100">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7A1F8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BCC59C5">
            <w:pPr>
              <w:keepNext w:val="0"/>
              <w:keepLines w:val="0"/>
              <w:pageBreakBefore w:val="0"/>
              <w:wordWrap w:val="0"/>
              <w:overflowPunct/>
              <w:topLinePunct w:val="0"/>
              <w:bidi w:val="0"/>
              <w:spacing w:before="130" w:line="327" w:lineRule="auto"/>
              <w:ind w:left="115" w:right="25" w:firstLine="1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（五）重量 1000kN及以上的大型结构整体顶升、 平移、转体等施工工艺。</w:t>
            </w:r>
          </w:p>
        </w:tc>
        <w:tc>
          <w:tcPr>
            <w:tcW w:w="1294" w:type="dxa"/>
            <w:vAlign w:val="top"/>
          </w:tcPr>
          <w:p w14:paraId="3F86B10F">
            <w:pPr>
              <w:pStyle w:val="27"/>
              <w:keepNext w:val="0"/>
              <w:keepLines w:val="0"/>
              <w:pageBreakBefore w:val="0"/>
              <w:wordWrap w:val="0"/>
              <w:overflowPunct/>
              <w:topLinePunct w:val="0"/>
              <w:bidi w:val="0"/>
              <w:spacing w:line="296"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3DAFD05C">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77CFDEAB">
            <w:pPr>
              <w:pStyle w:val="27"/>
              <w:keepNext w:val="0"/>
              <w:keepLines w:val="0"/>
              <w:pageBreakBefore w:val="0"/>
              <w:wordWrap w:val="0"/>
              <w:overflowPunct/>
              <w:topLinePunct w:val="0"/>
              <w:bidi w:val="0"/>
              <w:spacing w:line="296"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283652C7">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4FC5E233">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06CCF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9C5CBEE">
            <w:pPr>
              <w:keepNext w:val="0"/>
              <w:keepLines w:val="0"/>
              <w:pageBreakBefore w:val="0"/>
              <w:wordWrap w:val="0"/>
              <w:overflowPunct/>
              <w:topLinePunct w:val="0"/>
              <w:bidi w:val="0"/>
              <w:spacing w:before="129" w:line="346" w:lineRule="auto"/>
              <w:ind w:left="117" w:right="168" w:firstLine="1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（六）采用新技术、新工艺、新材料、新设备 可能影响工程施工安全，尚无国家、行业及地 方技术标准的分部分项工程。</w:t>
            </w:r>
          </w:p>
        </w:tc>
        <w:tc>
          <w:tcPr>
            <w:tcW w:w="1294" w:type="dxa"/>
            <w:vAlign w:val="top"/>
          </w:tcPr>
          <w:p w14:paraId="7BFE5A71">
            <w:pPr>
              <w:pStyle w:val="27"/>
              <w:keepNext w:val="0"/>
              <w:keepLines w:val="0"/>
              <w:pageBreakBefore w:val="0"/>
              <w:wordWrap w:val="0"/>
              <w:overflowPunct/>
              <w:topLinePunct w:val="0"/>
              <w:bidi w:val="0"/>
              <w:spacing w:line="272"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56661FE2">
            <w:pPr>
              <w:pStyle w:val="27"/>
              <w:keepNext w:val="0"/>
              <w:keepLines w:val="0"/>
              <w:pageBreakBefore w:val="0"/>
              <w:wordWrap w:val="0"/>
              <w:overflowPunct/>
              <w:topLinePunct w:val="0"/>
              <w:bidi w:val="0"/>
              <w:spacing w:line="272"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41A5B130">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3094A60A">
            <w:pPr>
              <w:pStyle w:val="27"/>
              <w:keepNext w:val="0"/>
              <w:keepLines w:val="0"/>
              <w:pageBreakBefore w:val="0"/>
              <w:wordWrap w:val="0"/>
              <w:overflowPunct/>
              <w:topLinePunct w:val="0"/>
              <w:bidi w:val="0"/>
              <w:spacing w:line="272"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38F5358C">
            <w:pPr>
              <w:pStyle w:val="27"/>
              <w:keepNext w:val="0"/>
              <w:keepLines w:val="0"/>
              <w:pageBreakBefore w:val="0"/>
              <w:wordWrap w:val="0"/>
              <w:overflowPunct/>
              <w:topLinePunct w:val="0"/>
              <w:bidi w:val="0"/>
              <w:spacing w:line="272"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133F0501">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0B0949F0">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bl>
    <w:p w14:paraId="6E7F6BBB">
      <w:pPr>
        <w:pStyle w:val="5"/>
        <w:keepNext w:val="0"/>
        <w:keepLines w:val="0"/>
        <w:pageBreakBefore w:val="0"/>
        <w:wordWrap w:val="0"/>
        <w:overflowPunct/>
        <w:topLinePunct w:val="0"/>
        <w:bidi w:val="0"/>
        <w:spacing w:line="288" w:lineRule="auto"/>
        <w:rPr>
          <w:rFonts w:hint="eastAsia" w:ascii="宋体" w:hAnsi="宋体" w:eastAsia="宋体" w:cs="宋体"/>
          <w:color w:val="000000" w:themeColor="text1"/>
          <w:spacing w:val="0"/>
          <w:highlight w:val="none"/>
          <w14:textFill>
            <w14:solidFill>
              <w14:schemeClr w14:val="tx1"/>
            </w14:solidFill>
          </w14:textFill>
        </w:rPr>
      </w:pPr>
    </w:p>
    <w:p w14:paraId="548C332F">
      <w:pPr>
        <w:pStyle w:val="5"/>
        <w:keepNext w:val="0"/>
        <w:keepLines w:val="0"/>
        <w:pageBreakBefore w:val="0"/>
        <w:wordWrap w:val="0"/>
        <w:overflowPunct/>
        <w:topLinePunct w:val="0"/>
        <w:bidi w:val="0"/>
        <w:spacing w:line="288" w:lineRule="auto"/>
        <w:rPr>
          <w:rFonts w:hint="eastAsia" w:ascii="宋体" w:hAnsi="宋体" w:eastAsia="宋体" w:cs="宋体"/>
          <w:color w:val="000000" w:themeColor="text1"/>
          <w:spacing w:val="0"/>
          <w:highlight w:val="none"/>
          <w14:textFill>
            <w14:solidFill>
              <w14:schemeClr w14:val="tx1"/>
            </w14:solidFill>
          </w14:textFill>
        </w:rPr>
      </w:pPr>
    </w:p>
    <w:p w14:paraId="4D9ADF52">
      <w:pPr>
        <w:keepNext w:val="0"/>
        <w:keepLines w:val="0"/>
        <w:pageBreakBefore w:val="0"/>
        <w:wordWrap w:val="0"/>
        <w:overflowPunct/>
        <w:topLinePunct w:val="0"/>
        <w:bidi w:val="0"/>
        <w:spacing w:before="21" w:line="360" w:lineRule="auto"/>
        <w:ind w:firstLine="420" w:firstLineChars="200"/>
        <w:rPr>
          <w:rFonts w:hint="eastAsia" w:ascii="宋体" w:hAnsi="宋体" w:eastAsia="宋体" w:cs="宋体"/>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备注：1.根据《危险性较大的分部分项工程安全管理规定》，该《危险性较大的分部分项工程清单及超过一定规模的危险性较大的分部分项工程清单》</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应由建设单位组织勘察、设计等单位在招标文件中“勾选（对应项打“√”标识”危险性较大的分部分项工程。</w:t>
      </w:r>
    </w:p>
    <w:p w14:paraId="0C4D1AF6">
      <w:pPr>
        <w:keepNext w:val="0"/>
        <w:keepLines w:val="0"/>
        <w:pageBreakBefore w:val="0"/>
        <w:wordWrap w:val="0"/>
        <w:overflowPunct/>
        <w:topLinePunct w:val="0"/>
        <w:bidi w:val="0"/>
        <w:spacing w:before="21" w:line="360" w:lineRule="auto"/>
        <w:ind w:firstLine="420" w:firstLineChars="200"/>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2.该《危险性较大的分部分项工程清单及超过一定规模的危险性较大的分部分项工程清单》在办理建设项目施工许可时必须提供，且各地建设行政主管部门可按照《广东省建设工程项目招标中标后监督 检查办法》相关规定开展检查。</w:t>
      </w:r>
    </w:p>
    <w:p w14:paraId="631FDCC1">
      <w:pPr>
        <w:keepNext w:val="0"/>
        <w:keepLines w:val="0"/>
        <w:pageBreakBefore w:val="0"/>
        <w:wordWrap w:val="0"/>
        <w:overflowPunct/>
        <w:topLinePunct w:val="0"/>
        <w:bidi w:val="0"/>
        <w:spacing w:before="28" w:line="360" w:lineRule="auto"/>
        <w:ind w:left="545" w:leftChars="244" w:hanging="33" w:hangingChars="16"/>
        <w:rPr>
          <w:rFonts w:hint="eastAsia" w:ascii="宋体" w:hAnsi="宋体" w:eastAsia="宋体" w:cs="宋体"/>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3.如果需要（如需要通过计算编制专项方案，或者需要专家论证），可中标后提供</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详细版。</w:t>
      </w:r>
    </w:p>
    <w:p w14:paraId="4F0F2A5C">
      <w:pPr>
        <w:keepNext w:val="0"/>
        <w:keepLines w:val="0"/>
        <w:pageBreakBefore w:val="0"/>
        <w:wordWrap w:val="0"/>
        <w:overflowPunct/>
        <w:topLinePunct w:val="0"/>
        <w:bidi w:val="0"/>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br w:type="page"/>
      </w:r>
    </w:p>
    <w:p w14:paraId="749D726F">
      <w:pPr>
        <w:keepNext w:val="0"/>
        <w:keepLines w:val="0"/>
        <w:pageBreakBefore w:val="0"/>
        <w:wordWrap w:val="0"/>
        <w:overflowPunct/>
        <w:topLinePunct w:val="0"/>
        <w:bidi w:val="0"/>
        <w:spacing w:before="78" w:line="220" w:lineRule="auto"/>
        <w:jc w:val="both"/>
        <w:outlineLvl w:val="2"/>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pPr>
      <w:bookmarkStart w:id="268" w:name="_Toc18547"/>
      <w:r>
        <w:rPr>
          <w:rFonts w:hint="eastAsia" w:ascii="宋体" w:hAnsi="宋体" w:eastAsia="宋体" w:cs="宋体"/>
          <w:b/>
          <w:bCs/>
          <w:color w:val="000000" w:themeColor="text1"/>
          <w:spacing w:val="0"/>
          <w:sz w:val="24"/>
          <w:szCs w:val="24"/>
          <w:highlight w:val="none"/>
          <w14:textFill>
            <w14:solidFill>
              <w14:schemeClr w14:val="tx1"/>
            </w14:solidFill>
          </w14:textFill>
        </w:rPr>
        <w:t>格式十四</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0"/>
          <w:position w:val="3"/>
          <w:sz w:val="21"/>
          <w:szCs w:val="21"/>
          <w:highlight w:val="none"/>
          <w14:textFill>
            <w14:solidFill>
              <w14:schemeClr w14:val="tx1"/>
            </w14:solidFill>
          </w14:textFill>
        </w:rPr>
        <w:t>投标保证金信用承诺函</w:t>
      </w:r>
      <w:bookmarkEnd w:id="268"/>
    </w:p>
    <w:p w14:paraId="0C4BB798">
      <w:pPr>
        <w:keepNext w:val="0"/>
        <w:keepLines w:val="0"/>
        <w:pageBreakBefore w:val="0"/>
        <w:wordWrap w:val="0"/>
        <w:overflowPunct/>
        <w:topLinePunct w:val="0"/>
        <w:bidi w:val="0"/>
        <w:spacing w:before="140" w:line="604" w:lineRule="exact"/>
        <w:jc w:val="center"/>
        <w:rPr>
          <w:rFonts w:hint="eastAsia" w:ascii="宋体" w:hAnsi="宋体" w:eastAsia="宋体" w:cs="宋体"/>
          <w:color w:val="000000" w:themeColor="text1"/>
          <w:spacing w:val="0"/>
          <w:sz w:val="28"/>
          <w:szCs w:val="28"/>
          <w:highlight w:val="none"/>
          <w14:textFill>
            <w14:solidFill>
              <w14:schemeClr w14:val="tx1"/>
            </w14:solidFill>
          </w14:textFill>
        </w:rPr>
      </w:pPr>
      <w:r>
        <w:rPr>
          <w:rFonts w:hint="eastAsia" w:ascii="宋体" w:hAnsi="宋体" w:eastAsia="宋体" w:cs="宋体"/>
          <w:b/>
          <w:bCs/>
          <w:color w:val="000000" w:themeColor="text1"/>
          <w:spacing w:val="0"/>
          <w:position w:val="3"/>
          <w:sz w:val="28"/>
          <w:szCs w:val="28"/>
          <w:highlight w:val="none"/>
          <w14:textFill>
            <w14:solidFill>
              <w14:schemeClr w14:val="tx1"/>
            </w14:solidFill>
          </w14:textFill>
        </w:rPr>
        <w:t>投标保证金信用承诺函</w:t>
      </w:r>
    </w:p>
    <w:p w14:paraId="63DA26AC">
      <w:pPr>
        <w:pStyle w:val="5"/>
        <w:keepNext w:val="0"/>
        <w:keepLines w:val="0"/>
        <w:pageBreakBefore w:val="0"/>
        <w:wordWrap w:val="0"/>
        <w:overflowPunct/>
        <w:topLinePunct w:val="0"/>
        <w:bidi w:val="0"/>
        <w:spacing w:line="408" w:lineRule="auto"/>
        <w:rPr>
          <w:rFonts w:hint="eastAsia" w:ascii="宋体" w:hAnsi="宋体" w:eastAsia="宋体" w:cs="宋体"/>
          <w:color w:val="000000" w:themeColor="text1"/>
          <w:spacing w:val="0"/>
          <w:highlight w:val="none"/>
          <w14:textFill>
            <w14:solidFill>
              <w14:schemeClr w14:val="tx1"/>
            </w14:solidFill>
          </w14:textFill>
        </w:rPr>
      </w:pPr>
    </w:p>
    <w:p w14:paraId="2318544C">
      <w:pPr>
        <w:keepNext w:val="0"/>
        <w:keepLines w:val="0"/>
        <w:pageBreakBefore w:val="0"/>
        <w:wordWrap w:val="0"/>
        <w:overflowPunct/>
        <w:topLinePunct w:val="0"/>
        <w:bidi w:val="0"/>
        <w:spacing w:before="101" w:line="257" w:lineRule="auto"/>
        <w:ind w:left="3" w:firstLine="965"/>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一、</w:t>
      </w:r>
      <w:r>
        <w:rPr>
          <w:rFonts w:hint="eastAsia" w:ascii="宋体" w:hAnsi="宋体" w:eastAsia="宋体" w:cs="宋体"/>
          <w:color w:val="000000" w:themeColor="text1"/>
          <w:spacing w:val="0"/>
          <w:sz w:val="24"/>
          <w:szCs w:val="24"/>
          <w:highlight w:val="none"/>
          <w14:textFill>
            <w14:solidFill>
              <w14:schemeClr w14:val="tx1"/>
            </w14:solidFill>
          </w14:textFill>
        </w:rPr>
        <w:t>我单位参加</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（工程项目名称）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的投标活动，现承诺：将严格按照法律法规规定参与交易活动，按照招标文件要求 依法履行投标人义务；我方若出现违反《中华人民共和国招标投标法》、《中华人民共和国招标投标法实施条例》、《电子招标 投标办法》等有关法律法规的行为，将于投标有效期内全额付清 招标文件规定的投标保证金 </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元。</w:t>
      </w:r>
    </w:p>
    <w:p w14:paraId="2B9D0EA5">
      <w:pPr>
        <w:keepNext w:val="0"/>
        <w:keepLines w:val="0"/>
        <w:pageBreakBefore w:val="0"/>
        <w:wordWrap w:val="0"/>
        <w:overflowPunct/>
        <w:topLinePunct w:val="0"/>
        <w:bidi w:val="0"/>
        <w:spacing w:before="48" w:line="252" w:lineRule="auto"/>
        <w:ind w:left="1" w:firstLine="647"/>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二、至投标文件提交当天，本公司无严重不良信用记录或存在曾作出虚假承诺的情形，且不属于韶关市建筑市场信用管理平 台公布的信用等级为 B 级、C 级、D 级的企业。</w:t>
      </w:r>
    </w:p>
    <w:p w14:paraId="1EFDE8F2">
      <w:pPr>
        <w:keepNext w:val="0"/>
        <w:keepLines w:val="0"/>
        <w:pageBreakBefore w:val="0"/>
        <w:wordWrap w:val="0"/>
        <w:overflowPunct/>
        <w:topLinePunct w:val="0"/>
        <w:bidi w:val="0"/>
        <w:spacing w:before="52" w:line="247" w:lineRule="auto"/>
        <w:ind w:left="6" w:right="2" w:firstLine="63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本企业对以上承诺和声明负责。如有虚假，愿接受行政主管部门作出的处罚，并承担以下后果：</w:t>
      </w:r>
    </w:p>
    <w:p w14:paraId="28F04F87">
      <w:pPr>
        <w:keepNext w:val="0"/>
        <w:keepLines w:val="0"/>
        <w:pageBreakBefore w:val="0"/>
        <w:wordWrap w:val="0"/>
        <w:overflowPunct/>
        <w:topLinePunct w:val="0"/>
        <w:bidi w:val="0"/>
        <w:spacing w:before="48" w:line="225" w:lineRule="auto"/>
        <w:ind w:left="65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（一）取消本单位在本项目中的投标资格或中标资格；</w:t>
      </w:r>
    </w:p>
    <w:p w14:paraId="64420808">
      <w:pPr>
        <w:keepNext w:val="0"/>
        <w:keepLines w:val="0"/>
        <w:pageBreakBefore w:val="0"/>
        <w:wordWrap w:val="0"/>
        <w:overflowPunct/>
        <w:topLinePunct w:val="0"/>
        <w:bidi w:val="0"/>
        <w:spacing w:before="64" w:line="225" w:lineRule="auto"/>
        <w:ind w:left="65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（二）将本单位不良行为纳入信用信息管理系统；</w:t>
      </w:r>
    </w:p>
    <w:p w14:paraId="30729E54">
      <w:pPr>
        <w:keepNext w:val="0"/>
        <w:keepLines w:val="0"/>
        <w:pageBreakBefore w:val="0"/>
        <w:wordWrap w:val="0"/>
        <w:overflowPunct/>
        <w:topLinePunct w:val="0"/>
        <w:bidi w:val="0"/>
        <w:spacing w:before="60" w:line="244" w:lineRule="auto"/>
        <w:ind w:left="41" w:right="2" w:firstLine="61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（三）主动在产生不良行为所在的各县（市、区）行政区域内不参加房建市政工程项目的投标活动一年；</w:t>
      </w:r>
    </w:p>
    <w:p w14:paraId="0761697F">
      <w:pPr>
        <w:keepNext w:val="0"/>
        <w:keepLines w:val="0"/>
        <w:pageBreakBefore w:val="0"/>
        <w:wordWrap w:val="0"/>
        <w:overflowPunct/>
        <w:topLinePunct w:val="0"/>
        <w:bidi w:val="0"/>
        <w:spacing w:before="63" w:line="225" w:lineRule="auto"/>
        <w:ind w:left="65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（四）应付的赔偿责任和相应法律责任。</w:t>
      </w:r>
    </w:p>
    <w:p w14:paraId="71665105">
      <w:pPr>
        <w:pStyle w:val="5"/>
        <w:keepNext w:val="0"/>
        <w:keepLines w:val="0"/>
        <w:pageBreakBefore w:val="0"/>
        <w:wordWrap w:val="0"/>
        <w:overflowPunct/>
        <w:topLinePunct w:val="0"/>
        <w:bidi w:val="0"/>
        <w:spacing w:line="329"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301930B0">
      <w:pPr>
        <w:keepNext w:val="0"/>
        <w:keepLines w:val="0"/>
        <w:pageBreakBefore w:val="0"/>
        <w:wordWrap w:val="0"/>
        <w:overflowPunct/>
        <w:topLinePunct w:val="0"/>
        <w:bidi w:val="0"/>
        <w:spacing w:before="102" w:line="225" w:lineRule="auto"/>
        <w:ind w:left="84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单位名称（公章）：</w:t>
      </w:r>
    </w:p>
    <w:p w14:paraId="2C853675">
      <w:pPr>
        <w:pStyle w:val="5"/>
        <w:keepNext w:val="0"/>
        <w:keepLines w:val="0"/>
        <w:pageBreakBefore w:val="0"/>
        <w:wordWrap w:val="0"/>
        <w:overflowPunct/>
        <w:topLinePunct w:val="0"/>
        <w:bidi w:val="0"/>
        <w:spacing w:line="457"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1304A271">
      <w:pPr>
        <w:keepNext w:val="0"/>
        <w:keepLines w:val="0"/>
        <w:pageBreakBefore w:val="0"/>
        <w:wordWrap w:val="0"/>
        <w:overflowPunct/>
        <w:topLinePunct w:val="0"/>
        <w:bidi w:val="0"/>
        <w:spacing w:before="100" w:line="225" w:lineRule="auto"/>
        <w:ind w:left="85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统一社会信用代码：</w:t>
      </w:r>
    </w:p>
    <w:p w14:paraId="1892BA66">
      <w:pPr>
        <w:pStyle w:val="5"/>
        <w:keepNext w:val="0"/>
        <w:keepLines w:val="0"/>
        <w:pageBreakBefore w:val="0"/>
        <w:wordWrap w:val="0"/>
        <w:overflowPunct/>
        <w:topLinePunct w:val="0"/>
        <w:bidi w:val="0"/>
        <w:spacing w:line="457"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5DBB6F71">
      <w:pPr>
        <w:keepNext w:val="0"/>
        <w:keepLines w:val="0"/>
        <w:pageBreakBefore w:val="0"/>
        <w:wordWrap w:val="0"/>
        <w:overflowPunct/>
        <w:topLinePunct w:val="0"/>
        <w:bidi w:val="0"/>
        <w:spacing w:before="102" w:line="543" w:lineRule="auto"/>
        <w:ind w:left="844" w:right="50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法定代表人（签字）：</w:t>
      </w:r>
    </w:p>
    <w:p w14:paraId="2D5FF0AE">
      <w:pPr>
        <w:keepNext w:val="0"/>
        <w:keepLines w:val="0"/>
        <w:pageBreakBefore w:val="0"/>
        <w:wordWrap w:val="0"/>
        <w:overflowPunct/>
        <w:topLinePunct w:val="0"/>
        <w:bidi w:val="0"/>
        <w:spacing w:before="102" w:line="543" w:lineRule="auto"/>
        <w:ind w:left="844" w:right="50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 年   月 </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日</w:t>
      </w:r>
    </w:p>
    <w:p w14:paraId="0CF3EB86">
      <w:pPr>
        <w:pStyle w:val="13"/>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p w14:paraId="352EA194">
      <w:pPr>
        <w:pStyle w:val="13"/>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lang w:eastAsia="zh-CN"/>
          <w14:textFill>
            <w14:solidFill>
              <w14:schemeClr w14:val="tx1"/>
            </w14:solidFill>
          </w14:textFill>
        </w:rPr>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367075C">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69" w:name="_Toc7449"/>
      <w:r>
        <w:rPr>
          <w:rFonts w:hint="eastAsia" w:ascii="宋体" w:hAnsi="宋体" w:eastAsia="宋体" w:cs="宋体"/>
          <w:b/>
          <w:bCs/>
          <w:color w:val="000000" w:themeColor="text1"/>
          <w:spacing w:val="0"/>
          <w:sz w:val="24"/>
          <w:szCs w:val="24"/>
          <w:highlight w:val="none"/>
          <w14:textFill>
            <w14:solidFill>
              <w14:schemeClr w14:val="tx1"/>
            </w14:solidFill>
          </w14:textFill>
        </w:rPr>
        <w:t>格式十</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五</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原件一览表</w:t>
      </w:r>
      <w:bookmarkEnd w:id="269"/>
    </w:p>
    <w:tbl>
      <w:tblPr>
        <w:tblStyle w:val="14"/>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5F244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2B40EF1C">
            <w:pPr>
              <w:keepNext w:val="0"/>
              <w:keepLines w:val="0"/>
              <w:pageBreakBefore w:val="0"/>
              <w:wordWrap w:val="0"/>
              <w:overflowPunct/>
              <w:topLinePunct w:val="0"/>
              <w:bidi w:val="0"/>
              <w:spacing w:before="132" w:line="220" w:lineRule="auto"/>
              <w:ind w:left="39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原件一览表</w:t>
            </w:r>
          </w:p>
        </w:tc>
      </w:tr>
      <w:tr w14:paraId="6C17C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center"/>
          </w:tcPr>
          <w:p w14:paraId="03FBA86E">
            <w:pPr>
              <w:keepNext w:val="0"/>
              <w:keepLines w:val="0"/>
              <w:pageBreakBefore w:val="0"/>
              <w:wordWrap w:val="0"/>
              <w:overflowPunct/>
              <w:topLinePunct w:val="0"/>
              <w:bidi w:val="0"/>
              <w:spacing w:before="62" w:line="230" w:lineRule="auto"/>
              <w:jc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工程名称</w:t>
            </w:r>
          </w:p>
        </w:tc>
        <w:tc>
          <w:tcPr>
            <w:tcW w:w="6816" w:type="dxa"/>
            <w:gridSpan w:val="6"/>
            <w:vAlign w:val="top"/>
          </w:tcPr>
          <w:p w14:paraId="5F792F2C">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487BE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254D3CCA">
            <w:pPr>
              <w:keepNext w:val="0"/>
              <w:keepLines w:val="0"/>
              <w:pageBreakBefore w:val="0"/>
              <w:wordWrap w:val="0"/>
              <w:overflowPunct/>
              <w:topLinePunct w:val="0"/>
              <w:bidi w:val="0"/>
              <w:spacing w:before="150" w:line="230" w:lineRule="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投标人名称(请务必填写单位全称)</w:t>
            </w:r>
          </w:p>
        </w:tc>
        <w:tc>
          <w:tcPr>
            <w:tcW w:w="6816" w:type="dxa"/>
            <w:gridSpan w:val="6"/>
            <w:vAlign w:val="top"/>
          </w:tcPr>
          <w:p w14:paraId="0F353D01">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22EC7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6683BB0E">
            <w:pPr>
              <w:keepNext w:val="0"/>
              <w:keepLines w:val="0"/>
              <w:pageBreakBefore w:val="0"/>
              <w:wordWrap w:val="0"/>
              <w:overflowPunct/>
              <w:topLinePunct w:val="0"/>
              <w:bidi w:val="0"/>
              <w:spacing w:before="151"/>
              <w:ind w:right="14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投标人法定代表人或其委托代理人签名</w:t>
            </w:r>
          </w:p>
        </w:tc>
        <w:tc>
          <w:tcPr>
            <w:tcW w:w="2689" w:type="dxa"/>
            <w:gridSpan w:val="2"/>
            <w:vAlign w:val="top"/>
          </w:tcPr>
          <w:p w14:paraId="79697200">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499" w:type="dxa"/>
            <w:gridSpan w:val="2"/>
            <w:vAlign w:val="top"/>
          </w:tcPr>
          <w:p w14:paraId="58C1E63A">
            <w:pPr>
              <w:keepNext w:val="0"/>
              <w:keepLines w:val="0"/>
              <w:pageBreakBefore w:val="0"/>
              <w:wordWrap w:val="0"/>
              <w:overflowPunct/>
              <w:topLinePunct w:val="0"/>
              <w:bidi w:val="0"/>
              <w:spacing w:before="151" w:line="312" w:lineRule="auto"/>
              <w:ind w:right="17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手机号码</w:t>
            </w:r>
          </w:p>
        </w:tc>
        <w:tc>
          <w:tcPr>
            <w:tcW w:w="2628" w:type="dxa"/>
            <w:gridSpan w:val="2"/>
            <w:vAlign w:val="top"/>
          </w:tcPr>
          <w:p w14:paraId="460A230E">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1064F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5B16BEA7">
            <w:pPr>
              <w:keepNext w:val="0"/>
              <w:keepLines w:val="0"/>
              <w:pageBreakBefore w:val="0"/>
              <w:wordWrap w:val="0"/>
              <w:overflowPunct/>
              <w:topLinePunct w:val="0"/>
              <w:bidi w:val="0"/>
              <w:spacing w:before="62" w:line="228" w:lineRule="auto"/>
              <w:ind w:left="336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递交的证明材料原件如下：</w:t>
            </w:r>
          </w:p>
        </w:tc>
      </w:tr>
      <w:tr w14:paraId="6562F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47F8E8A8">
            <w:pPr>
              <w:pStyle w:val="27"/>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022230E">
            <w:pPr>
              <w:keepNext w:val="0"/>
              <w:keepLines w:val="0"/>
              <w:pageBreakBefore w:val="0"/>
              <w:wordWrap w:val="0"/>
              <w:overflowPunct/>
              <w:topLinePunct w:val="0"/>
              <w:bidi w:val="0"/>
              <w:spacing w:before="62" w:line="230" w:lineRule="auto"/>
              <w:ind w:left="15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序号</w:t>
            </w:r>
          </w:p>
        </w:tc>
        <w:tc>
          <w:tcPr>
            <w:tcW w:w="5304" w:type="dxa"/>
            <w:gridSpan w:val="4"/>
            <w:vAlign w:val="top"/>
          </w:tcPr>
          <w:p w14:paraId="35D769FC">
            <w:pPr>
              <w:pStyle w:val="27"/>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3EEA02B2">
            <w:pPr>
              <w:keepNext w:val="0"/>
              <w:keepLines w:val="0"/>
              <w:pageBreakBefore w:val="0"/>
              <w:wordWrap w:val="0"/>
              <w:overflowPunct/>
              <w:topLinePunct w:val="0"/>
              <w:bidi w:val="0"/>
              <w:spacing w:before="61" w:line="228" w:lineRule="auto"/>
              <w:ind w:left="17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证明材料原件名称</w:t>
            </w:r>
          </w:p>
        </w:tc>
        <w:tc>
          <w:tcPr>
            <w:tcW w:w="1771" w:type="dxa"/>
            <w:gridSpan w:val="2"/>
            <w:vAlign w:val="top"/>
          </w:tcPr>
          <w:p w14:paraId="66A03B25">
            <w:pPr>
              <w:pStyle w:val="27"/>
              <w:keepNext w:val="0"/>
              <w:keepLines w:val="0"/>
              <w:pageBreakBefore w:val="0"/>
              <w:wordWrap w:val="0"/>
              <w:overflowPunct/>
              <w:topLinePunct w:val="0"/>
              <w:bidi w:val="0"/>
              <w:spacing w:line="256"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92559B5">
            <w:pPr>
              <w:keepNext w:val="0"/>
              <w:keepLines w:val="0"/>
              <w:pageBreakBefore w:val="0"/>
              <w:wordWrap w:val="0"/>
              <w:overflowPunct/>
              <w:topLinePunct w:val="0"/>
              <w:bidi w:val="0"/>
              <w:spacing w:before="62" w:line="230" w:lineRule="auto"/>
              <w:ind w:left="66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单位</w:t>
            </w:r>
          </w:p>
        </w:tc>
        <w:tc>
          <w:tcPr>
            <w:tcW w:w="1637" w:type="dxa"/>
            <w:vAlign w:val="top"/>
          </w:tcPr>
          <w:p w14:paraId="3BEEA542">
            <w:pPr>
              <w:pStyle w:val="27"/>
              <w:keepNext w:val="0"/>
              <w:keepLines w:val="0"/>
              <w:pageBreakBefore w:val="0"/>
              <w:wordWrap w:val="0"/>
              <w:overflowPunct/>
              <w:topLinePunct w:val="0"/>
              <w:bidi w:val="0"/>
              <w:spacing w:line="256"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CE3B1D0">
            <w:pPr>
              <w:keepNext w:val="0"/>
              <w:keepLines w:val="0"/>
              <w:pageBreakBefore w:val="0"/>
              <w:wordWrap w:val="0"/>
              <w:overflowPunct/>
              <w:topLinePunct w:val="0"/>
              <w:bidi w:val="0"/>
              <w:spacing w:before="62" w:line="229" w:lineRule="auto"/>
              <w:ind w:left="59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数量</w:t>
            </w:r>
          </w:p>
        </w:tc>
      </w:tr>
      <w:tr w14:paraId="4F82D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BE58E00">
            <w:pPr>
              <w:keepNext w:val="0"/>
              <w:keepLines w:val="0"/>
              <w:pageBreakBefore w:val="0"/>
              <w:wordWrap w:val="0"/>
              <w:overflowPunct/>
              <w:topLinePunct w:val="0"/>
              <w:bidi w:val="0"/>
              <w:spacing w:before="287" w:line="184" w:lineRule="auto"/>
              <w:ind w:left="31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w:t>
            </w:r>
          </w:p>
        </w:tc>
        <w:tc>
          <w:tcPr>
            <w:tcW w:w="5304" w:type="dxa"/>
            <w:gridSpan w:val="4"/>
            <w:vAlign w:val="top"/>
          </w:tcPr>
          <w:p w14:paraId="48BEE8B0">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71" w:type="dxa"/>
            <w:gridSpan w:val="2"/>
            <w:vAlign w:val="top"/>
          </w:tcPr>
          <w:p w14:paraId="69FF32C9">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637" w:type="dxa"/>
            <w:vAlign w:val="top"/>
          </w:tcPr>
          <w:p w14:paraId="23FE9655">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2DB2F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439F9AE2">
            <w:pPr>
              <w:keepNext w:val="0"/>
              <w:keepLines w:val="0"/>
              <w:pageBreakBefore w:val="0"/>
              <w:wordWrap w:val="0"/>
              <w:overflowPunct/>
              <w:topLinePunct w:val="0"/>
              <w:bidi w:val="0"/>
              <w:spacing w:before="288" w:line="183" w:lineRule="auto"/>
              <w:ind w:left="30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w:t>
            </w:r>
          </w:p>
        </w:tc>
        <w:tc>
          <w:tcPr>
            <w:tcW w:w="5304" w:type="dxa"/>
            <w:gridSpan w:val="4"/>
            <w:vAlign w:val="top"/>
          </w:tcPr>
          <w:p w14:paraId="4F70EA65">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71" w:type="dxa"/>
            <w:gridSpan w:val="2"/>
            <w:vAlign w:val="top"/>
          </w:tcPr>
          <w:p w14:paraId="72C3C76C">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637" w:type="dxa"/>
            <w:vAlign w:val="top"/>
          </w:tcPr>
          <w:p w14:paraId="1969C218">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73152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4F34003A">
            <w:pPr>
              <w:keepNext w:val="0"/>
              <w:keepLines w:val="0"/>
              <w:pageBreakBefore w:val="0"/>
              <w:wordWrap w:val="0"/>
              <w:overflowPunct/>
              <w:topLinePunct w:val="0"/>
              <w:bidi w:val="0"/>
              <w:spacing w:before="287" w:line="183" w:lineRule="auto"/>
              <w:ind w:left="30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w:t>
            </w:r>
          </w:p>
        </w:tc>
        <w:tc>
          <w:tcPr>
            <w:tcW w:w="5304" w:type="dxa"/>
            <w:gridSpan w:val="4"/>
            <w:vAlign w:val="top"/>
          </w:tcPr>
          <w:p w14:paraId="32F8469F">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71" w:type="dxa"/>
            <w:gridSpan w:val="2"/>
            <w:vAlign w:val="top"/>
          </w:tcPr>
          <w:p w14:paraId="7AD8029B">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637" w:type="dxa"/>
            <w:vAlign w:val="top"/>
          </w:tcPr>
          <w:p w14:paraId="6E7CE753">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00948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36DFC70">
            <w:pPr>
              <w:pStyle w:val="27"/>
              <w:keepNext w:val="0"/>
              <w:keepLines w:val="0"/>
              <w:pageBreakBefore w:val="0"/>
              <w:wordWrap w:val="0"/>
              <w:overflowPunct/>
              <w:topLinePunct w:val="0"/>
              <w:bidi w:val="0"/>
              <w:spacing w:line="348"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EBABEED">
            <w:pPr>
              <w:keepNext w:val="0"/>
              <w:keepLines w:val="0"/>
              <w:pageBreakBefore w:val="0"/>
              <w:wordWrap w:val="0"/>
              <w:overflowPunct/>
              <w:topLinePunct w:val="0"/>
              <w:bidi w:val="0"/>
              <w:spacing w:before="78" w:line="99" w:lineRule="exact"/>
              <w:ind w:left="18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1"/>
                <w:sz w:val="24"/>
                <w:szCs w:val="24"/>
                <w:highlight w:val="none"/>
                <w14:textFill>
                  <w14:solidFill>
                    <w14:schemeClr w14:val="tx1"/>
                  </w14:solidFill>
                </w14:textFill>
              </w:rPr>
              <w:t>...</w:t>
            </w:r>
          </w:p>
        </w:tc>
        <w:tc>
          <w:tcPr>
            <w:tcW w:w="5304" w:type="dxa"/>
            <w:gridSpan w:val="4"/>
            <w:vAlign w:val="top"/>
          </w:tcPr>
          <w:p w14:paraId="78AEE5FA">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71" w:type="dxa"/>
            <w:gridSpan w:val="2"/>
            <w:vAlign w:val="top"/>
          </w:tcPr>
          <w:p w14:paraId="56A6BE9F">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637" w:type="dxa"/>
            <w:vAlign w:val="top"/>
          </w:tcPr>
          <w:p w14:paraId="15AD4B06">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44067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5E70F2C3">
            <w:pPr>
              <w:pStyle w:val="27"/>
              <w:keepNext w:val="0"/>
              <w:keepLines w:val="0"/>
              <w:pageBreakBefore w:val="0"/>
              <w:wordWrap w:val="0"/>
              <w:overflowPunct/>
              <w:topLinePunct w:val="0"/>
              <w:bidi w:val="0"/>
              <w:spacing w:line="274"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12A84F17">
            <w:pPr>
              <w:pStyle w:val="27"/>
              <w:keepNext w:val="0"/>
              <w:keepLines w:val="0"/>
              <w:pageBreakBefore w:val="0"/>
              <w:wordWrap w:val="0"/>
              <w:overflowPunct/>
              <w:topLinePunct w:val="0"/>
              <w:bidi w:val="0"/>
              <w:spacing w:line="275"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4DCB2179">
            <w:pPr>
              <w:pStyle w:val="27"/>
              <w:keepNext w:val="0"/>
              <w:keepLines w:val="0"/>
              <w:pageBreakBefore w:val="0"/>
              <w:wordWrap w:val="0"/>
              <w:overflowPunct/>
              <w:topLinePunct w:val="0"/>
              <w:bidi w:val="0"/>
              <w:spacing w:line="275"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0A613965">
            <w:pPr>
              <w:keepNext w:val="0"/>
              <w:keepLines w:val="0"/>
              <w:pageBreakBefore w:val="0"/>
              <w:wordWrap w:val="0"/>
              <w:overflowPunct/>
              <w:topLinePunct w:val="0"/>
              <w:bidi w:val="0"/>
              <w:spacing w:before="62" w:line="233" w:lineRule="auto"/>
              <w:ind w:left="2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注意：</w:t>
            </w:r>
          </w:p>
        </w:tc>
        <w:tc>
          <w:tcPr>
            <w:tcW w:w="8712" w:type="dxa"/>
            <w:gridSpan w:val="7"/>
            <w:vAlign w:val="top"/>
          </w:tcPr>
          <w:p w14:paraId="04434907">
            <w:pPr>
              <w:keepNext w:val="0"/>
              <w:keepLines w:val="0"/>
              <w:pageBreakBefore w:val="0"/>
              <w:wordWrap w:val="0"/>
              <w:overflowPunct/>
              <w:topLinePunct w:val="0"/>
              <w:bidi w:val="0"/>
              <w:spacing w:before="148"/>
              <w:ind w:left="111" w:right="107" w:firstLine="483"/>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 内容及真实性负责。</w:t>
            </w:r>
          </w:p>
        </w:tc>
      </w:tr>
      <w:tr w14:paraId="1CF26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761E9651">
            <w:pPr>
              <w:pStyle w:val="27"/>
              <w:keepNext w:val="0"/>
              <w:keepLines w:val="0"/>
              <w:pageBreakBefore w:val="0"/>
              <w:wordWrap w:val="0"/>
              <w:overflowPunct/>
              <w:topLinePunct w:val="0"/>
              <w:bidi w:val="0"/>
              <w:spacing w:line="240"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2A419AAE">
            <w:pPr>
              <w:keepNext w:val="0"/>
              <w:keepLines w:val="0"/>
              <w:pageBreakBefore w:val="0"/>
              <w:wordWrap w:val="0"/>
              <w:overflowPunct/>
              <w:topLinePunct w:val="0"/>
              <w:bidi w:val="0"/>
              <w:spacing w:before="61" w:line="240" w:lineRule="auto"/>
              <w:ind w:left="760" w:right="153" w:hanging="6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接收原件经办人</w:t>
            </w:r>
          </w:p>
          <w:p w14:paraId="1690E6DB">
            <w:pPr>
              <w:keepNext w:val="0"/>
              <w:keepLines w:val="0"/>
              <w:pageBreakBefore w:val="0"/>
              <w:wordWrap w:val="0"/>
              <w:overflowPunct/>
              <w:topLinePunct w:val="0"/>
              <w:bidi w:val="0"/>
              <w:spacing w:before="61" w:line="240" w:lineRule="auto"/>
              <w:ind w:left="760" w:right="153" w:hanging="6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(招标代理)：</w:t>
            </w:r>
          </w:p>
        </w:tc>
        <w:tc>
          <w:tcPr>
            <w:tcW w:w="1725" w:type="dxa"/>
            <w:vAlign w:val="top"/>
          </w:tcPr>
          <w:p w14:paraId="275A8985">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683" w:type="dxa"/>
            <w:gridSpan w:val="2"/>
            <w:vAlign w:val="top"/>
          </w:tcPr>
          <w:p w14:paraId="1474D634">
            <w:pPr>
              <w:pStyle w:val="27"/>
              <w:keepNext w:val="0"/>
              <w:keepLines w:val="0"/>
              <w:pageBreakBefore w:val="0"/>
              <w:wordWrap w:val="0"/>
              <w:overflowPunct/>
              <w:topLinePunct w:val="0"/>
              <w:bidi w:val="0"/>
              <w:spacing w:line="288"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DC3DCF2">
            <w:pPr>
              <w:pStyle w:val="27"/>
              <w:keepNext w:val="0"/>
              <w:keepLines w:val="0"/>
              <w:pageBreakBefore w:val="0"/>
              <w:wordWrap w:val="0"/>
              <w:overflowPunct/>
              <w:topLinePunct w:val="0"/>
              <w:bidi w:val="0"/>
              <w:spacing w:line="289"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674EC6F">
            <w:pPr>
              <w:keepNext w:val="0"/>
              <w:keepLines w:val="0"/>
              <w:pageBreakBefore w:val="0"/>
              <w:wordWrap w:val="0"/>
              <w:overflowPunct/>
              <w:topLinePunct w:val="0"/>
              <w:bidi w:val="0"/>
              <w:spacing w:before="62" w:line="229" w:lineRule="auto"/>
              <w:ind w:left="31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接收时间：</w:t>
            </w:r>
          </w:p>
        </w:tc>
        <w:tc>
          <w:tcPr>
            <w:tcW w:w="3408" w:type="dxa"/>
            <w:gridSpan w:val="3"/>
            <w:vAlign w:val="top"/>
          </w:tcPr>
          <w:p w14:paraId="14CF6FE5">
            <w:pPr>
              <w:pStyle w:val="27"/>
              <w:keepNext w:val="0"/>
              <w:keepLines w:val="0"/>
              <w:pageBreakBefore w:val="0"/>
              <w:wordWrap w:val="0"/>
              <w:overflowPunct/>
              <w:topLinePunct w:val="0"/>
              <w:bidi w:val="0"/>
              <w:spacing w:line="288"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4D2D58A7">
            <w:pPr>
              <w:pStyle w:val="27"/>
              <w:keepNext w:val="0"/>
              <w:keepLines w:val="0"/>
              <w:pageBreakBefore w:val="0"/>
              <w:wordWrap w:val="0"/>
              <w:overflowPunct/>
              <w:topLinePunct w:val="0"/>
              <w:bidi w:val="0"/>
              <w:spacing w:line="289"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705600D0">
            <w:pPr>
              <w:keepNext w:val="0"/>
              <w:keepLines w:val="0"/>
              <w:pageBreakBefore w:val="0"/>
              <w:wordWrap w:val="0"/>
              <w:overflowPunct/>
              <w:topLinePunct w:val="0"/>
              <w:bidi w:val="0"/>
              <w:spacing w:before="62" w:line="229" w:lineRule="auto"/>
              <w:ind w:firstLine="480"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年   月   日   时  分</w:t>
            </w:r>
          </w:p>
        </w:tc>
      </w:tr>
      <w:tr w14:paraId="25E6C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2EB55666">
            <w:pPr>
              <w:keepNext w:val="0"/>
              <w:keepLines w:val="0"/>
              <w:pageBreakBefore w:val="0"/>
              <w:wordWrap w:val="0"/>
              <w:overflowPunct/>
              <w:topLinePunct w:val="0"/>
              <w:bidi w:val="0"/>
              <w:spacing w:before="155" w:line="240" w:lineRule="auto"/>
              <w:ind w:left="861" w:right="153" w:hanging="69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退还原件接收人</w:t>
            </w:r>
          </w:p>
          <w:p w14:paraId="1CDD5251">
            <w:pPr>
              <w:keepNext w:val="0"/>
              <w:keepLines w:val="0"/>
              <w:pageBreakBefore w:val="0"/>
              <w:wordWrap w:val="0"/>
              <w:overflowPunct/>
              <w:topLinePunct w:val="0"/>
              <w:bidi w:val="0"/>
              <w:spacing w:before="155" w:line="240" w:lineRule="auto"/>
              <w:ind w:left="861" w:right="153" w:hanging="69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(投标人)：</w:t>
            </w:r>
          </w:p>
        </w:tc>
        <w:tc>
          <w:tcPr>
            <w:tcW w:w="1725" w:type="dxa"/>
            <w:vAlign w:val="top"/>
          </w:tcPr>
          <w:p w14:paraId="66FA3EB1">
            <w:pPr>
              <w:pStyle w:val="27"/>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683" w:type="dxa"/>
            <w:gridSpan w:val="2"/>
            <w:vAlign w:val="top"/>
          </w:tcPr>
          <w:p w14:paraId="37AC43BC">
            <w:pPr>
              <w:pStyle w:val="27"/>
              <w:keepNext w:val="0"/>
              <w:keepLines w:val="0"/>
              <w:pageBreakBefore w:val="0"/>
              <w:wordWrap w:val="0"/>
              <w:overflowPunct/>
              <w:topLinePunct w:val="0"/>
              <w:bidi w:val="0"/>
              <w:spacing w:line="336"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3C24FA50">
            <w:pPr>
              <w:keepNext w:val="0"/>
              <w:keepLines w:val="0"/>
              <w:pageBreakBefore w:val="0"/>
              <w:wordWrap w:val="0"/>
              <w:overflowPunct/>
              <w:topLinePunct w:val="0"/>
              <w:bidi w:val="0"/>
              <w:spacing w:before="61" w:line="231" w:lineRule="auto"/>
              <w:ind w:left="31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退还时间：</w:t>
            </w:r>
          </w:p>
        </w:tc>
        <w:tc>
          <w:tcPr>
            <w:tcW w:w="3408" w:type="dxa"/>
            <w:gridSpan w:val="3"/>
            <w:vAlign w:val="top"/>
          </w:tcPr>
          <w:p w14:paraId="7DD435CD">
            <w:pPr>
              <w:pStyle w:val="27"/>
              <w:keepNext w:val="0"/>
              <w:keepLines w:val="0"/>
              <w:pageBreakBefore w:val="0"/>
              <w:wordWrap w:val="0"/>
              <w:overflowPunct/>
              <w:topLinePunct w:val="0"/>
              <w:bidi w:val="0"/>
              <w:spacing w:line="335"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83946A7">
            <w:pPr>
              <w:keepNext w:val="0"/>
              <w:keepLines w:val="0"/>
              <w:pageBreakBefore w:val="0"/>
              <w:wordWrap w:val="0"/>
              <w:overflowPunct/>
              <w:topLinePunct w:val="0"/>
              <w:bidi w:val="0"/>
              <w:spacing w:before="62" w:line="229" w:lineRule="auto"/>
              <w:ind w:firstLine="480"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年   月   日  时   分</w:t>
            </w:r>
          </w:p>
        </w:tc>
      </w:tr>
    </w:tbl>
    <w:p w14:paraId="7FF2268B">
      <w:pPr>
        <w:keepNext w:val="0"/>
        <w:keepLines w:val="0"/>
        <w:pageBreakBefore w:val="0"/>
        <w:wordWrap w:val="0"/>
        <w:overflowPunct/>
        <w:topLinePunct w:val="0"/>
        <w:bidi w:val="0"/>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70" w:name="bookmark107"/>
      <w:bookmarkEnd w:id="270"/>
      <w:r>
        <w:rPr>
          <w:rFonts w:hint="eastAsia" w:ascii="宋体" w:hAnsi="宋体" w:eastAsia="宋体" w:cs="宋体"/>
          <w:b/>
          <w:bCs/>
          <w:color w:val="000000" w:themeColor="text1"/>
          <w:spacing w:val="0"/>
          <w:sz w:val="24"/>
          <w:szCs w:val="24"/>
          <w:highlight w:val="none"/>
          <w14:textFill>
            <w14:solidFill>
              <w14:schemeClr w14:val="tx1"/>
            </w14:solidFill>
          </w14:textFill>
        </w:rPr>
        <w:br w:type="page"/>
      </w:r>
    </w:p>
    <w:p w14:paraId="3E438A30">
      <w:pPr>
        <w:keepNext w:val="0"/>
        <w:keepLines w:val="0"/>
        <w:pageBreakBefore w:val="0"/>
        <w:wordWrap w:val="0"/>
        <w:overflowPunct/>
        <w:topLinePunct w:val="0"/>
        <w:bidi w:val="0"/>
        <w:spacing w:before="78" w:line="219" w:lineRule="auto"/>
        <w:jc w:val="center"/>
        <w:outlineLvl w:val="1"/>
        <w:rPr>
          <w:rFonts w:hint="eastAsia" w:ascii="宋体" w:hAnsi="宋体" w:eastAsia="宋体" w:cs="宋体"/>
          <w:color w:val="000000" w:themeColor="text1"/>
          <w:spacing w:val="0"/>
          <w:highlight w:val="none"/>
          <w14:textFill>
            <w14:solidFill>
              <w14:schemeClr w14:val="tx1"/>
            </w14:solidFill>
          </w14:textFill>
        </w:rPr>
      </w:pPr>
      <w:bookmarkStart w:id="271" w:name="_Toc3896"/>
      <w:r>
        <w:rPr>
          <w:rFonts w:hint="eastAsia" w:ascii="宋体" w:hAnsi="宋体" w:eastAsia="宋体" w:cs="宋体"/>
          <w:b/>
          <w:bCs/>
          <w:color w:val="000000" w:themeColor="text1"/>
          <w:spacing w:val="0"/>
          <w:sz w:val="24"/>
          <w:szCs w:val="24"/>
          <w:highlight w:val="none"/>
          <w14:textFill>
            <w14:solidFill>
              <w14:schemeClr w14:val="tx1"/>
            </w14:solidFill>
          </w14:textFill>
        </w:rPr>
        <w:t>第七章</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建设工程施工合同</w:t>
      </w:r>
      <w:bookmarkEnd w:id="271"/>
    </w:p>
    <w:p w14:paraId="0F14ACDF">
      <w:pPr>
        <w:pStyle w:val="5"/>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151CC36E">
      <w:pPr>
        <w:keepNext w:val="0"/>
        <w:keepLines w:val="0"/>
        <w:pageBreakBefore w:val="0"/>
        <w:wordWrap w:val="0"/>
        <w:overflowPunct/>
        <w:topLinePunct w:val="0"/>
        <w:bidi w:val="0"/>
        <w:spacing w:before="78" w:line="324" w:lineRule="auto"/>
        <w:ind w:firstLine="4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（略），按《广东省建设工程标准施工合同》（2009 年版）或《建设工程施工合同（示范文本）》（GF—2017—0201）执行。</w:t>
      </w:r>
    </w:p>
    <w:p w14:paraId="01801F5B">
      <w:pPr>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sectPr>
      <w:footerReference r:id="rId26"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0A288">
    <w:pPr>
      <w:pStyle w:val="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111AF">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B88D6">
                          <w:pPr>
                            <w:pStyle w:val="8"/>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AEB88D6">
                    <w:pPr>
                      <w:pStyle w:val="8"/>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B3D4B">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9540B">
                          <w:pPr>
                            <w:pStyle w:val="8"/>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5C9540B">
                    <w:pPr>
                      <w:pStyle w:val="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CA7E8">
    <w:pPr>
      <w:pStyle w:val="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A68BB">
                          <w:pPr>
                            <w:pStyle w:val="8"/>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BFA68BB">
                    <w:pPr>
                      <w:pStyle w:val="8"/>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B6E0A">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CEF52">
                          <w:pPr>
                            <w:pStyle w:val="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55CEF52">
                    <w:pPr>
                      <w:pStyle w:val="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6CBA">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93DF6">
                          <w:pPr>
                            <w:pStyle w:val="8"/>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C393DF6">
                    <w:pPr>
                      <w:pStyle w:val="8"/>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F25A">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58473">
                          <w:pPr>
                            <w:pStyle w:val="8"/>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5158473">
                    <w:pPr>
                      <w:pStyle w:val="8"/>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3A765">
    <w:pPr>
      <w:pStyle w:val="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8E82C">
                          <w:pPr>
                            <w:pStyle w:val="8"/>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A68E82C">
                    <w:pPr>
                      <w:pStyle w:val="8"/>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30510">
    <w:pPr>
      <w:pStyle w:val="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35F8D">
                          <w:pPr>
                            <w:pStyle w:val="8"/>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6235F8D">
                    <w:pPr>
                      <w:pStyle w:val="8"/>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0073A">
    <w:pPr>
      <w:pStyle w:val="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6AC4E">
                          <w:pPr>
                            <w:pStyle w:val="8"/>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B16AC4E">
                    <w:pPr>
                      <w:pStyle w:val="8"/>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FF30B">
    <w:pPr>
      <w:pStyle w:val="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FFB92">
                          <w:pPr>
                            <w:pStyle w:val="8"/>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388FFB92">
                    <w:pPr>
                      <w:pStyle w:val="8"/>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6E4AF">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A77C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0A77C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4F5C4">
    <w:pPr>
      <w:pStyle w:val="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0A844">
                          <w:pPr>
                            <w:pStyle w:val="8"/>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F40A844">
                    <w:pPr>
                      <w:pStyle w:val="8"/>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A2642">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3644F">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53644F">
                    <w:pPr>
                      <w:pStyle w:val="8"/>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6D71C">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F71FC">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4F71FC">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83137">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65B2D">
                          <w:pPr>
                            <w:pStyle w:val="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B65B2D">
                    <w:pPr>
                      <w:pStyle w:val="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1E147">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DBAC9">
                          <w:pPr>
                            <w:pStyle w:val="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40DBAC9">
                    <w:pPr>
                      <w:pStyle w:val="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BFC2D">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91286">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F091286">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DF844">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B81C9">
                          <w:pPr>
                            <w:pStyle w:val="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8DB81C9">
                    <w:pPr>
                      <w:pStyle w:val="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67EE6">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08799">
                          <w:pPr>
                            <w:pStyle w:val="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3B08799">
                    <w:pPr>
                      <w:pStyle w:val="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2A64E">
    <w:pPr>
      <w:pStyle w:val="5"/>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A3C7A">
    <w:pPr>
      <w:pStyle w:val="5"/>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2D440">
    <w:pPr>
      <w:pStyle w:val="5"/>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978D7">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9BDCA"/>
    <w:multiLevelType w:val="singleLevel"/>
    <w:tmpl w:val="E6C9BD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ZmUxYzUwZTk0YWQ4OWIxZDY5YjRhZmIwMjUzNzMifQ=="/>
  </w:docVars>
  <w:rsids>
    <w:rsidRoot w:val="4F582EF7"/>
    <w:rsid w:val="000D6A89"/>
    <w:rsid w:val="0012211A"/>
    <w:rsid w:val="003F512F"/>
    <w:rsid w:val="00473031"/>
    <w:rsid w:val="004F4B45"/>
    <w:rsid w:val="00D61DC8"/>
    <w:rsid w:val="00F661CB"/>
    <w:rsid w:val="01203FAE"/>
    <w:rsid w:val="012A2737"/>
    <w:rsid w:val="013F232E"/>
    <w:rsid w:val="014B09BB"/>
    <w:rsid w:val="014C6B51"/>
    <w:rsid w:val="016471F9"/>
    <w:rsid w:val="01916C5A"/>
    <w:rsid w:val="01B841E6"/>
    <w:rsid w:val="01D95F0B"/>
    <w:rsid w:val="02337D11"/>
    <w:rsid w:val="026E699E"/>
    <w:rsid w:val="0273635F"/>
    <w:rsid w:val="02AA30B8"/>
    <w:rsid w:val="02B7625C"/>
    <w:rsid w:val="02BF0C55"/>
    <w:rsid w:val="03091250"/>
    <w:rsid w:val="032C4E8C"/>
    <w:rsid w:val="0358304C"/>
    <w:rsid w:val="03696A9E"/>
    <w:rsid w:val="037C563F"/>
    <w:rsid w:val="039E06FB"/>
    <w:rsid w:val="03B524C9"/>
    <w:rsid w:val="03C5042E"/>
    <w:rsid w:val="03E26ED3"/>
    <w:rsid w:val="04021749"/>
    <w:rsid w:val="04200D92"/>
    <w:rsid w:val="043C0BB8"/>
    <w:rsid w:val="04540333"/>
    <w:rsid w:val="048719B2"/>
    <w:rsid w:val="04B51863"/>
    <w:rsid w:val="04B67F25"/>
    <w:rsid w:val="04BF763A"/>
    <w:rsid w:val="04C07235"/>
    <w:rsid w:val="04C93D12"/>
    <w:rsid w:val="04CE00F8"/>
    <w:rsid w:val="05654685"/>
    <w:rsid w:val="05E732EC"/>
    <w:rsid w:val="05EC614B"/>
    <w:rsid w:val="05FE0636"/>
    <w:rsid w:val="06342423"/>
    <w:rsid w:val="063C112F"/>
    <w:rsid w:val="066642EF"/>
    <w:rsid w:val="066C1D20"/>
    <w:rsid w:val="066E18CA"/>
    <w:rsid w:val="069B537E"/>
    <w:rsid w:val="06B156A8"/>
    <w:rsid w:val="06B9200C"/>
    <w:rsid w:val="06C70A28"/>
    <w:rsid w:val="06C929F2"/>
    <w:rsid w:val="06E67100"/>
    <w:rsid w:val="06EE2458"/>
    <w:rsid w:val="07133987"/>
    <w:rsid w:val="073360BD"/>
    <w:rsid w:val="074B3407"/>
    <w:rsid w:val="07A1396F"/>
    <w:rsid w:val="07A71DAB"/>
    <w:rsid w:val="07B90CB8"/>
    <w:rsid w:val="07EC510E"/>
    <w:rsid w:val="08000695"/>
    <w:rsid w:val="082A5712"/>
    <w:rsid w:val="083D3697"/>
    <w:rsid w:val="08C55606"/>
    <w:rsid w:val="08CD7283"/>
    <w:rsid w:val="08DB07BA"/>
    <w:rsid w:val="08EB6C4F"/>
    <w:rsid w:val="09120B77"/>
    <w:rsid w:val="092D5890"/>
    <w:rsid w:val="09AD381B"/>
    <w:rsid w:val="09C339A8"/>
    <w:rsid w:val="09F06AB0"/>
    <w:rsid w:val="09FA34EB"/>
    <w:rsid w:val="0A182626"/>
    <w:rsid w:val="0A2763AD"/>
    <w:rsid w:val="0A620AA0"/>
    <w:rsid w:val="0A62467A"/>
    <w:rsid w:val="0A7D4664"/>
    <w:rsid w:val="0AD33307"/>
    <w:rsid w:val="0AEE3BCC"/>
    <w:rsid w:val="0AF8049C"/>
    <w:rsid w:val="0AFB0342"/>
    <w:rsid w:val="0B3866B7"/>
    <w:rsid w:val="0B3B5F5C"/>
    <w:rsid w:val="0B644CDF"/>
    <w:rsid w:val="0BD240F7"/>
    <w:rsid w:val="0C120997"/>
    <w:rsid w:val="0C350433"/>
    <w:rsid w:val="0C3D67FB"/>
    <w:rsid w:val="0C4153D2"/>
    <w:rsid w:val="0C4E3A2A"/>
    <w:rsid w:val="0CA07D76"/>
    <w:rsid w:val="0CA247B5"/>
    <w:rsid w:val="0CC51EAD"/>
    <w:rsid w:val="0CEB3524"/>
    <w:rsid w:val="0CFE2CC9"/>
    <w:rsid w:val="0D03679A"/>
    <w:rsid w:val="0D410E67"/>
    <w:rsid w:val="0D786450"/>
    <w:rsid w:val="0DB97443"/>
    <w:rsid w:val="0DCB0DFD"/>
    <w:rsid w:val="0DD203DE"/>
    <w:rsid w:val="0DDC125D"/>
    <w:rsid w:val="0DF525DE"/>
    <w:rsid w:val="0DF61CE0"/>
    <w:rsid w:val="0E122ED0"/>
    <w:rsid w:val="0E1E1875"/>
    <w:rsid w:val="0E54719F"/>
    <w:rsid w:val="0E8E37ED"/>
    <w:rsid w:val="0EAF2E14"/>
    <w:rsid w:val="0EDB59B8"/>
    <w:rsid w:val="0EF30E7F"/>
    <w:rsid w:val="0F1B4006"/>
    <w:rsid w:val="0F312AB7"/>
    <w:rsid w:val="0FB35FED"/>
    <w:rsid w:val="0FB775B8"/>
    <w:rsid w:val="0FF44D8A"/>
    <w:rsid w:val="103425BC"/>
    <w:rsid w:val="10433815"/>
    <w:rsid w:val="10484987"/>
    <w:rsid w:val="105858FC"/>
    <w:rsid w:val="1069143D"/>
    <w:rsid w:val="108403E2"/>
    <w:rsid w:val="109275A9"/>
    <w:rsid w:val="10945E1E"/>
    <w:rsid w:val="10C15734"/>
    <w:rsid w:val="10E36DA6"/>
    <w:rsid w:val="110D36CE"/>
    <w:rsid w:val="11183B29"/>
    <w:rsid w:val="11533574"/>
    <w:rsid w:val="11785740"/>
    <w:rsid w:val="117874EE"/>
    <w:rsid w:val="11862732"/>
    <w:rsid w:val="118F278E"/>
    <w:rsid w:val="119105B0"/>
    <w:rsid w:val="11994D85"/>
    <w:rsid w:val="11A47985"/>
    <w:rsid w:val="11D80D88"/>
    <w:rsid w:val="11F50B3F"/>
    <w:rsid w:val="12906AB9"/>
    <w:rsid w:val="12B46AE6"/>
    <w:rsid w:val="12C7072D"/>
    <w:rsid w:val="12E7492B"/>
    <w:rsid w:val="12E74FC1"/>
    <w:rsid w:val="12F27F6E"/>
    <w:rsid w:val="12F53397"/>
    <w:rsid w:val="131A26A8"/>
    <w:rsid w:val="132A4818"/>
    <w:rsid w:val="13313DF9"/>
    <w:rsid w:val="133D279D"/>
    <w:rsid w:val="13842E04"/>
    <w:rsid w:val="1385172F"/>
    <w:rsid w:val="13AD4B58"/>
    <w:rsid w:val="13B36C86"/>
    <w:rsid w:val="13C438FA"/>
    <w:rsid w:val="13E34C75"/>
    <w:rsid w:val="14141B79"/>
    <w:rsid w:val="148650F4"/>
    <w:rsid w:val="1505553D"/>
    <w:rsid w:val="150D2643"/>
    <w:rsid w:val="15192D96"/>
    <w:rsid w:val="155663AB"/>
    <w:rsid w:val="15674B8D"/>
    <w:rsid w:val="15BC5601"/>
    <w:rsid w:val="15DC13FE"/>
    <w:rsid w:val="15F3699E"/>
    <w:rsid w:val="16005D04"/>
    <w:rsid w:val="161F618A"/>
    <w:rsid w:val="16223ECC"/>
    <w:rsid w:val="16351E52"/>
    <w:rsid w:val="16737FC1"/>
    <w:rsid w:val="16C60CFC"/>
    <w:rsid w:val="16DF591A"/>
    <w:rsid w:val="1722468F"/>
    <w:rsid w:val="172C4685"/>
    <w:rsid w:val="173157BB"/>
    <w:rsid w:val="175C172B"/>
    <w:rsid w:val="1767428D"/>
    <w:rsid w:val="1776627E"/>
    <w:rsid w:val="17C50FB3"/>
    <w:rsid w:val="17EA767E"/>
    <w:rsid w:val="181E51C8"/>
    <w:rsid w:val="18226406"/>
    <w:rsid w:val="182A472E"/>
    <w:rsid w:val="1862610F"/>
    <w:rsid w:val="18710487"/>
    <w:rsid w:val="18AE7C99"/>
    <w:rsid w:val="18C06D07"/>
    <w:rsid w:val="190B3062"/>
    <w:rsid w:val="192D6E10"/>
    <w:rsid w:val="192E77AB"/>
    <w:rsid w:val="19355CC5"/>
    <w:rsid w:val="19597C05"/>
    <w:rsid w:val="1963464B"/>
    <w:rsid w:val="197764F6"/>
    <w:rsid w:val="1A200723"/>
    <w:rsid w:val="1A2C70C8"/>
    <w:rsid w:val="1A3A6836"/>
    <w:rsid w:val="1A4A3FE0"/>
    <w:rsid w:val="1A5B5BFF"/>
    <w:rsid w:val="1A6040D2"/>
    <w:rsid w:val="1AE57555"/>
    <w:rsid w:val="1B2B0B2B"/>
    <w:rsid w:val="1BB32838"/>
    <w:rsid w:val="1BC25F36"/>
    <w:rsid w:val="1BCD48DA"/>
    <w:rsid w:val="1C116575"/>
    <w:rsid w:val="1C2A3ADB"/>
    <w:rsid w:val="1C324211"/>
    <w:rsid w:val="1C623275"/>
    <w:rsid w:val="1C7F3E27"/>
    <w:rsid w:val="1C977356"/>
    <w:rsid w:val="1CEE68B6"/>
    <w:rsid w:val="1CFE11EF"/>
    <w:rsid w:val="1D1C4C74"/>
    <w:rsid w:val="1D4666F2"/>
    <w:rsid w:val="1D526E45"/>
    <w:rsid w:val="1DED3012"/>
    <w:rsid w:val="1DFB74DD"/>
    <w:rsid w:val="1E02178A"/>
    <w:rsid w:val="1E3B5065"/>
    <w:rsid w:val="1E3B5B2B"/>
    <w:rsid w:val="1E491296"/>
    <w:rsid w:val="1E504393"/>
    <w:rsid w:val="1E5D49E3"/>
    <w:rsid w:val="1E6432D4"/>
    <w:rsid w:val="1E9F430C"/>
    <w:rsid w:val="1EB53B18"/>
    <w:rsid w:val="1EBD4792"/>
    <w:rsid w:val="1EE461C3"/>
    <w:rsid w:val="1F2962CC"/>
    <w:rsid w:val="1F297E9B"/>
    <w:rsid w:val="1F3C3740"/>
    <w:rsid w:val="1F487665"/>
    <w:rsid w:val="1F4E5D32"/>
    <w:rsid w:val="1F683A66"/>
    <w:rsid w:val="1F793D64"/>
    <w:rsid w:val="1F82221D"/>
    <w:rsid w:val="1FA6791C"/>
    <w:rsid w:val="1FB65DB1"/>
    <w:rsid w:val="1FDA1374"/>
    <w:rsid w:val="20210F16"/>
    <w:rsid w:val="206770AC"/>
    <w:rsid w:val="208714FC"/>
    <w:rsid w:val="20B41F4E"/>
    <w:rsid w:val="20B73CE8"/>
    <w:rsid w:val="20CB1F07"/>
    <w:rsid w:val="20E76E0C"/>
    <w:rsid w:val="21244F9D"/>
    <w:rsid w:val="216E1E9C"/>
    <w:rsid w:val="222C2B90"/>
    <w:rsid w:val="22457E73"/>
    <w:rsid w:val="2248233E"/>
    <w:rsid w:val="22592440"/>
    <w:rsid w:val="22614D52"/>
    <w:rsid w:val="227D2BB6"/>
    <w:rsid w:val="229E3272"/>
    <w:rsid w:val="22E70030"/>
    <w:rsid w:val="22EC3898"/>
    <w:rsid w:val="22F866E1"/>
    <w:rsid w:val="23260E04"/>
    <w:rsid w:val="233953DA"/>
    <w:rsid w:val="234F2844"/>
    <w:rsid w:val="23515DF1"/>
    <w:rsid w:val="237613B4"/>
    <w:rsid w:val="23790749"/>
    <w:rsid w:val="237B4B25"/>
    <w:rsid w:val="23931F66"/>
    <w:rsid w:val="24782AD4"/>
    <w:rsid w:val="249C3951"/>
    <w:rsid w:val="249F17D3"/>
    <w:rsid w:val="24A10C0D"/>
    <w:rsid w:val="251E59E0"/>
    <w:rsid w:val="254479BB"/>
    <w:rsid w:val="254C2D14"/>
    <w:rsid w:val="256D06AE"/>
    <w:rsid w:val="2582242A"/>
    <w:rsid w:val="259077D0"/>
    <w:rsid w:val="25AF7A72"/>
    <w:rsid w:val="25B20381"/>
    <w:rsid w:val="25CB3C39"/>
    <w:rsid w:val="25DB33C1"/>
    <w:rsid w:val="25F25669"/>
    <w:rsid w:val="260357AC"/>
    <w:rsid w:val="26081331"/>
    <w:rsid w:val="260B6FC2"/>
    <w:rsid w:val="264763B7"/>
    <w:rsid w:val="268B2A3A"/>
    <w:rsid w:val="268B3DAD"/>
    <w:rsid w:val="26A61FB0"/>
    <w:rsid w:val="26B13700"/>
    <w:rsid w:val="26E1530D"/>
    <w:rsid w:val="275131CB"/>
    <w:rsid w:val="277025E4"/>
    <w:rsid w:val="27734537"/>
    <w:rsid w:val="279B1E5B"/>
    <w:rsid w:val="280F14ED"/>
    <w:rsid w:val="282B4E63"/>
    <w:rsid w:val="282B6C11"/>
    <w:rsid w:val="28541BD2"/>
    <w:rsid w:val="28884FF7"/>
    <w:rsid w:val="28B60B0F"/>
    <w:rsid w:val="28E16404"/>
    <w:rsid w:val="28F60FCD"/>
    <w:rsid w:val="290F389D"/>
    <w:rsid w:val="291572CF"/>
    <w:rsid w:val="293033DF"/>
    <w:rsid w:val="293D2CA4"/>
    <w:rsid w:val="293E21D3"/>
    <w:rsid w:val="29567CBD"/>
    <w:rsid w:val="2962542C"/>
    <w:rsid w:val="296F1102"/>
    <w:rsid w:val="298E56BA"/>
    <w:rsid w:val="299D769A"/>
    <w:rsid w:val="29A9794B"/>
    <w:rsid w:val="2A58372E"/>
    <w:rsid w:val="2A7228D5"/>
    <w:rsid w:val="2AD73080"/>
    <w:rsid w:val="2B160E6F"/>
    <w:rsid w:val="2B351DFD"/>
    <w:rsid w:val="2B367172"/>
    <w:rsid w:val="2B784A6E"/>
    <w:rsid w:val="2B9A7B07"/>
    <w:rsid w:val="2BAE2033"/>
    <w:rsid w:val="2BB37649"/>
    <w:rsid w:val="2BB82A63"/>
    <w:rsid w:val="2BC730F4"/>
    <w:rsid w:val="2BE42462"/>
    <w:rsid w:val="2BFA2F81"/>
    <w:rsid w:val="2BFD3113"/>
    <w:rsid w:val="2BFD6B16"/>
    <w:rsid w:val="2C0003B4"/>
    <w:rsid w:val="2C15160E"/>
    <w:rsid w:val="2C3A068B"/>
    <w:rsid w:val="2CA156F3"/>
    <w:rsid w:val="2CBA1C4C"/>
    <w:rsid w:val="2D236108"/>
    <w:rsid w:val="2D906B09"/>
    <w:rsid w:val="2D9C5EBB"/>
    <w:rsid w:val="2DAC0A59"/>
    <w:rsid w:val="2DCE076A"/>
    <w:rsid w:val="2E620EB2"/>
    <w:rsid w:val="2E9A689E"/>
    <w:rsid w:val="2ED7388A"/>
    <w:rsid w:val="2EDD4BB1"/>
    <w:rsid w:val="2EE212D0"/>
    <w:rsid w:val="2F2729AC"/>
    <w:rsid w:val="2F3C0F4C"/>
    <w:rsid w:val="2F5A6566"/>
    <w:rsid w:val="2FB82F9F"/>
    <w:rsid w:val="2FCC6F2B"/>
    <w:rsid w:val="2FE5383E"/>
    <w:rsid w:val="304E08DD"/>
    <w:rsid w:val="305F0957"/>
    <w:rsid w:val="30E67B79"/>
    <w:rsid w:val="313C778B"/>
    <w:rsid w:val="319C13AD"/>
    <w:rsid w:val="31D9592F"/>
    <w:rsid w:val="32105FF7"/>
    <w:rsid w:val="321A2D0F"/>
    <w:rsid w:val="322E1126"/>
    <w:rsid w:val="324D664C"/>
    <w:rsid w:val="32504AC8"/>
    <w:rsid w:val="32BE6EB2"/>
    <w:rsid w:val="32C616FD"/>
    <w:rsid w:val="32C7154E"/>
    <w:rsid w:val="32D46E8A"/>
    <w:rsid w:val="3317207A"/>
    <w:rsid w:val="331A6B7B"/>
    <w:rsid w:val="33204F95"/>
    <w:rsid w:val="33396D39"/>
    <w:rsid w:val="33643EF5"/>
    <w:rsid w:val="33D80BF4"/>
    <w:rsid w:val="33E57C5B"/>
    <w:rsid w:val="34124B0B"/>
    <w:rsid w:val="345705E4"/>
    <w:rsid w:val="346F60D7"/>
    <w:rsid w:val="348F605A"/>
    <w:rsid w:val="34A357B5"/>
    <w:rsid w:val="34AA1521"/>
    <w:rsid w:val="34B1049E"/>
    <w:rsid w:val="34C22379"/>
    <w:rsid w:val="34CC177B"/>
    <w:rsid w:val="34D80120"/>
    <w:rsid w:val="34EF2E71"/>
    <w:rsid w:val="34F206CA"/>
    <w:rsid w:val="34F51A33"/>
    <w:rsid w:val="35233259"/>
    <w:rsid w:val="352769B2"/>
    <w:rsid w:val="357E4769"/>
    <w:rsid w:val="358636D8"/>
    <w:rsid w:val="35A3428A"/>
    <w:rsid w:val="35B20971"/>
    <w:rsid w:val="35F03248"/>
    <w:rsid w:val="361E1B63"/>
    <w:rsid w:val="365D08DD"/>
    <w:rsid w:val="369F27CF"/>
    <w:rsid w:val="36B60605"/>
    <w:rsid w:val="36C73FA8"/>
    <w:rsid w:val="36CF7301"/>
    <w:rsid w:val="36DB3EF8"/>
    <w:rsid w:val="3701395E"/>
    <w:rsid w:val="3727713D"/>
    <w:rsid w:val="37704A11"/>
    <w:rsid w:val="379538CC"/>
    <w:rsid w:val="379D2F5B"/>
    <w:rsid w:val="37C45ACE"/>
    <w:rsid w:val="37E335F2"/>
    <w:rsid w:val="37E76AA3"/>
    <w:rsid w:val="38125B90"/>
    <w:rsid w:val="3835053A"/>
    <w:rsid w:val="387463B2"/>
    <w:rsid w:val="38BE1535"/>
    <w:rsid w:val="38D3500A"/>
    <w:rsid w:val="395A2DA3"/>
    <w:rsid w:val="397A7B42"/>
    <w:rsid w:val="39B4157B"/>
    <w:rsid w:val="39DF785B"/>
    <w:rsid w:val="3A1A0893"/>
    <w:rsid w:val="3A5C534F"/>
    <w:rsid w:val="3A5E69D2"/>
    <w:rsid w:val="3A60099C"/>
    <w:rsid w:val="3A751F07"/>
    <w:rsid w:val="3A8B1791"/>
    <w:rsid w:val="3AA16B06"/>
    <w:rsid w:val="3AC72565"/>
    <w:rsid w:val="3AD969A0"/>
    <w:rsid w:val="3ADB44C6"/>
    <w:rsid w:val="3B2C2F74"/>
    <w:rsid w:val="3B351E28"/>
    <w:rsid w:val="3B78218B"/>
    <w:rsid w:val="3B8B205B"/>
    <w:rsid w:val="3BA174BE"/>
    <w:rsid w:val="3BAE1FDB"/>
    <w:rsid w:val="3BAE3989"/>
    <w:rsid w:val="3BC05FBD"/>
    <w:rsid w:val="3BC74A4B"/>
    <w:rsid w:val="3BCC3E0F"/>
    <w:rsid w:val="3BD258C9"/>
    <w:rsid w:val="3C123FA5"/>
    <w:rsid w:val="3C242530"/>
    <w:rsid w:val="3C607CD7"/>
    <w:rsid w:val="3C8B7826"/>
    <w:rsid w:val="3C8D17F0"/>
    <w:rsid w:val="3C965E23"/>
    <w:rsid w:val="3CA078D1"/>
    <w:rsid w:val="3CCA02B2"/>
    <w:rsid w:val="3CE62383"/>
    <w:rsid w:val="3CEC7A2A"/>
    <w:rsid w:val="3D0433A8"/>
    <w:rsid w:val="3D15699B"/>
    <w:rsid w:val="3D6600F0"/>
    <w:rsid w:val="3D6A66B2"/>
    <w:rsid w:val="3D867B10"/>
    <w:rsid w:val="3DA07301"/>
    <w:rsid w:val="3DBF44D4"/>
    <w:rsid w:val="3DC207FD"/>
    <w:rsid w:val="3DCE35B6"/>
    <w:rsid w:val="3DD136B5"/>
    <w:rsid w:val="3DF14E3C"/>
    <w:rsid w:val="3DFC6C2D"/>
    <w:rsid w:val="3E043D34"/>
    <w:rsid w:val="3E0A3EC6"/>
    <w:rsid w:val="3E0D6740"/>
    <w:rsid w:val="3E2609B2"/>
    <w:rsid w:val="3E7F6463"/>
    <w:rsid w:val="3EAF459C"/>
    <w:rsid w:val="3ECB4852"/>
    <w:rsid w:val="3EEB0292"/>
    <w:rsid w:val="3EF142B8"/>
    <w:rsid w:val="3EF313C9"/>
    <w:rsid w:val="3F281B00"/>
    <w:rsid w:val="3F4D76DD"/>
    <w:rsid w:val="3F930BE9"/>
    <w:rsid w:val="3F952DC8"/>
    <w:rsid w:val="3FE15005"/>
    <w:rsid w:val="3FE77469"/>
    <w:rsid w:val="400E2C48"/>
    <w:rsid w:val="401B4FB0"/>
    <w:rsid w:val="401C11D4"/>
    <w:rsid w:val="40324B88"/>
    <w:rsid w:val="403D2804"/>
    <w:rsid w:val="40515615"/>
    <w:rsid w:val="40B21825"/>
    <w:rsid w:val="40BE641C"/>
    <w:rsid w:val="40C14BE6"/>
    <w:rsid w:val="40E85E9C"/>
    <w:rsid w:val="41173D7E"/>
    <w:rsid w:val="41711C4E"/>
    <w:rsid w:val="417778B2"/>
    <w:rsid w:val="41CB2246"/>
    <w:rsid w:val="42056C09"/>
    <w:rsid w:val="428D039F"/>
    <w:rsid w:val="42D77BC6"/>
    <w:rsid w:val="42FC0E58"/>
    <w:rsid w:val="431379ED"/>
    <w:rsid w:val="4315253F"/>
    <w:rsid w:val="436C6603"/>
    <w:rsid w:val="437454B8"/>
    <w:rsid w:val="43947908"/>
    <w:rsid w:val="43AA0EDA"/>
    <w:rsid w:val="43CC2BFE"/>
    <w:rsid w:val="43D25E53"/>
    <w:rsid w:val="440138A0"/>
    <w:rsid w:val="44246EDE"/>
    <w:rsid w:val="44384737"/>
    <w:rsid w:val="44692B43"/>
    <w:rsid w:val="44740E09"/>
    <w:rsid w:val="44983428"/>
    <w:rsid w:val="44C32FE7"/>
    <w:rsid w:val="44C47D79"/>
    <w:rsid w:val="450F07D9"/>
    <w:rsid w:val="451A208F"/>
    <w:rsid w:val="453170D2"/>
    <w:rsid w:val="453E5D7D"/>
    <w:rsid w:val="45464C32"/>
    <w:rsid w:val="45AD2F03"/>
    <w:rsid w:val="45BE2A1A"/>
    <w:rsid w:val="45D60635"/>
    <w:rsid w:val="460B7B64"/>
    <w:rsid w:val="4612476D"/>
    <w:rsid w:val="46276812"/>
    <w:rsid w:val="462F50FB"/>
    <w:rsid w:val="46617E0B"/>
    <w:rsid w:val="468F5CB4"/>
    <w:rsid w:val="46953618"/>
    <w:rsid w:val="46C027C2"/>
    <w:rsid w:val="46E75FA1"/>
    <w:rsid w:val="474820C5"/>
    <w:rsid w:val="475B13E7"/>
    <w:rsid w:val="476B2262"/>
    <w:rsid w:val="477A7EE5"/>
    <w:rsid w:val="477C5396"/>
    <w:rsid w:val="47DD7AD0"/>
    <w:rsid w:val="47F0715F"/>
    <w:rsid w:val="47F51E94"/>
    <w:rsid w:val="481D611E"/>
    <w:rsid w:val="4851130F"/>
    <w:rsid w:val="485D476D"/>
    <w:rsid w:val="48665BDE"/>
    <w:rsid w:val="48AB008C"/>
    <w:rsid w:val="48B545A9"/>
    <w:rsid w:val="48B979EC"/>
    <w:rsid w:val="48D34790"/>
    <w:rsid w:val="494D6EBA"/>
    <w:rsid w:val="49557B3A"/>
    <w:rsid w:val="498C348F"/>
    <w:rsid w:val="49BA4655"/>
    <w:rsid w:val="49CD757C"/>
    <w:rsid w:val="49DA3B9B"/>
    <w:rsid w:val="49EF5898"/>
    <w:rsid w:val="49FA5FEB"/>
    <w:rsid w:val="4A286278"/>
    <w:rsid w:val="4A30081A"/>
    <w:rsid w:val="4A3C6BE3"/>
    <w:rsid w:val="4A62606A"/>
    <w:rsid w:val="4A6F0787"/>
    <w:rsid w:val="4A7638C4"/>
    <w:rsid w:val="4AA76173"/>
    <w:rsid w:val="4AAE1013"/>
    <w:rsid w:val="4ADE1878"/>
    <w:rsid w:val="4ADE2E23"/>
    <w:rsid w:val="4AE64EED"/>
    <w:rsid w:val="4B380D6F"/>
    <w:rsid w:val="4B5400FE"/>
    <w:rsid w:val="4B675822"/>
    <w:rsid w:val="4BA47B1F"/>
    <w:rsid w:val="4BBC29D4"/>
    <w:rsid w:val="4C560DCF"/>
    <w:rsid w:val="4CA73452"/>
    <w:rsid w:val="4CBE77A4"/>
    <w:rsid w:val="4CC32763"/>
    <w:rsid w:val="4D0F1621"/>
    <w:rsid w:val="4D24354A"/>
    <w:rsid w:val="4D4E6D7A"/>
    <w:rsid w:val="4D785BA5"/>
    <w:rsid w:val="4DF97234"/>
    <w:rsid w:val="4E437F61"/>
    <w:rsid w:val="4E4C36AA"/>
    <w:rsid w:val="4E4F6531"/>
    <w:rsid w:val="4EB7021F"/>
    <w:rsid w:val="4F377967"/>
    <w:rsid w:val="4F411EB6"/>
    <w:rsid w:val="4F42646A"/>
    <w:rsid w:val="4F582EF7"/>
    <w:rsid w:val="4F5F63A7"/>
    <w:rsid w:val="4FBA24A4"/>
    <w:rsid w:val="4FDA6E22"/>
    <w:rsid w:val="4FFD0EF1"/>
    <w:rsid w:val="502F4C40"/>
    <w:rsid w:val="50353716"/>
    <w:rsid w:val="506D7517"/>
    <w:rsid w:val="50AA2519"/>
    <w:rsid w:val="50AC44E3"/>
    <w:rsid w:val="510E3C07"/>
    <w:rsid w:val="5135755A"/>
    <w:rsid w:val="514F12D7"/>
    <w:rsid w:val="51754B1B"/>
    <w:rsid w:val="517B73AD"/>
    <w:rsid w:val="518A5306"/>
    <w:rsid w:val="51A37E3C"/>
    <w:rsid w:val="51B66656"/>
    <w:rsid w:val="51D16F4E"/>
    <w:rsid w:val="51D610EC"/>
    <w:rsid w:val="521045FE"/>
    <w:rsid w:val="52534816"/>
    <w:rsid w:val="52634928"/>
    <w:rsid w:val="52E2243E"/>
    <w:rsid w:val="53277999"/>
    <w:rsid w:val="53353269"/>
    <w:rsid w:val="533B7DA0"/>
    <w:rsid w:val="536746F1"/>
    <w:rsid w:val="53751DF0"/>
    <w:rsid w:val="53764934"/>
    <w:rsid w:val="53A35FB7"/>
    <w:rsid w:val="53B536AF"/>
    <w:rsid w:val="53C80FD0"/>
    <w:rsid w:val="53E30294"/>
    <w:rsid w:val="540B1521"/>
    <w:rsid w:val="544B3A05"/>
    <w:rsid w:val="5472334E"/>
    <w:rsid w:val="549269FE"/>
    <w:rsid w:val="54A86D6F"/>
    <w:rsid w:val="550F1330"/>
    <w:rsid w:val="556829A3"/>
    <w:rsid w:val="55782BE6"/>
    <w:rsid w:val="558566E7"/>
    <w:rsid w:val="55B415BA"/>
    <w:rsid w:val="55D46448"/>
    <w:rsid w:val="560E3442"/>
    <w:rsid w:val="56111251"/>
    <w:rsid w:val="56193729"/>
    <w:rsid w:val="56252ADC"/>
    <w:rsid w:val="56327239"/>
    <w:rsid w:val="56426E9F"/>
    <w:rsid w:val="564725B8"/>
    <w:rsid w:val="56652099"/>
    <w:rsid w:val="56680EAC"/>
    <w:rsid w:val="566D353C"/>
    <w:rsid w:val="569B3338"/>
    <w:rsid w:val="56F269C8"/>
    <w:rsid w:val="57580F21"/>
    <w:rsid w:val="576176AA"/>
    <w:rsid w:val="5765355C"/>
    <w:rsid w:val="57690BD0"/>
    <w:rsid w:val="57CA1153"/>
    <w:rsid w:val="57EE53E1"/>
    <w:rsid w:val="58460B49"/>
    <w:rsid w:val="584A495B"/>
    <w:rsid w:val="586675E4"/>
    <w:rsid w:val="58765D26"/>
    <w:rsid w:val="58947716"/>
    <w:rsid w:val="58B66C06"/>
    <w:rsid w:val="58D345D7"/>
    <w:rsid w:val="59152645"/>
    <w:rsid w:val="591F4A55"/>
    <w:rsid w:val="59407EBE"/>
    <w:rsid w:val="59495785"/>
    <w:rsid w:val="59816B33"/>
    <w:rsid w:val="599C2C1B"/>
    <w:rsid w:val="59BE5287"/>
    <w:rsid w:val="59BF67D8"/>
    <w:rsid w:val="59BF6E54"/>
    <w:rsid w:val="59C96098"/>
    <w:rsid w:val="59CD22DC"/>
    <w:rsid w:val="5A2F2D66"/>
    <w:rsid w:val="5A9467BF"/>
    <w:rsid w:val="5AAE69DB"/>
    <w:rsid w:val="5AB26B9A"/>
    <w:rsid w:val="5AC261B4"/>
    <w:rsid w:val="5ACA056B"/>
    <w:rsid w:val="5AEC0684"/>
    <w:rsid w:val="5AF0582F"/>
    <w:rsid w:val="5B1B6AA6"/>
    <w:rsid w:val="5B224E28"/>
    <w:rsid w:val="5B9C02BE"/>
    <w:rsid w:val="5BAF7B56"/>
    <w:rsid w:val="5BF611E3"/>
    <w:rsid w:val="5C0E6052"/>
    <w:rsid w:val="5C313AEE"/>
    <w:rsid w:val="5C7D4F86"/>
    <w:rsid w:val="5C86208C"/>
    <w:rsid w:val="5CAC7619"/>
    <w:rsid w:val="5CC02210"/>
    <w:rsid w:val="5D072AA1"/>
    <w:rsid w:val="5D211242"/>
    <w:rsid w:val="5D2B49E2"/>
    <w:rsid w:val="5D730EDB"/>
    <w:rsid w:val="5D7C18C6"/>
    <w:rsid w:val="5D902A97"/>
    <w:rsid w:val="5D916BB6"/>
    <w:rsid w:val="5DC32E6C"/>
    <w:rsid w:val="5DE3467B"/>
    <w:rsid w:val="5E000678"/>
    <w:rsid w:val="5E367A57"/>
    <w:rsid w:val="5E371164"/>
    <w:rsid w:val="5E634018"/>
    <w:rsid w:val="5EB639EA"/>
    <w:rsid w:val="5F0537AA"/>
    <w:rsid w:val="5F0B5B73"/>
    <w:rsid w:val="5F1267B5"/>
    <w:rsid w:val="5F2B3E04"/>
    <w:rsid w:val="5F4A1A8C"/>
    <w:rsid w:val="5F760F40"/>
    <w:rsid w:val="5FD9212E"/>
    <w:rsid w:val="5FFF5CB2"/>
    <w:rsid w:val="600532C8"/>
    <w:rsid w:val="60673F83"/>
    <w:rsid w:val="606E1F64"/>
    <w:rsid w:val="60CE0B25"/>
    <w:rsid w:val="61113EEE"/>
    <w:rsid w:val="61555832"/>
    <w:rsid w:val="6194560C"/>
    <w:rsid w:val="619C4100"/>
    <w:rsid w:val="61A30FEA"/>
    <w:rsid w:val="61BE5E24"/>
    <w:rsid w:val="61D5316E"/>
    <w:rsid w:val="61DB6D9C"/>
    <w:rsid w:val="623C3CCB"/>
    <w:rsid w:val="6277131B"/>
    <w:rsid w:val="62894736"/>
    <w:rsid w:val="62A274F4"/>
    <w:rsid w:val="62A72D5C"/>
    <w:rsid w:val="62DC02C2"/>
    <w:rsid w:val="632E6FDA"/>
    <w:rsid w:val="63381C06"/>
    <w:rsid w:val="6345292E"/>
    <w:rsid w:val="635D5082"/>
    <w:rsid w:val="63964B41"/>
    <w:rsid w:val="63CD05A1"/>
    <w:rsid w:val="6410048D"/>
    <w:rsid w:val="64421F3D"/>
    <w:rsid w:val="64487C27"/>
    <w:rsid w:val="647C3D75"/>
    <w:rsid w:val="648570CD"/>
    <w:rsid w:val="64AD03D2"/>
    <w:rsid w:val="64B66E59"/>
    <w:rsid w:val="64CC5E52"/>
    <w:rsid w:val="650F4B9B"/>
    <w:rsid w:val="654E657D"/>
    <w:rsid w:val="65864EAB"/>
    <w:rsid w:val="65AC2438"/>
    <w:rsid w:val="65B768E4"/>
    <w:rsid w:val="65BF216B"/>
    <w:rsid w:val="65C57872"/>
    <w:rsid w:val="65D8147F"/>
    <w:rsid w:val="65DA0D53"/>
    <w:rsid w:val="65EF0F14"/>
    <w:rsid w:val="65FB4B21"/>
    <w:rsid w:val="66042274"/>
    <w:rsid w:val="66043DF1"/>
    <w:rsid w:val="6614083B"/>
    <w:rsid w:val="661D46CA"/>
    <w:rsid w:val="667B0788"/>
    <w:rsid w:val="66887A48"/>
    <w:rsid w:val="669F48C5"/>
    <w:rsid w:val="66A10636"/>
    <w:rsid w:val="66B94E0C"/>
    <w:rsid w:val="66BB1AFB"/>
    <w:rsid w:val="66C8643E"/>
    <w:rsid w:val="66CA0DC7"/>
    <w:rsid w:val="66F0707E"/>
    <w:rsid w:val="66F20D2E"/>
    <w:rsid w:val="66F95B50"/>
    <w:rsid w:val="673D6A15"/>
    <w:rsid w:val="67960780"/>
    <w:rsid w:val="67BB2DBB"/>
    <w:rsid w:val="682E5386"/>
    <w:rsid w:val="683F57E5"/>
    <w:rsid w:val="68415A7C"/>
    <w:rsid w:val="688D47A2"/>
    <w:rsid w:val="68B27D65"/>
    <w:rsid w:val="68CD623B"/>
    <w:rsid w:val="68FD36D6"/>
    <w:rsid w:val="694D7A8E"/>
    <w:rsid w:val="69562DE6"/>
    <w:rsid w:val="696012B6"/>
    <w:rsid w:val="69642093"/>
    <w:rsid w:val="6985191D"/>
    <w:rsid w:val="69BD2E65"/>
    <w:rsid w:val="69CA6B08"/>
    <w:rsid w:val="69E95A08"/>
    <w:rsid w:val="6A042666"/>
    <w:rsid w:val="6A9736F0"/>
    <w:rsid w:val="6AB214EC"/>
    <w:rsid w:val="6AB26742"/>
    <w:rsid w:val="6ADE08A2"/>
    <w:rsid w:val="6AF97ECD"/>
    <w:rsid w:val="6B680BAF"/>
    <w:rsid w:val="6B6C68F1"/>
    <w:rsid w:val="6BA17D14"/>
    <w:rsid w:val="6BCC55E2"/>
    <w:rsid w:val="6BE41292"/>
    <w:rsid w:val="6BF43D6E"/>
    <w:rsid w:val="6BF43F27"/>
    <w:rsid w:val="6C3A781B"/>
    <w:rsid w:val="6C884442"/>
    <w:rsid w:val="6C8D4D71"/>
    <w:rsid w:val="6CDC3602"/>
    <w:rsid w:val="6CF25FA0"/>
    <w:rsid w:val="6CF3094C"/>
    <w:rsid w:val="6CF3436B"/>
    <w:rsid w:val="6D257FA0"/>
    <w:rsid w:val="6D5B6316"/>
    <w:rsid w:val="6D77157D"/>
    <w:rsid w:val="6D9143ED"/>
    <w:rsid w:val="6DC40A12"/>
    <w:rsid w:val="6DC74A88"/>
    <w:rsid w:val="6DDD7C5D"/>
    <w:rsid w:val="6DEA2117"/>
    <w:rsid w:val="6E113780"/>
    <w:rsid w:val="6E2178BF"/>
    <w:rsid w:val="6E6C4C84"/>
    <w:rsid w:val="6E8C1058"/>
    <w:rsid w:val="6EBF142E"/>
    <w:rsid w:val="6F0F5F11"/>
    <w:rsid w:val="6F120DB6"/>
    <w:rsid w:val="6F2946DA"/>
    <w:rsid w:val="6F550DE0"/>
    <w:rsid w:val="6FD1766A"/>
    <w:rsid w:val="70294E19"/>
    <w:rsid w:val="707443AD"/>
    <w:rsid w:val="70990122"/>
    <w:rsid w:val="70AC7790"/>
    <w:rsid w:val="70AE36D8"/>
    <w:rsid w:val="70C60851"/>
    <w:rsid w:val="70CE7706"/>
    <w:rsid w:val="70D00980"/>
    <w:rsid w:val="70E51DA8"/>
    <w:rsid w:val="71213150"/>
    <w:rsid w:val="712D267F"/>
    <w:rsid w:val="712F47EA"/>
    <w:rsid w:val="713C6679"/>
    <w:rsid w:val="714802B0"/>
    <w:rsid w:val="71812600"/>
    <w:rsid w:val="71946BA2"/>
    <w:rsid w:val="719C15B2"/>
    <w:rsid w:val="71A843FB"/>
    <w:rsid w:val="71D82792"/>
    <w:rsid w:val="71F94EA8"/>
    <w:rsid w:val="721E450C"/>
    <w:rsid w:val="72514A93"/>
    <w:rsid w:val="7262278F"/>
    <w:rsid w:val="730C2768"/>
    <w:rsid w:val="7329331A"/>
    <w:rsid w:val="732A300A"/>
    <w:rsid w:val="73A429A0"/>
    <w:rsid w:val="73BE1CB4"/>
    <w:rsid w:val="73CC7691"/>
    <w:rsid w:val="73D85A6B"/>
    <w:rsid w:val="74AE1D28"/>
    <w:rsid w:val="74C2331D"/>
    <w:rsid w:val="74CF1255"/>
    <w:rsid w:val="74E7523A"/>
    <w:rsid w:val="74F24A8E"/>
    <w:rsid w:val="74FB54A4"/>
    <w:rsid w:val="751610E2"/>
    <w:rsid w:val="751A7B05"/>
    <w:rsid w:val="751C63E4"/>
    <w:rsid w:val="7521643E"/>
    <w:rsid w:val="753A180E"/>
    <w:rsid w:val="75611CC1"/>
    <w:rsid w:val="759233F8"/>
    <w:rsid w:val="75D25EEA"/>
    <w:rsid w:val="75DD731F"/>
    <w:rsid w:val="764B039C"/>
    <w:rsid w:val="766641C7"/>
    <w:rsid w:val="766656C3"/>
    <w:rsid w:val="76740D50"/>
    <w:rsid w:val="768014A2"/>
    <w:rsid w:val="768D4B1F"/>
    <w:rsid w:val="76B352F7"/>
    <w:rsid w:val="76C22210"/>
    <w:rsid w:val="76CA7E5A"/>
    <w:rsid w:val="77120FDD"/>
    <w:rsid w:val="775C2950"/>
    <w:rsid w:val="77610F13"/>
    <w:rsid w:val="776B3787"/>
    <w:rsid w:val="778C37F8"/>
    <w:rsid w:val="77903967"/>
    <w:rsid w:val="779D7E32"/>
    <w:rsid w:val="77B12E34"/>
    <w:rsid w:val="77B32EDF"/>
    <w:rsid w:val="77BF5FFA"/>
    <w:rsid w:val="77CA451A"/>
    <w:rsid w:val="77D46CD2"/>
    <w:rsid w:val="77D83D50"/>
    <w:rsid w:val="77EF6F6D"/>
    <w:rsid w:val="77F50340"/>
    <w:rsid w:val="78056103"/>
    <w:rsid w:val="780F6F82"/>
    <w:rsid w:val="781D0CC1"/>
    <w:rsid w:val="7823193A"/>
    <w:rsid w:val="782E61C7"/>
    <w:rsid w:val="7836235A"/>
    <w:rsid w:val="783B33E4"/>
    <w:rsid w:val="78534B66"/>
    <w:rsid w:val="787B0197"/>
    <w:rsid w:val="787E1A12"/>
    <w:rsid w:val="78A00DCC"/>
    <w:rsid w:val="78BE10F6"/>
    <w:rsid w:val="78BF6934"/>
    <w:rsid w:val="78C25DA2"/>
    <w:rsid w:val="78D43D28"/>
    <w:rsid w:val="78FD502C"/>
    <w:rsid w:val="792275BE"/>
    <w:rsid w:val="794672BF"/>
    <w:rsid w:val="79532E9E"/>
    <w:rsid w:val="79797086"/>
    <w:rsid w:val="797A5F8B"/>
    <w:rsid w:val="7A170370"/>
    <w:rsid w:val="7A3C1D44"/>
    <w:rsid w:val="7A8B158A"/>
    <w:rsid w:val="7ABB0CFB"/>
    <w:rsid w:val="7AD647F1"/>
    <w:rsid w:val="7ADD5362"/>
    <w:rsid w:val="7AE069B4"/>
    <w:rsid w:val="7B1A0118"/>
    <w:rsid w:val="7B62386D"/>
    <w:rsid w:val="7B6E2211"/>
    <w:rsid w:val="7BD217F3"/>
    <w:rsid w:val="7C277454"/>
    <w:rsid w:val="7C594C70"/>
    <w:rsid w:val="7C7C270C"/>
    <w:rsid w:val="7C85264B"/>
    <w:rsid w:val="7CB63E70"/>
    <w:rsid w:val="7CC266CE"/>
    <w:rsid w:val="7CC76395"/>
    <w:rsid w:val="7D00333D"/>
    <w:rsid w:val="7D7A30EF"/>
    <w:rsid w:val="7D906276"/>
    <w:rsid w:val="7D9D293A"/>
    <w:rsid w:val="7DB41364"/>
    <w:rsid w:val="7DE44A0D"/>
    <w:rsid w:val="7E1E7F1F"/>
    <w:rsid w:val="7E2F667A"/>
    <w:rsid w:val="7E321E60"/>
    <w:rsid w:val="7E493D4F"/>
    <w:rsid w:val="7E5356EF"/>
    <w:rsid w:val="7E916B3D"/>
    <w:rsid w:val="7E9B65C0"/>
    <w:rsid w:val="7EA95725"/>
    <w:rsid w:val="7F1205F3"/>
    <w:rsid w:val="7F69341C"/>
    <w:rsid w:val="7F6B3277"/>
    <w:rsid w:val="7F7C3A97"/>
    <w:rsid w:val="7F8F2756"/>
    <w:rsid w:val="7FFA6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4"/>
    <w:basedOn w:val="1"/>
    <w:next w:val="1"/>
    <w:qFormat/>
    <w:uiPriority w:val="0"/>
    <w:pPr>
      <w:keepNext/>
      <w:keepLines/>
      <w:spacing w:line="374" w:lineRule="auto"/>
      <w:outlineLvl w:val="3"/>
    </w:pPr>
    <w:rPr>
      <w:rFonts w:ascii="Arial" w:hAnsi="Arial"/>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next w:val="1"/>
    <w:qFormat/>
    <w:uiPriority w:val="0"/>
    <w:pPr>
      <w:adjustRightInd w:val="0"/>
      <w:spacing w:line="360" w:lineRule="atLeast"/>
      <w:jc w:val="left"/>
      <w:textAlignment w:val="baseline"/>
    </w:pPr>
    <w:rPr>
      <w:kern w:val="0"/>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toc 3"/>
    <w:basedOn w:val="1"/>
    <w:next w:val="1"/>
    <w:qFormat/>
    <w:uiPriority w:val="0"/>
    <w:pPr>
      <w:ind w:left="840" w:leftChars="400"/>
    </w:p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Body Text 2"/>
    <w:basedOn w:val="1"/>
    <w:qFormat/>
    <w:uiPriority w:val="0"/>
    <w:pPr>
      <w:spacing w:line="500" w:lineRule="exact"/>
    </w:pPr>
    <w:rPr>
      <w:rFonts w:ascii="宋体"/>
      <w:sz w:val="24"/>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5"/>
    <w:qFormat/>
    <w:uiPriority w:val="99"/>
    <w:pPr>
      <w:spacing w:line="240" w:lineRule="auto"/>
      <w:ind w:firstLine="420" w:firstLineChars="100"/>
    </w:pPr>
    <w:rPr>
      <w:rFonts w:ascii="Times New Roman" w:cs="Times New Roman"/>
      <w:sz w:val="20"/>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FollowedHyperlink"/>
    <w:basedOn w:val="16"/>
    <w:qFormat/>
    <w:uiPriority w:val="0"/>
    <w:rPr>
      <w:color w:val="333333"/>
      <w:u w:val="none"/>
    </w:rPr>
  </w:style>
  <w:style w:type="character" w:styleId="19">
    <w:name w:val="Emphasis"/>
    <w:basedOn w:val="16"/>
    <w:qFormat/>
    <w:uiPriority w:val="0"/>
    <w:rPr>
      <w:i/>
    </w:rPr>
  </w:style>
  <w:style w:type="character" w:styleId="20">
    <w:name w:val="HTML Variable"/>
    <w:basedOn w:val="16"/>
    <w:qFormat/>
    <w:uiPriority w:val="0"/>
    <w:rPr>
      <w:i/>
    </w:rPr>
  </w:style>
  <w:style w:type="character" w:styleId="21">
    <w:name w:val="Hyperlink"/>
    <w:basedOn w:val="16"/>
    <w:qFormat/>
    <w:uiPriority w:val="0"/>
    <w:rPr>
      <w:color w:val="333333"/>
      <w:u w:val="none"/>
    </w:rPr>
  </w:style>
  <w:style w:type="character" w:styleId="22">
    <w:name w:val="HTML Code"/>
    <w:basedOn w:val="16"/>
    <w:qFormat/>
    <w:uiPriority w:val="0"/>
    <w:rPr>
      <w:rFonts w:ascii="Courier New" w:hAnsi="Courier New"/>
      <w:sz w:val="20"/>
    </w:rPr>
  </w:style>
  <w:style w:type="character" w:styleId="23">
    <w:name w:val="HTML Cite"/>
    <w:basedOn w:val="16"/>
    <w:qFormat/>
    <w:uiPriority w:val="0"/>
    <w:rPr>
      <w:i/>
    </w:rPr>
  </w:style>
  <w:style w:type="paragraph" w:customStyle="1" w:styleId="24">
    <w:name w:val="样式 宋体 行距: 1.5 倍行距"/>
    <w:next w:val="1"/>
    <w:qFormat/>
    <w:uiPriority w:val="99"/>
    <w:pPr>
      <w:widowControl w:val="0"/>
      <w:jc w:val="center"/>
    </w:pPr>
    <w:rPr>
      <w:rFonts w:ascii="Times New Roman" w:hAnsi="Calibri" w:eastAsia="宋体" w:cs="Times New Roman"/>
      <w:b/>
      <w:bCs/>
      <w:kern w:val="2"/>
      <w:sz w:val="21"/>
      <w:szCs w:val="24"/>
      <w:lang w:val="en-US" w:eastAsia="zh-CN" w:bidi="ar-SA"/>
    </w:rPr>
  </w:style>
  <w:style w:type="paragraph" w:customStyle="1" w:styleId="25">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26">
    <w:name w:val="NormalCharacter"/>
    <w:qFormat/>
    <w:uiPriority w:val="99"/>
  </w:style>
  <w:style w:type="paragraph" w:customStyle="1" w:styleId="27">
    <w:name w:val="Table Text"/>
    <w:basedOn w:val="1"/>
    <w:semiHidden/>
    <w:qFormat/>
    <w:uiPriority w:val="0"/>
    <w:rPr>
      <w:rFonts w:ascii="Arial" w:hAnsi="Arial" w:eastAsia="Arial" w:cs="Arial"/>
      <w:sz w:val="21"/>
      <w:szCs w:val="21"/>
      <w:lang w:val="en-US" w:eastAsia="en-US" w:bidi="ar-SA"/>
    </w:rPr>
  </w:style>
  <w:style w:type="paragraph" w:customStyle="1" w:styleId="2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缩进1"/>
    <w:basedOn w:val="1"/>
    <w:qFormat/>
    <w:uiPriority w:val="0"/>
    <w:pPr>
      <w:widowControl/>
      <w:ind w:firstLine="420"/>
      <w:jc w:val="left"/>
    </w:pPr>
    <w:rPr>
      <w:kern w:val="0"/>
    </w:rPr>
  </w:style>
  <w:style w:type="paragraph" w:customStyle="1" w:styleId="30">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1">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2">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3">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4">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5">
    <w:name w:val="Heading2"/>
    <w:basedOn w:val="1"/>
    <w:next w:val="1"/>
    <w:qFormat/>
    <w:uiPriority w:val="99"/>
    <w:pPr>
      <w:jc w:val="left"/>
    </w:pPr>
    <w:rPr>
      <w:kern w:val="0"/>
    </w:rPr>
  </w:style>
  <w:style w:type="paragraph" w:customStyle="1" w:styleId="36">
    <w:name w:val="AnnotationText"/>
    <w:basedOn w:val="1"/>
    <w:qFormat/>
    <w:uiPriority w:val="99"/>
    <w:pPr>
      <w:spacing w:line="360" w:lineRule="atLeast"/>
      <w:jc w:val="left"/>
    </w:pPr>
    <w:rPr>
      <w:kern w:val="0"/>
    </w:rPr>
  </w:style>
  <w:style w:type="paragraph" w:customStyle="1" w:styleId="37">
    <w:name w:val="UserStyle_44"/>
    <w:basedOn w:val="38"/>
    <w:qFormat/>
    <w:uiPriority w:val="99"/>
    <w:rPr>
      <w:sz w:val="24"/>
      <w:szCs w:val="24"/>
    </w:rPr>
  </w:style>
  <w:style w:type="paragraph" w:customStyle="1" w:styleId="38">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9">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0">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41">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42">
    <w:name w:val="BodyText"/>
    <w:basedOn w:val="1"/>
    <w:next w:val="43"/>
    <w:qFormat/>
    <w:uiPriority w:val="99"/>
    <w:pPr>
      <w:spacing w:after="120"/>
    </w:pPr>
  </w:style>
  <w:style w:type="paragraph" w:customStyle="1" w:styleId="43">
    <w:name w:val="BodyText2"/>
    <w:basedOn w:val="1"/>
    <w:qFormat/>
    <w:uiPriority w:val="99"/>
    <w:pPr>
      <w:spacing w:line="500" w:lineRule="exact"/>
    </w:pPr>
  </w:style>
  <w:style w:type="paragraph" w:customStyle="1" w:styleId="44">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5">
    <w:name w:val="正文缩进 New"/>
    <w:basedOn w:val="46"/>
    <w:qFormat/>
    <w:uiPriority w:val="0"/>
    <w:pPr>
      <w:widowControl/>
      <w:ind w:firstLine="420"/>
      <w:jc w:val="left"/>
    </w:pPr>
    <w:rPr>
      <w:kern w:val="0"/>
      <w:sz w:val="20"/>
    </w:rPr>
  </w:style>
  <w:style w:type="paragraph" w:customStyle="1" w:styleId="46">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47">
    <w:name w:val="正文文本 (2) + 间距 0 pt3"/>
    <w:basedOn w:val="16"/>
    <w:qFormat/>
    <w:uiPriority w:val="0"/>
    <w:rPr>
      <w:rFonts w:ascii="MingLiU" w:hAnsi="Times New Roman" w:eastAsia="MingLiU" w:cs="MingLiU"/>
      <w:spacing w:val="0"/>
      <w:sz w:val="22"/>
      <w:szCs w:val="22"/>
      <w:u w:val="none"/>
    </w:rPr>
  </w:style>
  <w:style w:type="character" w:customStyle="1" w:styleId="48">
    <w:name w:val="hover21"/>
    <w:basedOn w:val="16"/>
    <w:qFormat/>
    <w:uiPriority w:val="0"/>
    <w:rPr>
      <w:color w:val="5FB878"/>
    </w:rPr>
  </w:style>
  <w:style w:type="character" w:customStyle="1" w:styleId="49">
    <w:name w:val="hover22"/>
    <w:basedOn w:val="16"/>
    <w:qFormat/>
    <w:uiPriority w:val="0"/>
    <w:rPr>
      <w:color w:val="FFFFFF"/>
    </w:rPr>
  </w:style>
  <w:style w:type="character" w:customStyle="1" w:styleId="50">
    <w:name w:val="hover23"/>
    <w:basedOn w:val="16"/>
    <w:qFormat/>
    <w:uiPriority w:val="0"/>
    <w:rPr>
      <w:color w:val="5FB878"/>
    </w:rPr>
  </w:style>
  <w:style w:type="paragraph" w:customStyle="1" w:styleId="5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24"/>
    <w:qFormat/>
    <w:uiPriority w:val="0"/>
    <w:pPr>
      <w:widowControl w:val="0"/>
      <w:jc w:val="both"/>
    </w:pPr>
    <w:rPr>
      <w:rFonts w:ascii="Calibri" w:hAnsi="Calibri" w:eastAsia="宋体" w:cs="黑体"/>
      <w:kern w:val="2"/>
      <w:sz w:val="21"/>
      <w:szCs w:val="24"/>
      <w:lang w:val="en-US" w:eastAsia="zh-CN" w:bidi="ar-SA"/>
    </w:rPr>
  </w:style>
  <w:style w:type="paragraph" w:customStyle="1" w:styleId="52">
    <w:name w:val="Default"/>
    <w:qFormat/>
    <w:uiPriority w:val="0"/>
    <w:pPr>
      <w:widowControl w:val="0"/>
      <w:autoSpaceDE w:val="0"/>
      <w:autoSpaceDN w:val="0"/>
      <w:adjustRightInd w:val="0"/>
    </w:pPr>
    <w:rPr>
      <w:rFonts w:hint="eastAsia" w:ascii="仿宋" w:hAnsi="仿宋" w:eastAsia="仿宋"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image" Target="media/image17.png"/><Relationship Id="rId55" Type="http://schemas.openxmlformats.org/officeDocument/2006/relationships/image" Target="media/image16.jpeg"/><Relationship Id="rId54" Type="http://schemas.openxmlformats.org/officeDocument/2006/relationships/image" Target="media/image15.png"/><Relationship Id="rId53" Type="http://schemas.openxmlformats.org/officeDocument/2006/relationships/image" Target="media/image14.png"/><Relationship Id="rId52" Type="http://schemas.openxmlformats.org/officeDocument/2006/relationships/image" Target="media/image13.wmf"/><Relationship Id="rId51" Type="http://schemas.openxmlformats.org/officeDocument/2006/relationships/oleObject" Target="embeddings/oleObject12.bin"/><Relationship Id="rId50" Type="http://schemas.openxmlformats.org/officeDocument/2006/relationships/image" Target="media/image12.wmf"/><Relationship Id="rId5" Type="http://schemas.openxmlformats.org/officeDocument/2006/relationships/footer" Target="footer1.xml"/><Relationship Id="rId49" Type="http://schemas.openxmlformats.org/officeDocument/2006/relationships/oleObject" Target="embeddings/oleObject11.bin"/><Relationship Id="rId48" Type="http://schemas.openxmlformats.org/officeDocument/2006/relationships/image" Target="media/image11.wmf"/><Relationship Id="rId47" Type="http://schemas.openxmlformats.org/officeDocument/2006/relationships/oleObject" Target="embeddings/oleObject10.bin"/><Relationship Id="rId46" Type="http://schemas.openxmlformats.org/officeDocument/2006/relationships/image" Target="media/image10.wmf"/><Relationship Id="rId45" Type="http://schemas.openxmlformats.org/officeDocument/2006/relationships/oleObject" Target="embeddings/oleObject9.bin"/><Relationship Id="rId44" Type="http://schemas.openxmlformats.org/officeDocument/2006/relationships/image" Target="media/image9.wmf"/><Relationship Id="rId43" Type="http://schemas.openxmlformats.org/officeDocument/2006/relationships/oleObject" Target="embeddings/oleObject8.bin"/><Relationship Id="rId42" Type="http://schemas.openxmlformats.org/officeDocument/2006/relationships/image" Target="media/image8.wmf"/><Relationship Id="rId41" Type="http://schemas.openxmlformats.org/officeDocument/2006/relationships/oleObject" Target="embeddings/oleObject7.bin"/><Relationship Id="rId40" Type="http://schemas.openxmlformats.org/officeDocument/2006/relationships/image" Target="media/image7.wmf"/><Relationship Id="rId4" Type="http://schemas.openxmlformats.org/officeDocument/2006/relationships/header" Target="header2.xml"/><Relationship Id="rId39" Type="http://schemas.openxmlformats.org/officeDocument/2006/relationships/oleObject" Target="embeddings/oleObject6.bin"/><Relationship Id="rId38" Type="http://schemas.openxmlformats.org/officeDocument/2006/relationships/image" Target="media/image6.wmf"/><Relationship Id="rId37" Type="http://schemas.openxmlformats.org/officeDocument/2006/relationships/oleObject" Target="embeddings/oleObject5.bin"/><Relationship Id="rId36" Type="http://schemas.openxmlformats.org/officeDocument/2006/relationships/image" Target="media/image5.wmf"/><Relationship Id="rId35" Type="http://schemas.openxmlformats.org/officeDocument/2006/relationships/oleObject" Target="embeddings/oleObject4.bin"/><Relationship Id="rId34" Type="http://schemas.openxmlformats.org/officeDocument/2006/relationships/image" Target="media/image4.wmf"/><Relationship Id="rId33" Type="http://schemas.openxmlformats.org/officeDocument/2006/relationships/oleObject" Target="embeddings/oleObject3.bin"/><Relationship Id="rId32" Type="http://schemas.openxmlformats.org/officeDocument/2006/relationships/image" Target="media/image3.wmf"/><Relationship Id="rId31" Type="http://schemas.openxmlformats.org/officeDocument/2006/relationships/oleObject" Target="embeddings/oleObject2.bin"/><Relationship Id="rId30" Type="http://schemas.openxmlformats.org/officeDocument/2006/relationships/image" Target="media/image2.wmf"/><Relationship Id="rId3" Type="http://schemas.openxmlformats.org/officeDocument/2006/relationships/header" Target="header1.xml"/><Relationship Id="rId29" Type="http://schemas.openxmlformats.org/officeDocument/2006/relationships/oleObject" Target="embeddings/oleObject1.bin"/><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7161</Words>
  <Characters>7874</Characters>
  <Lines>0</Lines>
  <Paragraphs>0</Paragraphs>
  <TotalTime>19</TotalTime>
  <ScaleCrop>false</ScaleCrop>
  <LinksUpToDate>false</LinksUpToDate>
  <CharactersWithSpaces>8167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2024-09-28T04:36:00Z</dcterms:created>
  <dc:creator>Administrator</dc:creator>
  <cp:lastModifiedBy>Aaron</cp:lastModifiedBy>
  <cp:lastPrinted>2024-09-29T01:33:00Z</cp:lastPrinted>
  <dcterms:modified xsi:type="dcterms:W3CDTF">2025-10-30T07:24:38Z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FA6F3D7CC40442FEA48298AF602B2B63_11</vt:lpwstr>
  </property>
  <property fmtid="{D5CDD505-2E9C-101B-9397-08002B2CF9AE}" pid="4" name="KSOTemplateDocerSaveRecord">
    <vt:lpwstr>eyJoZGlkIjoiNWRkNDY2Y2MyMTFjNGU3ZjFjNzMwZWI2NTBlYjEwODgiLCJ1c2VySWQiOiIzNTE5Mzg0ODkifQ==</vt:lpwstr>
  </property>
</Properties>
</file>